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5709"/>
      </w:tblGrid>
      <w:tr w:rsidR="00D646E7" w:rsidRPr="00D646E7" w:rsidTr="00D646E7">
        <w:trPr>
          <w:trHeight w:val="886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6E7" w:rsidRPr="00D646E7" w:rsidRDefault="00D646E7" w:rsidP="00D646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PHỦ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646E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:rsidR="00D646E7" w:rsidRPr="00D646E7" w:rsidRDefault="00D646E7" w:rsidP="00D646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hAnsi="Arial" w:cs="Arial"/>
                <w:color w:val="000000"/>
                <w:sz w:val="20"/>
                <w:szCs w:val="20"/>
              </w:rPr>
              <w:t>Số: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sz w:val="20"/>
                <w:szCs w:val="20"/>
              </w:rPr>
              <w:t>150/2025/NĐ-CP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6E7" w:rsidRPr="00D646E7" w:rsidRDefault="00D646E7" w:rsidP="00D646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E0C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HÒA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XÃ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HỘI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CHỦ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NGHĨA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VIỆT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Độc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lập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Tự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Hạnh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phúc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646E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:rsidR="00D646E7" w:rsidRPr="00D646E7" w:rsidRDefault="00D646E7" w:rsidP="00D646E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646E7">
              <w:rPr>
                <w:rFonts w:ascii="Arial" w:hAnsi="Arial" w:cs="Arial"/>
                <w:i/>
                <w:sz w:val="20"/>
                <w:szCs w:val="20"/>
              </w:rPr>
              <w:t>Hà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i/>
                <w:sz w:val="20"/>
                <w:szCs w:val="20"/>
              </w:rPr>
              <w:t>Nội,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i/>
                <w:sz w:val="20"/>
                <w:szCs w:val="20"/>
              </w:rPr>
              <w:t>12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i/>
                <w:sz w:val="20"/>
                <w:szCs w:val="20"/>
              </w:rPr>
              <w:t>6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i/>
                <w:sz w:val="20"/>
                <w:szCs w:val="20"/>
              </w:rPr>
              <w:t>năm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i/>
                <w:sz w:val="20"/>
                <w:szCs w:val="20"/>
              </w:rPr>
              <w:t>2025</w:t>
            </w:r>
          </w:p>
        </w:tc>
      </w:tr>
    </w:tbl>
    <w:p w:rsidR="00D646E7" w:rsidRP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D646E7" w:rsidRP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993D7A" w:rsidRPr="00D646E7" w:rsidRDefault="00993D7A" w:rsidP="00D646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</w:p>
    <w:p w:rsidR="00993D7A" w:rsidRDefault="00993D7A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</w:t>
      </w:r>
      <w:r w:rsidR="00FB7629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FB7629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cơ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tỉnh,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thành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ương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phường,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đặc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khu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ư</w:t>
      </w:r>
      <w:r w:rsidR="00FB7629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ơ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</w:t>
      </w:r>
    </w:p>
    <w:p w:rsidR="00D646E7" w:rsidRP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cứ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</w:t>
      </w:r>
      <w:r w:rsidR="00FB7629" w:rsidRP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ổ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</w:t>
      </w:r>
      <w:r w:rsidR="00FB7629" w:rsidRP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>í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phủ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2025;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cứ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</w:t>
      </w:r>
      <w:r w:rsidR="00FB7629" w:rsidRP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ổ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năm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2025;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đề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vụ;</w:t>
      </w:r>
    </w:p>
    <w:p w:rsidR="00993D7A" w:rsidRPr="00D646E7" w:rsidRDefault="00993D7A" w:rsidP="00D646E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phủ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</w:t>
      </w:r>
      <w:r w:rsidR="00FB7629" w:rsidRP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ổ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ương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i/>
          <w:iCs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phường,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đặc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khu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ương.</w:t>
      </w:r>
    </w:p>
    <w:p w:rsid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993D7A" w:rsidRDefault="00993D7A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Chương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QUY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</w:t>
      </w:r>
      <w:r w:rsidR="00FB7629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U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</w:t>
      </w:r>
    </w:p>
    <w:p w:rsidR="00D646E7" w:rsidRP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" w:name="bookmark1"/>
      <w:bookmarkStart w:id="2" w:name="bookmark0"/>
      <w:bookmarkEnd w:id="1"/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chỉnh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áp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dụng</w:t>
      </w:r>
      <w:bookmarkEnd w:id="2"/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tỉnh),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phường,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xã).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FB7629" w:rsidRPr="00D646E7">
        <w:rPr>
          <w:rFonts w:ascii="Arial" w:eastAsia="Times New Roman" w:hAnsi="Arial" w:cs="Arial"/>
          <w:color w:val="000000"/>
          <w:sz w:val="20"/>
          <w:szCs w:val="20"/>
        </w:rPr>
        <w:t>ố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</w:t>
      </w:r>
      <w:r w:rsidR="00FB7629" w:rsidRPr="00D646E7">
        <w:rPr>
          <w:rFonts w:ascii="Arial" w:eastAsia="Times New Roman" w:hAnsi="Arial" w:cs="Arial"/>
          <w:color w:val="000000"/>
          <w:sz w:val="20"/>
          <w:szCs w:val="20"/>
        </w:rPr>
        <w:t>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phòng).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cao,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đặt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3" w:name="bookmark3"/>
      <w:bookmarkStart w:id="4" w:name="bookmark2"/>
      <w:bookmarkEnd w:id="3"/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tắc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bookmarkEnd w:id="4"/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suốt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rõ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</w:rPr>
        <w:t>ứ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nhiên,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nước.</w:t>
      </w:r>
    </w:p>
    <w:p w:rsidR="00993D7A" w:rsidRPr="00D646E7" w:rsidRDefault="00993D7A" w:rsidP="00D646E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chéo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đặt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bàn.</w:t>
      </w:r>
    </w:p>
    <w:p w:rsid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993D7A" w:rsidRPr="00D646E7" w:rsidRDefault="00993D7A" w:rsidP="00D646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Chương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II</w:t>
      </w:r>
    </w:p>
    <w:p w:rsidR="00993D7A" w:rsidRDefault="00993D7A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</w:t>
      </w:r>
      <w:r w:rsidR="003E1F16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Ề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</w:t>
      </w:r>
      <w:r w:rsidR="003E1F16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Ơ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MÔN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THUỘC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TỈNH</w:t>
      </w:r>
    </w:p>
    <w:p w:rsidR="00D646E7" w:rsidRP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5" w:name="bookmark5"/>
      <w:bookmarkStart w:id="6" w:name="bookmark4"/>
      <w:bookmarkEnd w:id="5"/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lastRenderedPageBreak/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sở</w:t>
      </w:r>
      <w:bookmarkEnd w:id="6"/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con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sở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có);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</w:rPr>
        <w:t>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dõi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ký,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phép,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bằng,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</w:rPr>
        <w:t>ứ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6.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7.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8.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9.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cứu,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10.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nhũng,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</w:t>
      </w:r>
      <w:r w:rsidR="003E1F16" w:rsidRPr="00D646E7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máy,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đào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bồi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thưởng,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15.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16.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5.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</w:t>
      </w:r>
      <w:r w:rsidR="00D120D9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sở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có);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có);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có).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07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cục)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vấn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12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cục)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05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chức.</w:t>
      </w:r>
    </w:p>
    <w:p w:rsidR="00D120D9" w:rsidRPr="00D646E7" w:rsidRDefault="00D120D9" w:rsidP="00D646E7">
      <w:pPr>
        <w:spacing w:after="120" w:line="240" w:lineRule="auto"/>
        <w:ind w:firstLine="720"/>
        <w:jc w:val="both"/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Điều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6.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Người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đứng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đầu,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cấp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phó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của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người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đứng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đầu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sở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và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số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lượng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cấp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phó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của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các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tổ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chức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thuộc</w:t>
      </w:r>
      <w:r w:rsid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646E7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sở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sắp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Chậm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05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sắp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sắp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đúng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D120D9" w:rsidRPr="00D646E7">
        <w:rPr>
          <w:rFonts w:ascii="Arial" w:eastAsia="Times New Roman" w:hAnsi="Arial" w:cs="Arial"/>
          <w:color w:val="000000"/>
          <w:sz w:val="20"/>
          <w:szCs w:val="20"/>
        </w:rPr>
        <w:t>ầ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vắng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mặt,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kiêm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</w:t>
      </w:r>
      <w:r w:rsidR="00D120D9" w:rsidRPr="00D646E7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Bình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mỗi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03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cứ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họp.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Minh,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mỗi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thêm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10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10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10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14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02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15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03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Chánh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03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04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02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7.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độ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D120D9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sở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sở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tắc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cứ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</w:t>
      </w:r>
      <w:r w:rsidR="00D120D9" w:rsidRPr="00D646E7">
        <w:rPr>
          <w:rFonts w:ascii="Arial" w:eastAsia="Times New Roman" w:hAnsi="Arial" w:cs="Arial"/>
          <w:color w:val="000000"/>
          <w:sz w:val="20"/>
          <w:szCs w:val="20"/>
        </w:rPr>
        <w:t>ể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những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vấn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vượt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đúng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nhưng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</w:t>
      </w:r>
      <w:r w:rsidR="00D120D9" w:rsidRPr="00D646E7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xem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xét,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xảy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nhũng,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mình.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mình;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vấn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những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vấn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thưởng,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8.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thống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nhất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phưong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</w:p>
    <w:p w:rsidR="00993D7A" w:rsidRPr="00D646E7" w:rsidRDefault="00E940AD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đua,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thưởng;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niên;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lương;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đẳng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993D7A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tín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E940AD" w:rsidRPr="00D646E7">
        <w:rPr>
          <w:rFonts w:ascii="Arial" w:eastAsia="Times New Roman" w:hAnsi="Arial" w:cs="Arial"/>
          <w:color w:val="000000"/>
          <w:sz w:val="20"/>
          <w:szCs w:val="20"/>
        </w:rPr>
        <w:t>ư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E940AD" w:rsidRPr="00D646E7">
        <w:rPr>
          <w:rFonts w:ascii="Arial" w:eastAsia="Times New Roman" w:hAnsi="Arial" w:cs="Arial"/>
          <w:color w:val="000000"/>
          <w:sz w:val="20"/>
          <w:szCs w:val="20"/>
        </w:rPr>
        <w:t>ă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</w:t>
      </w:r>
      <w:r w:rsidR="00E940AD" w:rsidRPr="00D646E7">
        <w:rPr>
          <w:rFonts w:ascii="Arial" w:eastAsia="Times New Roman" w:hAnsi="Arial" w:cs="Arial"/>
          <w:color w:val="000000"/>
          <w:sz w:val="20"/>
          <w:szCs w:val="20"/>
        </w:rPr>
        <w:t>ự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dõi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hòa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nuôi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con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nuôi;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sư,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vấn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trọng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hòa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thừa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lại;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bồi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Ke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vay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toán,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thầu;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khí;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luyện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khí;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mỏ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măng);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dùng;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khuyến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dùng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vững;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khẩu,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khẩu;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</w:rPr>
        <w:t>logistics;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xúc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tử;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cạnh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dùng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lâm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diêm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lợi;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tai;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nghèo;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đai;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hậu;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biển,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biển,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đảo);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viễn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thám;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6.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trúc;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tầng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thoát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chỗ;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thoát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muối);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nghĩa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(trừ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nghĩa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sĩ)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hỏa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tầng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ngầm;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tầng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vận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sắt,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hạch,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phép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xe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bộ).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trúc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trúc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trúc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7.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cứu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cao,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chuẩn,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lường,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hữu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tuệ;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xạ;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viễn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tần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tuyến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sô;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toàn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mạng);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tử;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tầng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8.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thao;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tử;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tấn;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kỳ,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huy,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Minh.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thao.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9.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Đào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mầm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non;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xuyên;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có).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10.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</w:t>
      </w:r>
      <w:r w:rsidR="00E940AD" w:rsidRPr="00D646E7">
        <w:rPr>
          <w:rFonts w:ascii="Arial" w:eastAsia="Times New Roman" w:hAnsi="Arial" w:cs="Arial"/>
          <w:color w:val="000000"/>
          <w:sz w:val="20"/>
          <w:szCs w:val="20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bệnh,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chữa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bệnh;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tâm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thần;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mẹ,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trẻ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em;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cai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túy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cai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túy);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trẻ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em;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dược,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nhũng,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cực;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nhũng,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</w:t>
      </w:r>
      <w:r w:rsidR="00E940AD" w:rsidRPr="00D646E7">
        <w:rPr>
          <w:rFonts w:ascii="Arial" w:eastAsia="Times New Roman" w:hAnsi="Arial" w:cs="Arial"/>
          <w:color w:val="000000"/>
          <w:sz w:val="20"/>
          <w:szCs w:val="20"/>
        </w:rPr>
        <w:t>ă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soát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khai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cửa,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cửa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cổng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tử,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</w:t>
      </w:r>
      <w:r w:rsidR="00E940AD" w:rsidRPr="00D646E7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9.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đặc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thù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E940AD" w:rsidRPr="00D646E7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ở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phương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những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giới).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cửa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khẩu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cửa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khẩu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500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vốn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100.000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4.000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khẩu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100.000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lên,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thỏa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lên.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tín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20.000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5.000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đỡ,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ninh,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canh,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giềng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lại.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(UNESCO)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lớn,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bật);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mũi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nhọn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đóng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góp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(GRDP)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trọng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10%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ể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trúc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Minh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trúc.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trúc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10.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Khung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tỉnh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cứ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8,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9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14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riêng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15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sở.</w:t>
      </w:r>
    </w:p>
    <w:p w:rsidR="00993D7A" w:rsidRPr="00D646E7" w:rsidRDefault="00993D7A" w:rsidP="00D646E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tâm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phủ.</w:t>
      </w:r>
    </w:p>
    <w:p w:rsid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993D7A" w:rsidRDefault="00993D7A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Chương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III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QUY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Ề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Ơ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MÔN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THUỘC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XÃ</w:t>
      </w:r>
    </w:p>
    <w:p w:rsidR="00D646E7" w:rsidRP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11.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phòng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máy,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12.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phòng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có),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dõi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ký,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phép,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tờ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6.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7.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nhũng,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phí,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8.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máy,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đào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bồi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thưởng,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9.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10.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13.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đầu,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ngư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ờ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phòng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ầ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gọi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mặt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Mỗi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01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vắng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mặt,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kéo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miễn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thưởng,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14.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độ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phòng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tắc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cứ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những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vấn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vượt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đúng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nhưng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xem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xét,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xảy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nhũng,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mình.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mình;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thấm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15.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ở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xã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dõi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biến,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hòa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nuôi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con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nuôi,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liền,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đảo).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tầng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Phú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kê;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hỗ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doanh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trúc;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tầng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thoát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xuất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nghĩa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nghĩa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sĩ;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ngầm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tầng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đô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xây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mại;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đai;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biển,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đảo);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lâm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diêm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lợi;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tai;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nghèo;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lâm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sản,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muối;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lâm,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diêm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gắn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-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mưu,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giúp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a)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đua,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thưởng;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niên;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lương;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làm;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đẳng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giới;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tín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Đào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mầm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non;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tiểu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sở);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hóa;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thao;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lịch;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ngoại;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cứu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tri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ể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tiềm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khoa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học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hữu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tuệ;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chuẩn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xạ;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ưu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mạng);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tử;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đổi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tầng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tin;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gồm: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bệnh,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chữa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bệnh,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mẹ,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trẻ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em;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chống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tệ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gồm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cai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túy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cai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túy);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truyền;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dược;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toàn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tế.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16.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Khung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xã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cứ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15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môn.</w:t>
      </w:r>
    </w:p>
    <w:p w:rsidR="00993D7A" w:rsidRPr="00D646E7" w:rsidRDefault="00993D7A" w:rsidP="00D646E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tâm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phủ.</w:t>
      </w:r>
    </w:p>
    <w:p w:rsid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</w:p>
    <w:p w:rsidR="00993D7A" w:rsidRPr="00D646E7" w:rsidRDefault="00993D7A" w:rsidP="00D646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Chương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IV</w:t>
      </w:r>
    </w:p>
    <w:p w:rsidR="00993D7A" w:rsidRDefault="00993D7A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val="vi-VN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</w:t>
      </w:r>
      <w:r w:rsidR="00C20499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Ộ</w:t>
      </w:r>
      <w:r w:rsidR="00C20499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,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C20499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CƠ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NGANG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BỘ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VÀ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D646E7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D646E7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 TỈNH, CẤP XÃ</w:t>
      </w:r>
    </w:p>
    <w:p w:rsidR="00D646E7" w:rsidRP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7" w:name="bookmark7"/>
      <w:bookmarkStart w:id="8" w:name="bookmark6"/>
      <w:bookmarkEnd w:id="7"/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17.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vụ</w:t>
      </w:r>
      <w:bookmarkEnd w:id="8"/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chuẩn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dõi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việc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sắp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xếp,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18.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trưởng,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Thủ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C20499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cơ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ngang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bộ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19.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tỉnh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vực;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cầu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ợ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ẩ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C20499" w:rsidRPr="00D646E7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5.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cứ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tiêu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chuẩn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đương)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6.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7.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máy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20.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tỉnh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kéo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miễn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thưởng,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sự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nghiệp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lập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sở.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21.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xã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thể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phù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hướng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dẫn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hoặc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một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D646E7" w:rsidRPr="00D646E7">
        <w:rPr>
          <w:rFonts w:ascii="Arial" w:eastAsia="Times New Roman" w:hAnsi="Arial" w:cs="Arial"/>
          <w:color w:val="000000"/>
          <w:sz w:val="20"/>
          <w:szCs w:val="20"/>
        </w:rPr>
        <w:t>Ủ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(nếu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có),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về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hoạt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9" w:name="bookmark9"/>
      <w:bookmarkStart w:id="10" w:name="bookmark8"/>
      <w:bookmarkEnd w:id="9"/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22.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xã</w:t>
      </w:r>
      <w:bookmarkEnd w:id="10"/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giao.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D646E7" w:rsidRPr="00D646E7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D646E7" w:rsidRPr="00D646E7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kéo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dài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lãnh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lý,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miễn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đình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khen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thưởng,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kỷ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phòng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Đảng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993D7A" w:rsidRPr="00D646E7" w:rsidRDefault="00993D7A" w:rsidP="00D646E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3.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tra,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giải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khiếu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luật.</w:t>
      </w:r>
    </w:p>
    <w:p w:rsid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bookmarkStart w:id="11" w:name="bookmark11"/>
      <w:bookmarkStart w:id="12" w:name="bookmark10"/>
      <w:bookmarkEnd w:id="11"/>
    </w:p>
    <w:p w:rsidR="00993D7A" w:rsidRDefault="00993D7A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Chương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</w:t>
      </w:r>
      <w:r w:rsidR="00D646E7"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IỀ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KHOẢN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bookmarkEnd w:id="12"/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HÀNH</w:t>
      </w:r>
    </w:p>
    <w:p w:rsidR="00D646E7" w:rsidRPr="00D646E7" w:rsidRDefault="00D646E7" w:rsidP="00D646E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3" w:name="bookmark13"/>
      <w:bookmarkStart w:id="14" w:name="bookmark12"/>
      <w:bookmarkEnd w:id="13"/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23.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khoản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tiếp</w:t>
      </w:r>
      <w:bookmarkEnd w:id="14"/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Đối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giữa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tắc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sau: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pháp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luật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nộp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sơ.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thuận,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phê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duyệt,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nhận,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phép,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tiếp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tục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sử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dụng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văn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bản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đã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được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nước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thẩm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quyền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đến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khi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hết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hạn.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Trường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hợp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sửa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</w:t>
      </w:r>
      <w:r w:rsidR="00D646E7" w:rsidRPr="00D646E7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</w:t>
      </w:r>
      <w:r w:rsidR="00D646E7" w:rsidRPr="00D646E7">
        <w:rPr>
          <w:rFonts w:ascii="Arial" w:eastAsia="Times New Roman" w:hAnsi="Arial" w:cs="Arial"/>
          <w:color w:val="000000"/>
          <w:sz w:val="20"/>
          <w:szCs w:val="20"/>
        </w:rPr>
        <w:t>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sung,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gia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hạn,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lại,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hồi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thì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vụ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liên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5" w:name="bookmark15"/>
      <w:bookmarkStart w:id="16" w:name="bookmark14"/>
      <w:bookmarkEnd w:id="15"/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24.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lực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hành</w:t>
      </w:r>
      <w:bookmarkEnd w:id="16"/>
    </w:p>
    <w:p w:rsidR="00D646E7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có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từ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16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6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2025,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thay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thế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s</w:t>
      </w:r>
      <w:r w:rsidR="00D646E7" w:rsidRPr="00D646E7">
        <w:rPr>
          <w:rFonts w:ascii="Arial" w:eastAsia="Times New Roman" w:hAnsi="Arial" w:cs="Arial"/>
          <w:color w:val="000000"/>
          <w:sz w:val="20"/>
          <w:szCs w:val="20"/>
        </w:rPr>
        <w:t>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45/2025/NĐ-CP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28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02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năm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2025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của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Chính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tổ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chức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chuyên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môn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quận,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xã,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ương.</w:t>
      </w:r>
    </w:p>
    <w:p w:rsidR="00993D7A" w:rsidRPr="00D646E7" w:rsidRDefault="00993D7A" w:rsidP="00D646E7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Điều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25.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hành</w:t>
      </w:r>
    </w:p>
    <w:p w:rsidR="00993D7A" w:rsidRDefault="00993D7A" w:rsidP="00D646E7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Các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trưởng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cơ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quan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ngang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Hội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và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Chủ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tịch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Ủy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="000E6A81"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ban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dân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tỉnh,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phố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trung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ương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trách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nhiệm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thi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Nghị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định</w:t>
      </w:r>
      <w:r w:rsid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</w:t>
      </w:r>
      <w:r w:rsidRPr="00D646E7">
        <w:rPr>
          <w:rFonts w:ascii="Arial" w:eastAsia="Times New Roman" w:hAnsi="Arial" w:cs="Arial"/>
          <w:color w:val="000000"/>
          <w:sz w:val="20"/>
          <w:szCs w:val="20"/>
          <w:lang w:val="vi-VN"/>
        </w:rPr>
        <w:t>này.</w:t>
      </w:r>
    </w:p>
    <w:p w:rsidR="00D646E7" w:rsidRPr="00D646E7" w:rsidRDefault="00D646E7" w:rsidP="00D646E7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</w:p>
    <w:tbl>
      <w:tblPr>
        <w:tblW w:w="495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3887"/>
      </w:tblGrid>
      <w:tr w:rsidR="00D646E7" w:rsidRPr="00D646E7" w:rsidTr="00D646E7">
        <w:trPr>
          <w:trHeight w:val="4364"/>
          <w:tblCellSpacing w:w="0" w:type="dxa"/>
        </w:trPr>
        <w:tc>
          <w:tcPr>
            <w:tcW w:w="282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46E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nhận: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ương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Đảng;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Thủ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tướng,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Thủ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tướng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Chính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phủ;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bộ,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cơ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ngang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bộ,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cơ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thuộc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Chính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phủ;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HĐND,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tỉnh,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thành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phố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trực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thuộc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ương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Văn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phòng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ương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của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Đảng;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Văn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phòng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Tổng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thư;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Văn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phòng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Chủ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tịch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nước;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đồng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Dân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tộc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của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hội;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Văn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phòng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hội;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Tòa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án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nhân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dân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tối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cao;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Viện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kiểm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sát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nhân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dân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tối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cao;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Kiểm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toán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nhà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nước;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ương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Mặt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trận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Tổ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Việt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Nam;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Cơ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trung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ương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của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đoàn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thể;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VPCP: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BTCN,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các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PCN,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Trợ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TTg,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TGĐ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cổng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TTĐT,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Vụ,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Cục,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đơn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vị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trực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thuộc,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báo;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VT,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TCCV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(2b)</w:t>
            </w:r>
            <w:r w:rsidRPr="00D646E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</w:p>
        </w:tc>
        <w:tc>
          <w:tcPr>
            <w:tcW w:w="21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6E7" w:rsidRPr="00D646E7" w:rsidRDefault="00D646E7" w:rsidP="00D646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CHÍNH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PHỦ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KT.THỦ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TƯỚNG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THỦ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TƯỚNG</w:t>
            </w:r>
          </w:p>
          <w:p w:rsidR="00D646E7" w:rsidRPr="00D646E7" w:rsidRDefault="00D646E7" w:rsidP="00D646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646E7" w:rsidRPr="00D646E7" w:rsidRDefault="00D646E7" w:rsidP="00D646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646E7" w:rsidRPr="00D646E7" w:rsidRDefault="00D646E7" w:rsidP="00D646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646E7" w:rsidRPr="00D646E7" w:rsidRDefault="00D646E7" w:rsidP="00D646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646E7" w:rsidRPr="00D646E7" w:rsidRDefault="00D646E7" w:rsidP="00D646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646E7" w:rsidRPr="00D646E7" w:rsidRDefault="00D646E7" w:rsidP="00D646E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Hòa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64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Bình</w:t>
            </w:r>
          </w:p>
        </w:tc>
      </w:tr>
    </w:tbl>
    <w:p w:rsidR="00D646E7" w:rsidRPr="00D646E7" w:rsidRDefault="00D646E7" w:rsidP="00D646E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D646E7" w:rsidRPr="00D646E7" w:rsidSect="00D646E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97" w:rsidRDefault="00406197" w:rsidP="00801D29">
      <w:pPr>
        <w:spacing w:after="0" w:line="240" w:lineRule="auto"/>
      </w:pPr>
      <w:r>
        <w:separator/>
      </w:r>
    </w:p>
  </w:endnote>
  <w:endnote w:type="continuationSeparator" w:id="0">
    <w:p w:rsidR="00406197" w:rsidRDefault="00406197" w:rsidP="0080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97" w:rsidRDefault="00406197" w:rsidP="00801D29">
      <w:pPr>
        <w:spacing w:after="0" w:line="240" w:lineRule="auto"/>
      </w:pPr>
      <w:r>
        <w:separator/>
      </w:r>
    </w:p>
  </w:footnote>
  <w:footnote w:type="continuationSeparator" w:id="0">
    <w:p w:rsidR="00406197" w:rsidRDefault="00406197" w:rsidP="00801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7A"/>
    <w:rsid w:val="000E6A81"/>
    <w:rsid w:val="00151F65"/>
    <w:rsid w:val="001820D5"/>
    <w:rsid w:val="00182226"/>
    <w:rsid w:val="00361E15"/>
    <w:rsid w:val="003E1F16"/>
    <w:rsid w:val="003E65D9"/>
    <w:rsid w:val="00406197"/>
    <w:rsid w:val="005F483E"/>
    <w:rsid w:val="006E0CA0"/>
    <w:rsid w:val="007026E0"/>
    <w:rsid w:val="00770559"/>
    <w:rsid w:val="00801D29"/>
    <w:rsid w:val="00993D7A"/>
    <w:rsid w:val="00C20499"/>
    <w:rsid w:val="00D120D9"/>
    <w:rsid w:val="00D646E7"/>
    <w:rsid w:val="00E940AD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33B64-89F8-476F-8F98-5E0A376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93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993D7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0">
    <w:name w:val="heading10"/>
    <w:basedOn w:val="Normal"/>
    <w:rsid w:val="00993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30">
    <w:name w:val="bodytext30"/>
    <w:basedOn w:val="Normal"/>
    <w:rsid w:val="00993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0">
    <w:name w:val="bodytext20"/>
    <w:basedOn w:val="Normal"/>
    <w:rsid w:val="00993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icturecaption0">
    <w:name w:val="picturecaption0"/>
    <w:basedOn w:val="Normal"/>
    <w:rsid w:val="00993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120D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1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1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6157</Words>
  <Characters>35096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XUÂN HUY</cp:lastModifiedBy>
  <cp:revision>8</cp:revision>
  <dcterms:created xsi:type="dcterms:W3CDTF">2025-06-13T05:08:00Z</dcterms:created>
  <dcterms:modified xsi:type="dcterms:W3CDTF">2025-06-14T02:05:00Z</dcterms:modified>
</cp:coreProperties>
</file>