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6038A7" w:rsidRPr="006C30A0" w14:paraId="4019D8DC" w14:textId="77777777" w:rsidTr="008355C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FB87" w14:textId="7341B5DC" w:rsidR="006038A7" w:rsidRPr="006C30A0" w:rsidRDefault="006038A7" w:rsidP="006038A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6C3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C30A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1615364" w14:textId="25CD6712" w:rsidR="006038A7" w:rsidRPr="006C30A0" w:rsidRDefault="006038A7" w:rsidP="006038A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t>Số: 49/2026/NĐ-CP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0C01" w14:textId="77777777" w:rsidR="006038A7" w:rsidRPr="006C30A0" w:rsidRDefault="006038A7" w:rsidP="006038A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6C3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6C3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6C3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C30A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4DE52C2" w14:textId="536E5ADA" w:rsidR="006038A7" w:rsidRPr="006C30A0" w:rsidRDefault="006038A7" w:rsidP="006038A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31 tháng 01 năm 2026</w:t>
            </w:r>
          </w:p>
        </w:tc>
      </w:tr>
    </w:tbl>
    <w:p w14:paraId="73378202" w14:textId="77777777" w:rsidR="006038A7" w:rsidRPr="006C30A0" w:rsidRDefault="006038A7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CD5F03" w14:textId="77777777" w:rsidR="006038A7" w:rsidRPr="006C30A0" w:rsidRDefault="006038A7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80BBD0" w14:textId="77777777" w:rsidR="007C5AD2" w:rsidRPr="006C30A0" w:rsidRDefault="00B37C51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</w:t>
      </w:r>
    </w:p>
    <w:p w14:paraId="73B2179D" w14:textId="77777777" w:rsidR="007C5AD2" w:rsidRPr="006C30A0" w:rsidRDefault="00B37C51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chi ti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và hư</w:t>
      </w:r>
      <w:r w:rsidRPr="006C30A0">
        <w:rPr>
          <w:rFonts w:ascii="Arial" w:hAnsi="Arial" w:cs="Arial"/>
          <w:b/>
          <w:sz w:val="20"/>
          <w:szCs w:val="20"/>
        </w:rPr>
        <w:t>ớ</w:t>
      </w:r>
      <w:r w:rsidRPr="006C30A0">
        <w:rPr>
          <w:rFonts w:ascii="Arial" w:hAnsi="Arial" w:cs="Arial"/>
          <w:b/>
          <w:sz w:val="20"/>
          <w:szCs w:val="20"/>
        </w:rPr>
        <w:t>ng d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n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>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Qu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>c h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i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cơ ch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, chính sách tháo g</w:t>
      </w:r>
      <w:r w:rsidRPr="006C30A0">
        <w:rPr>
          <w:rFonts w:ascii="Arial" w:hAnsi="Arial" w:cs="Arial"/>
          <w:b/>
          <w:sz w:val="20"/>
          <w:szCs w:val="20"/>
        </w:rPr>
        <w:t>ỡ</w:t>
      </w:r>
      <w:r w:rsidRPr="006C30A0">
        <w:rPr>
          <w:rFonts w:ascii="Arial" w:hAnsi="Arial" w:cs="Arial"/>
          <w:b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>khó khăn, vư</w:t>
      </w:r>
      <w:r w:rsidRPr="006C30A0">
        <w:rPr>
          <w:rFonts w:ascii="Arial" w:hAnsi="Arial" w:cs="Arial"/>
          <w:b/>
          <w:sz w:val="20"/>
          <w:szCs w:val="20"/>
        </w:rPr>
        <w:t>ớ</w:t>
      </w:r>
      <w:r w:rsidRPr="006C30A0">
        <w:rPr>
          <w:rFonts w:ascii="Arial" w:hAnsi="Arial" w:cs="Arial"/>
          <w:b/>
          <w:sz w:val="20"/>
          <w:szCs w:val="20"/>
        </w:rPr>
        <w:t>ng m</w:t>
      </w:r>
      <w:r w:rsidRPr="006C30A0">
        <w:rPr>
          <w:rFonts w:ascii="Arial" w:hAnsi="Arial" w:cs="Arial"/>
          <w:b/>
          <w:sz w:val="20"/>
          <w:szCs w:val="20"/>
        </w:rPr>
        <w:t>ắ</w:t>
      </w:r>
      <w:r w:rsidRPr="006C30A0">
        <w:rPr>
          <w:rFonts w:ascii="Arial" w:hAnsi="Arial" w:cs="Arial"/>
          <w:b/>
          <w:sz w:val="20"/>
          <w:szCs w:val="20"/>
        </w:rPr>
        <w:t>c trong t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ch</w:t>
      </w:r>
      <w:r w:rsidRPr="006C30A0">
        <w:rPr>
          <w:rFonts w:ascii="Arial" w:hAnsi="Arial" w:cs="Arial"/>
          <w:b/>
          <w:sz w:val="20"/>
          <w:szCs w:val="20"/>
        </w:rPr>
        <w:t>ứ</w:t>
      </w:r>
      <w:r w:rsidRPr="006C30A0">
        <w:rPr>
          <w:rFonts w:ascii="Arial" w:hAnsi="Arial" w:cs="Arial"/>
          <w:b/>
          <w:sz w:val="20"/>
          <w:szCs w:val="20"/>
        </w:rPr>
        <w:t>c thi hành Lu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t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</w:t>
      </w:r>
    </w:p>
    <w:p w14:paraId="2472A3D0" w14:textId="77777777" w:rsidR="006038A7" w:rsidRPr="006C30A0" w:rsidRDefault="006038A7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240E84F" w14:textId="64C2E90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i/>
          <w:sz w:val="20"/>
          <w:szCs w:val="20"/>
        </w:rPr>
        <w:t>Căn c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 xml:space="preserve"> Lu</w:t>
      </w:r>
      <w:r w:rsidRPr="006C30A0">
        <w:rPr>
          <w:rFonts w:ascii="Arial" w:hAnsi="Arial" w:cs="Arial"/>
          <w:i/>
          <w:sz w:val="20"/>
          <w:szCs w:val="20"/>
        </w:rPr>
        <w:t>ậ</w:t>
      </w:r>
      <w:r w:rsidRPr="006C30A0">
        <w:rPr>
          <w:rFonts w:ascii="Arial" w:hAnsi="Arial" w:cs="Arial"/>
          <w:i/>
          <w:sz w:val="20"/>
          <w:szCs w:val="20"/>
        </w:rPr>
        <w:t>t T</w:t>
      </w:r>
      <w:r w:rsidRPr="006C30A0">
        <w:rPr>
          <w:rFonts w:ascii="Arial" w:hAnsi="Arial" w:cs="Arial"/>
          <w:i/>
          <w:sz w:val="20"/>
          <w:szCs w:val="20"/>
        </w:rPr>
        <w:t>ổ</w:t>
      </w:r>
      <w:r w:rsidRPr="006C30A0">
        <w:rPr>
          <w:rFonts w:ascii="Arial" w:hAnsi="Arial" w:cs="Arial"/>
          <w:i/>
          <w:sz w:val="20"/>
          <w:szCs w:val="20"/>
        </w:rPr>
        <w:t xml:space="preserve"> ch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>c Chính ph</w:t>
      </w:r>
      <w:r w:rsidRPr="006C30A0">
        <w:rPr>
          <w:rFonts w:ascii="Arial" w:hAnsi="Arial" w:cs="Arial"/>
          <w:i/>
          <w:sz w:val="20"/>
          <w:szCs w:val="20"/>
        </w:rPr>
        <w:t>ủ</w:t>
      </w:r>
      <w:r w:rsidRPr="006C30A0">
        <w:rPr>
          <w:rFonts w:ascii="Arial" w:hAnsi="Arial" w:cs="Arial"/>
          <w:i/>
          <w:sz w:val="20"/>
          <w:szCs w:val="20"/>
        </w:rPr>
        <w:t xml:space="preserve">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F1CE55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i/>
          <w:sz w:val="20"/>
          <w:szCs w:val="20"/>
        </w:rPr>
        <w:t>Căn c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 xml:space="preserve"> Lu</w:t>
      </w:r>
      <w:r w:rsidRPr="006C30A0">
        <w:rPr>
          <w:rFonts w:ascii="Arial" w:hAnsi="Arial" w:cs="Arial"/>
          <w:i/>
          <w:sz w:val="20"/>
          <w:szCs w:val="20"/>
        </w:rPr>
        <w:t>ậ</w:t>
      </w:r>
      <w:r w:rsidRPr="006C30A0">
        <w:rPr>
          <w:rFonts w:ascii="Arial" w:hAnsi="Arial" w:cs="Arial"/>
          <w:i/>
          <w:sz w:val="20"/>
          <w:szCs w:val="20"/>
        </w:rPr>
        <w:t>t T</w:t>
      </w:r>
      <w:r w:rsidRPr="006C30A0">
        <w:rPr>
          <w:rFonts w:ascii="Arial" w:hAnsi="Arial" w:cs="Arial"/>
          <w:i/>
          <w:sz w:val="20"/>
          <w:szCs w:val="20"/>
        </w:rPr>
        <w:t>ổ</w:t>
      </w:r>
      <w:r w:rsidRPr="006C30A0">
        <w:rPr>
          <w:rFonts w:ascii="Arial" w:hAnsi="Arial" w:cs="Arial"/>
          <w:i/>
          <w:sz w:val="20"/>
          <w:szCs w:val="20"/>
        </w:rPr>
        <w:t xml:space="preserve"> ch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>c chính quy</w:t>
      </w:r>
      <w:r w:rsidRPr="006C30A0">
        <w:rPr>
          <w:rFonts w:ascii="Arial" w:hAnsi="Arial" w:cs="Arial"/>
          <w:i/>
          <w:sz w:val="20"/>
          <w:szCs w:val="20"/>
        </w:rPr>
        <w:t>ề</w:t>
      </w:r>
      <w:r w:rsidRPr="006C30A0">
        <w:rPr>
          <w:rFonts w:ascii="Arial" w:hAnsi="Arial" w:cs="Arial"/>
          <w:i/>
          <w:sz w:val="20"/>
          <w:szCs w:val="20"/>
        </w:rPr>
        <w:t>n đ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>a phương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7297B8E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i/>
          <w:sz w:val="20"/>
          <w:szCs w:val="20"/>
        </w:rPr>
        <w:t>Căn c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 xml:space="preserve"> Lu</w:t>
      </w:r>
      <w:r w:rsidRPr="006C30A0">
        <w:rPr>
          <w:rFonts w:ascii="Arial" w:hAnsi="Arial" w:cs="Arial"/>
          <w:i/>
          <w:sz w:val="20"/>
          <w:szCs w:val="20"/>
        </w:rPr>
        <w:t>ậ</w:t>
      </w:r>
      <w:r w:rsidRPr="006C30A0">
        <w:rPr>
          <w:rFonts w:ascii="Arial" w:hAnsi="Arial" w:cs="Arial"/>
          <w:i/>
          <w:sz w:val="20"/>
          <w:szCs w:val="20"/>
        </w:rPr>
        <w:t>t Đ</w:t>
      </w:r>
      <w:r w:rsidRPr="006C30A0">
        <w:rPr>
          <w:rFonts w:ascii="Arial" w:hAnsi="Arial" w:cs="Arial"/>
          <w:i/>
          <w:sz w:val="20"/>
          <w:szCs w:val="20"/>
        </w:rPr>
        <w:t>ấ</w:t>
      </w:r>
      <w:r w:rsidRPr="006C30A0">
        <w:rPr>
          <w:rFonts w:ascii="Arial" w:hAnsi="Arial" w:cs="Arial"/>
          <w:i/>
          <w:sz w:val="20"/>
          <w:szCs w:val="20"/>
        </w:rPr>
        <w:t xml:space="preserve">t </w:t>
      </w:r>
      <w:r w:rsidRPr="006C30A0">
        <w:rPr>
          <w:rFonts w:ascii="Arial" w:hAnsi="Arial" w:cs="Arial"/>
          <w:i/>
          <w:sz w:val="20"/>
          <w:szCs w:val="20"/>
        </w:rPr>
        <w:t>đai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31/2024/QH15 đư</w:t>
      </w:r>
      <w:r w:rsidRPr="006C30A0">
        <w:rPr>
          <w:rFonts w:ascii="Arial" w:hAnsi="Arial" w:cs="Arial"/>
          <w:i/>
          <w:sz w:val="20"/>
          <w:szCs w:val="20"/>
        </w:rPr>
        <w:t>ợ</w:t>
      </w:r>
      <w:r w:rsidRPr="006C30A0">
        <w:rPr>
          <w:rFonts w:ascii="Arial" w:hAnsi="Arial" w:cs="Arial"/>
          <w:i/>
          <w:sz w:val="20"/>
          <w:szCs w:val="20"/>
        </w:rPr>
        <w:t>c s</w:t>
      </w:r>
      <w:r w:rsidRPr="006C30A0">
        <w:rPr>
          <w:rFonts w:ascii="Arial" w:hAnsi="Arial" w:cs="Arial"/>
          <w:i/>
          <w:sz w:val="20"/>
          <w:szCs w:val="20"/>
        </w:rPr>
        <w:t>ử</w:t>
      </w:r>
      <w:r w:rsidRPr="006C30A0">
        <w:rPr>
          <w:rFonts w:ascii="Arial" w:hAnsi="Arial" w:cs="Arial"/>
          <w:i/>
          <w:sz w:val="20"/>
          <w:szCs w:val="20"/>
        </w:rPr>
        <w:t>a đ</w:t>
      </w:r>
      <w:r w:rsidRPr="006C30A0">
        <w:rPr>
          <w:rFonts w:ascii="Arial" w:hAnsi="Arial" w:cs="Arial"/>
          <w:i/>
          <w:sz w:val="20"/>
          <w:szCs w:val="20"/>
        </w:rPr>
        <w:t>ổ</w:t>
      </w:r>
      <w:r w:rsidRPr="006C30A0">
        <w:rPr>
          <w:rFonts w:ascii="Arial" w:hAnsi="Arial" w:cs="Arial"/>
          <w:i/>
          <w:sz w:val="20"/>
          <w:szCs w:val="20"/>
        </w:rPr>
        <w:t>i, b</w:t>
      </w:r>
      <w:r w:rsidRPr="006C30A0">
        <w:rPr>
          <w:rFonts w:ascii="Arial" w:hAnsi="Arial" w:cs="Arial"/>
          <w:i/>
          <w:sz w:val="20"/>
          <w:szCs w:val="20"/>
        </w:rPr>
        <w:t>ổ</w:t>
      </w:r>
      <w:r w:rsidRPr="006C30A0">
        <w:rPr>
          <w:rFonts w:ascii="Arial" w:hAnsi="Arial" w:cs="Arial"/>
          <w:i/>
          <w:sz w:val="20"/>
          <w:szCs w:val="20"/>
        </w:rPr>
        <w:t xml:space="preserve"> sung m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đi</w:t>
      </w:r>
      <w:r w:rsidRPr="006C30A0">
        <w:rPr>
          <w:rFonts w:ascii="Arial" w:hAnsi="Arial" w:cs="Arial"/>
          <w:i/>
          <w:sz w:val="20"/>
          <w:szCs w:val="20"/>
        </w:rPr>
        <w:t>ề</w:t>
      </w:r>
      <w:r w:rsidRPr="006C30A0">
        <w:rPr>
          <w:rFonts w:ascii="Arial" w:hAnsi="Arial" w:cs="Arial"/>
          <w:i/>
          <w:sz w:val="20"/>
          <w:szCs w:val="20"/>
        </w:rPr>
        <w:t>u b</w:t>
      </w:r>
      <w:r w:rsidRPr="006C30A0">
        <w:rPr>
          <w:rFonts w:ascii="Arial" w:hAnsi="Arial" w:cs="Arial"/>
          <w:i/>
          <w:sz w:val="20"/>
          <w:szCs w:val="20"/>
        </w:rPr>
        <w:t>ở</w:t>
      </w:r>
      <w:r w:rsidRPr="006C30A0">
        <w:rPr>
          <w:rFonts w:ascii="Arial" w:hAnsi="Arial" w:cs="Arial"/>
          <w:i/>
          <w:sz w:val="20"/>
          <w:szCs w:val="20"/>
        </w:rPr>
        <w:t>i các Lu</w:t>
      </w:r>
      <w:r w:rsidRPr="006C30A0">
        <w:rPr>
          <w:rFonts w:ascii="Arial" w:hAnsi="Arial" w:cs="Arial"/>
          <w:i/>
          <w:sz w:val="20"/>
          <w:szCs w:val="20"/>
        </w:rPr>
        <w:t>ậ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43/2024/QH15,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47/2024/QH15,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58/2024/QH15,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71/2025/QH15,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84/2025/QH15,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93/2025/QH15,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95/2025/QH15,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146/2025/QH15 và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147/2025/QH15 (sau đây g</w:t>
      </w:r>
      <w:r w:rsidRPr="006C30A0">
        <w:rPr>
          <w:rFonts w:ascii="Arial" w:hAnsi="Arial" w:cs="Arial"/>
          <w:i/>
          <w:sz w:val="20"/>
          <w:szCs w:val="20"/>
        </w:rPr>
        <w:t>ọ</w:t>
      </w:r>
      <w:r w:rsidRPr="006C30A0">
        <w:rPr>
          <w:rFonts w:ascii="Arial" w:hAnsi="Arial" w:cs="Arial"/>
          <w:i/>
          <w:sz w:val="20"/>
          <w:szCs w:val="20"/>
        </w:rPr>
        <w:t>i là Lu</w:t>
      </w:r>
      <w:r w:rsidRPr="006C30A0">
        <w:rPr>
          <w:rFonts w:ascii="Arial" w:hAnsi="Arial" w:cs="Arial"/>
          <w:i/>
          <w:sz w:val="20"/>
          <w:szCs w:val="20"/>
        </w:rPr>
        <w:t>ậ</w:t>
      </w:r>
      <w:r w:rsidRPr="006C30A0">
        <w:rPr>
          <w:rFonts w:ascii="Arial" w:hAnsi="Arial" w:cs="Arial"/>
          <w:i/>
          <w:sz w:val="20"/>
          <w:szCs w:val="20"/>
        </w:rPr>
        <w:t>t Đ</w:t>
      </w:r>
      <w:r w:rsidRPr="006C30A0">
        <w:rPr>
          <w:rFonts w:ascii="Arial" w:hAnsi="Arial" w:cs="Arial"/>
          <w:i/>
          <w:sz w:val="20"/>
          <w:szCs w:val="20"/>
        </w:rPr>
        <w:t>ấ</w:t>
      </w:r>
      <w:r w:rsidRPr="006C30A0">
        <w:rPr>
          <w:rFonts w:ascii="Arial" w:hAnsi="Arial" w:cs="Arial"/>
          <w:i/>
          <w:sz w:val="20"/>
          <w:szCs w:val="20"/>
        </w:rPr>
        <w:t>t đai);</w:t>
      </w:r>
    </w:p>
    <w:p w14:paraId="419DAF3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i/>
          <w:sz w:val="20"/>
          <w:szCs w:val="20"/>
        </w:rPr>
        <w:t>Că</w:t>
      </w:r>
      <w:r w:rsidRPr="006C30A0">
        <w:rPr>
          <w:rFonts w:ascii="Arial" w:hAnsi="Arial" w:cs="Arial"/>
          <w:i/>
          <w:sz w:val="20"/>
          <w:szCs w:val="20"/>
        </w:rPr>
        <w:t>n c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 xml:space="preserve"> Ngh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 xml:space="preserve"> quy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190/2025/QH15 c</w:t>
      </w:r>
      <w:r w:rsidRPr="006C30A0">
        <w:rPr>
          <w:rFonts w:ascii="Arial" w:hAnsi="Arial" w:cs="Arial"/>
          <w:i/>
          <w:sz w:val="20"/>
          <w:szCs w:val="20"/>
        </w:rPr>
        <w:t>ủ</w:t>
      </w:r>
      <w:r w:rsidRPr="006C30A0">
        <w:rPr>
          <w:rFonts w:ascii="Arial" w:hAnsi="Arial" w:cs="Arial"/>
          <w:i/>
          <w:sz w:val="20"/>
          <w:szCs w:val="20"/>
        </w:rPr>
        <w:t>a Qu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>c h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i quy đ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>nh v</w:t>
      </w:r>
      <w:r w:rsidRPr="006C30A0">
        <w:rPr>
          <w:rFonts w:ascii="Arial" w:hAnsi="Arial" w:cs="Arial"/>
          <w:i/>
          <w:sz w:val="20"/>
          <w:szCs w:val="20"/>
        </w:rPr>
        <w:t>ề</w:t>
      </w:r>
      <w:r w:rsidRPr="006C30A0">
        <w:rPr>
          <w:rFonts w:ascii="Arial" w:hAnsi="Arial" w:cs="Arial"/>
          <w:i/>
          <w:sz w:val="20"/>
          <w:szCs w:val="20"/>
        </w:rPr>
        <w:t xml:space="preserve"> vi</w:t>
      </w:r>
      <w:r w:rsidRPr="006C30A0">
        <w:rPr>
          <w:rFonts w:ascii="Arial" w:hAnsi="Arial" w:cs="Arial"/>
          <w:i/>
          <w:sz w:val="20"/>
          <w:szCs w:val="20"/>
        </w:rPr>
        <w:t>ệ</w:t>
      </w:r>
      <w:r w:rsidRPr="006C30A0">
        <w:rPr>
          <w:rFonts w:ascii="Arial" w:hAnsi="Arial" w:cs="Arial"/>
          <w:i/>
          <w:sz w:val="20"/>
          <w:szCs w:val="20"/>
        </w:rPr>
        <w:t>c x</w:t>
      </w:r>
      <w:r w:rsidRPr="006C30A0">
        <w:rPr>
          <w:rFonts w:ascii="Arial" w:hAnsi="Arial" w:cs="Arial"/>
          <w:i/>
          <w:sz w:val="20"/>
          <w:szCs w:val="20"/>
        </w:rPr>
        <w:t>ử</w:t>
      </w:r>
      <w:r w:rsidRPr="006C30A0">
        <w:rPr>
          <w:rFonts w:ascii="Arial" w:hAnsi="Arial" w:cs="Arial"/>
          <w:i/>
          <w:sz w:val="20"/>
          <w:szCs w:val="20"/>
        </w:rPr>
        <w:t xml:space="preserve"> lý m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v</w:t>
      </w:r>
      <w:r w:rsidRPr="006C30A0">
        <w:rPr>
          <w:rFonts w:ascii="Arial" w:hAnsi="Arial" w:cs="Arial"/>
          <w:i/>
          <w:sz w:val="20"/>
          <w:szCs w:val="20"/>
        </w:rPr>
        <w:t>ấ</w:t>
      </w:r>
      <w:r w:rsidRPr="006C30A0">
        <w:rPr>
          <w:rFonts w:ascii="Arial" w:hAnsi="Arial" w:cs="Arial"/>
          <w:i/>
          <w:sz w:val="20"/>
          <w:szCs w:val="20"/>
        </w:rPr>
        <w:t>n đ</w:t>
      </w:r>
      <w:r w:rsidRPr="006C30A0">
        <w:rPr>
          <w:rFonts w:ascii="Arial" w:hAnsi="Arial" w:cs="Arial"/>
          <w:i/>
          <w:sz w:val="20"/>
          <w:szCs w:val="20"/>
        </w:rPr>
        <w:t>ề</w:t>
      </w:r>
      <w:r w:rsidRPr="006C30A0">
        <w:rPr>
          <w:rFonts w:ascii="Arial" w:hAnsi="Arial" w:cs="Arial"/>
          <w:i/>
          <w:sz w:val="20"/>
          <w:szCs w:val="20"/>
        </w:rPr>
        <w:t xml:space="preserve"> liên quan đ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n s</w:t>
      </w:r>
      <w:r w:rsidRPr="006C30A0">
        <w:rPr>
          <w:rFonts w:ascii="Arial" w:hAnsi="Arial" w:cs="Arial"/>
          <w:i/>
          <w:sz w:val="20"/>
          <w:szCs w:val="20"/>
        </w:rPr>
        <w:t>ắ</w:t>
      </w:r>
      <w:r w:rsidRPr="006C30A0">
        <w:rPr>
          <w:rFonts w:ascii="Arial" w:hAnsi="Arial" w:cs="Arial"/>
          <w:i/>
          <w:sz w:val="20"/>
          <w:szCs w:val="20"/>
        </w:rPr>
        <w:t>p x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p t</w:t>
      </w:r>
      <w:r w:rsidRPr="006C30A0">
        <w:rPr>
          <w:rFonts w:ascii="Arial" w:hAnsi="Arial" w:cs="Arial"/>
          <w:i/>
          <w:sz w:val="20"/>
          <w:szCs w:val="20"/>
        </w:rPr>
        <w:t>ổ</w:t>
      </w:r>
      <w:r w:rsidRPr="006C30A0">
        <w:rPr>
          <w:rFonts w:ascii="Arial" w:hAnsi="Arial" w:cs="Arial"/>
          <w:i/>
          <w:sz w:val="20"/>
          <w:szCs w:val="20"/>
        </w:rPr>
        <w:t xml:space="preserve"> ch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>c b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 xml:space="preserve"> máy nhà nư</w:t>
      </w:r>
      <w:r w:rsidRPr="006C30A0">
        <w:rPr>
          <w:rFonts w:ascii="Arial" w:hAnsi="Arial" w:cs="Arial"/>
          <w:i/>
          <w:sz w:val="20"/>
          <w:szCs w:val="20"/>
        </w:rPr>
        <w:t>ớ</w:t>
      </w:r>
      <w:r w:rsidRPr="006C30A0">
        <w:rPr>
          <w:rFonts w:ascii="Arial" w:hAnsi="Arial" w:cs="Arial"/>
          <w:i/>
          <w:sz w:val="20"/>
          <w:szCs w:val="20"/>
        </w:rPr>
        <w:t>c;</w:t>
      </w:r>
    </w:p>
    <w:p w14:paraId="5957B27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i/>
          <w:sz w:val="20"/>
          <w:szCs w:val="20"/>
        </w:rPr>
        <w:t>Căn c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 xml:space="preserve"> Ngh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 xml:space="preserve"> quy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254/2025/QH15 c</w:t>
      </w:r>
      <w:r w:rsidRPr="006C30A0">
        <w:rPr>
          <w:rFonts w:ascii="Arial" w:hAnsi="Arial" w:cs="Arial"/>
          <w:i/>
          <w:sz w:val="20"/>
          <w:szCs w:val="20"/>
        </w:rPr>
        <w:t>ủ</w:t>
      </w:r>
      <w:r w:rsidRPr="006C30A0">
        <w:rPr>
          <w:rFonts w:ascii="Arial" w:hAnsi="Arial" w:cs="Arial"/>
          <w:i/>
          <w:sz w:val="20"/>
          <w:szCs w:val="20"/>
        </w:rPr>
        <w:t>a Qu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>c h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i quy đ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>nh m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cơ ch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, chính sách tháo g</w:t>
      </w:r>
      <w:r w:rsidRPr="006C30A0">
        <w:rPr>
          <w:rFonts w:ascii="Arial" w:hAnsi="Arial" w:cs="Arial"/>
          <w:i/>
          <w:sz w:val="20"/>
          <w:szCs w:val="20"/>
        </w:rPr>
        <w:t>ỡ</w:t>
      </w:r>
      <w:r w:rsidRPr="006C30A0">
        <w:rPr>
          <w:rFonts w:ascii="Arial" w:hAnsi="Arial" w:cs="Arial"/>
          <w:i/>
          <w:sz w:val="20"/>
          <w:szCs w:val="20"/>
        </w:rPr>
        <w:t xml:space="preserve"> khó khăn, vư</w:t>
      </w:r>
      <w:r w:rsidRPr="006C30A0">
        <w:rPr>
          <w:rFonts w:ascii="Arial" w:hAnsi="Arial" w:cs="Arial"/>
          <w:i/>
          <w:sz w:val="20"/>
          <w:szCs w:val="20"/>
        </w:rPr>
        <w:t>ớ</w:t>
      </w:r>
      <w:r w:rsidRPr="006C30A0">
        <w:rPr>
          <w:rFonts w:ascii="Arial" w:hAnsi="Arial" w:cs="Arial"/>
          <w:i/>
          <w:sz w:val="20"/>
          <w:szCs w:val="20"/>
        </w:rPr>
        <w:t>ng m</w:t>
      </w:r>
      <w:r w:rsidRPr="006C30A0">
        <w:rPr>
          <w:rFonts w:ascii="Arial" w:hAnsi="Arial" w:cs="Arial"/>
          <w:i/>
          <w:sz w:val="20"/>
          <w:szCs w:val="20"/>
        </w:rPr>
        <w:t>ắ</w:t>
      </w:r>
      <w:r w:rsidRPr="006C30A0">
        <w:rPr>
          <w:rFonts w:ascii="Arial" w:hAnsi="Arial" w:cs="Arial"/>
          <w:i/>
          <w:sz w:val="20"/>
          <w:szCs w:val="20"/>
        </w:rPr>
        <w:t>c trong t</w:t>
      </w:r>
      <w:r w:rsidRPr="006C30A0">
        <w:rPr>
          <w:rFonts w:ascii="Arial" w:hAnsi="Arial" w:cs="Arial"/>
          <w:i/>
          <w:sz w:val="20"/>
          <w:szCs w:val="20"/>
        </w:rPr>
        <w:t>ổ</w:t>
      </w:r>
      <w:r w:rsidRPr="006C30A0">
        <w:rPr>
          <w:rFonts w:ascii="Arial" w:hAnsi="Arial" w:cs="Arial"/>
          <w:i/>
          <w:sz w:val="20"/>
          <w:szCs w:val="20"/>
        </w:rPr>
        <w:t xml:space="preserve"> ch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>c t</w:t>
      </w:r>
      <w:r w:rsidRPr="006C30A0">
        <w:rPr>
          <w:rFonts w:ascii="Arial" w:hAnsi="Arial" w:cs="Arial"/>
          <w:i/>
          <w:sz w:val="20"/>
          <w:szCs w:val="20"/>
        </w:rPr>
        <w:t>hi hành Lu</w:t>
      </w:r>
      <w:r w:rsidRPr="006C30A0">
        <w:rPr>
          <w:rFonts w:ascii="Arial" w:hAnsi="Arial" w:cs="Arial"/>
          <w:i/>
          <w:sz w:val="20"/>
          <w:szCs w:val="20"/>
        </w:rPr>
        <w:t>ậ</w:t>
      </w:r>
      <w:r w:rsidRPr="006C30A0">
        <w:rPr>
          <w:rFonts w:ascii="Arial" w:hAnsi="Arial" w:cs="Arial"/>
          <w:i/>
          <w:sz w:val="20"/>
          <w:szCs w:val="20"/>
        </w:rPr>
        <w:t>t Đ</w:t>
      </w:r>
      <w:r w:rsidRPr="006C30A0">
        <w:rPr>
          <w:rFonts w:ascii="Arial" w:hAnsi="Arial" w:cs="Arial"/>
          <w:i/>
          <w:sz w:val="20"/>
          <w:szCs w:val="20"/>
        </w:rPr>
        <w:t>ấ</w:t>
      </w:r>
      <w:r w:rsidRPr="006C30A0">
        <w:rPr>
          <w:rFonts w:ascii="Arial" w:hAnsi="Arial" w:cs="Arial"/>
          <w:i/>
          <w:sz w:val="20"/>
          <w:szCs w:val="20"/>
        </w:rPr>
        <w:t>t đai;</w:t>
      </w:r>
    </w:p>
    <w:p w14:paraId="14663EC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i/>
          <w:sz w:val="20"/>
          <w:szCs w:val="20"/>
        </w:rPr>
        <w:t>Theo đ</w:t>
      </w:r>
      <w:r w:rsidRPr="006C30A0">
        <w:rPr>
          <w:rFonts w:ascii="Arial" w:hAnsi="Arial" w:cs="Arial"/>
          <w:i/>
          <w:sz w:val="20"/>
          <w:szCs w:val="20"/>
        </w:rPr>
        <w:t>ề</w:t>
      </w:r>
      <w:r w:rsidRPr="006C30A0">
        <w:rPr>
          <w:rFonts w:ascii="Arial" w:hAnsi="Arial" w:cs="Arial"/>
          <w:i/>
          <w:sz w:val="20"/>
          <w:szCs w:val="20"/>
        </w:rPr>
        <w:t xml:space="preserve"> ngh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 xml:space="preserve"> c</w:t>
      </w:r>
      <w:r w:rsidRPr="006C30A0">
        <w:rPr>
          <w:rFonts w:ascii="Arial" w:hAnsi="Arial" w:cs="Arial"/>
          <w:i/>
          <w:sz w:val="20"/>
          <w:szCs w:val="20"/>
        </w:rPr>
        <w:t>ủ</w:t>
      </w:r>
      <w:r w:rsidRPr="006C30A0">
        <w:rPr>
          <w:rFonts w:ascii="Arial" w:hAnsi="Arial" w:cs="Arial"/>
          <w:i/>
          <w:sz w:val="20"/>
          <w:szCs w:val="20"/>
        </w:rPr>
        <w:t>a B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 xml:space="preserve"> trư</w:t>
      </w:r>
      <w:r w:rsidRPr="006C30A0">
        <w:rPr>
          <w:rFonts w:ascii="Arial" w:hAnsi="Arial" w:cs="Arial"/>
          <w:i/>
          <w:sz w:val="20"/>
          <w:szCs w:val="20"/>
        </w:rPr>
        <w:t>ở</w:t>
      </w:r>
      <w:r w:rsidRPr="006C30A0">
        <w:rPr>
          <w:rFonts w:ascii="Arial" w:hAnsi="Arial" w:cs="Arial"/>
          <w:i/>
          <w:sz w:val="20"/>
          <w:szCs w:val="20"/>
        </w:rPr>
        <w:t>ng B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 xml:space="preserve"> Nông nghi</w:t>
      </w:r>
      <w:r w:rsidRPr="006C30A0">
        <w:rPr>
          <w:rFonts w:ascii="Arial" w:hAnsi="Arial" w:cs="Arial"/>
          <w:i/>
          <w:sz w:val="20"/>
          <w:szCs w:val="20"/>
        </w:rPr>
        <w:t>ệ</w:t>
      </w:r>
      <w:r w:rsidRPr="006C30A0">
        <w:rPr>
          <w:rFonts w:ascii="Arial" w:hAnsi="Arial" w:cs="Arial"/>
          <w:i/>
          <w:sz w:val="20"/>
          <w:szCs w:val="20"/>
        </w:rPr>
        <w:t>p và Môi trư</w:t>
      </w:r>
      <w:r w:rsidRPr="006C30A0">
        <w:rPr>
          <w:rFonts w:ascii="Arial" w:hAnsi="Arial" w:cs="Arial"/>
          <w:i/>
          <w:sz w:val="20"/>
          <w:szCs w:val="20"/>
        </w:rPr>
        <w:t>ờ</w:t>
      </w:r>
      <w:r w:rsidRPr="006C30A0">
        <w:rPr>
          <w:rFonts w:ascii="Arial" w:hAnsi="Arial" w:cs="Arial"/>
          <w:i/>
          <w:sz w:val="20"/>
          <w:szCs w:val="20"/>
        </w:rPr>
        <w:t>ng;</w:t>
      </w:r>
    </w:p>
    <w:p w14:paraId="3182E69B" w14:textId="77777777" w:rsidR="007C5AD2" w:rsidRPr="006C30A0" w:rsidRDefault="00B37C51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6C30A0">
        <w:rPr>
          <w:rFonts w:ascii="Arial" w:hAnsi="Arial" w:cs="Arial"/>
          <w:i/>
          <w:sz w:val="20"/>
          <w:szCs w:val="20"/>
        </w:rPr>
        <w:t>Chính ph</w:t>
      </w:r>
      <w:r w:rsidRPr="006C30A0">
        <w:rPr>
          <w:rFonts w:ascii="Arial" w:hAnsi="Arial" w:cs="Arial"/>
          <w:i/>
          <w:sz w:val="20"/>
          <w:szCs w:val="20"/>
        </w:rPr>
        <w:t>ủ</w:t>
      </w:r>
      <w:r w:rsidRPr="006C30A0">
        <w:rPr>
          <w:rFonts w:ascii="Arial" w:hAnsi="Arial" w:cs="Arial"/>
          <w:i/>
          <w:sz w:val="20"/>
          <w:szCs w:val="20"/>
        </w:rPr>
        <w:t xml:space="preserve"> ban hành Ngh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 xml:space="preserve"> đ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>nh quy đ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>nh chi ti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t và hư</w:t>
      </w:r>
      <w:r w:rsidRPr="006C30A0">
        <w:rPr>
          <w:rFonts w:ascii="Arial" w:hAnsi="Arial" w:cs="Arial"/>
          <w:i/>
          <w:sz w:val="20"/>
          <w:szCs w:val="20"/>
        </w:rPr>
        <w:t>ớ</w:t>
      </w:r>
      <w:r w:rsidRPr="006C30A0">
        <w:rPr>
          <w:rFonts w:ascii="Arial" w:hAnsi="Arial" w:cs="Arial"/>
          <w:i/>
          <w:sz w:val="20"/>
          <w:szCs w:val="20"/>
        </w:rPr>
        <w:t>ng d</w:t>
      </w:r>
      <w:r w:rsidRPr="006C30A0">
        <w:rPr>
          <w:rFonts w:ascii="Arial" w:hAnsi="Arial" w:cs="Arial"/>
          <w:i/>
          <w:sz w:val="20"/>
          <w:szCs w:val="20"/>
        </w:rPr>
        <w:t>ẫ</w:t>
      </w:r>
      <w:r w:rsidRPr="006C30A0">
        <w:rPr>
          <w:rFonts w:ascii="Arial" w:hAnsi="Arial" w:cs="Arial"/>
          <w:i/>
          <w:sz w:val="20"/>
          <w:szCs w:val="20"/>
        </w:rPr>
        <w:t>n m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đi</w:t>
      </w:r>
      <w:r w:rsidRPr="006C30A0">
        <w:rPr>
          <w:rFonts w:ascii="Arial" w:hAnsi="Arial" w:cs="Arial"/>
          <w:i/>
          <w:sz w:val="20"/>
          <w:szCs w:val="20"/>
        </w:rPr>
        <w:t>ề</w:t>
      </w:r>
      <w:r w:rsidRPr="006C30A0">
        <w:rPr>
          <w:rFonts w:ascii="Arial" w:hAnsi="Arial" w:cs="Arial"/>
          <w:i/>
          <w:sz w:val="20"/>
          <w:szCs w:val="20"/>
        </w:rPr>
        <w:t>u c</w:t>
      </w:r>
      <w:r w:rsidRPr="006C30A0">
        <w:rPr>
          <w:rFonts w:ascii="Arial" w:hAnsi="Arial" w:cs="Arial"/>
          <w:i/>
          <w:sz w:val="20"/>
          <w:szCs w:val="20"/>
        </w:rPr>
        <w:t>ủ</w:t>
      </w:r>
      <w:r w:rsidRPr="006C30A0">
        <w:rPr>
          <w:rFonts w:ascii="Arial" w:hAnsi="Arial" w:cs="Arial"/>
          <w:i/>
          <w:sz w:val="20"/>
          <w:szCs w:val="20"/>
        </w:rPr>
        <w:t>a Ngh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 xml:space="preserve"> quy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254/2025/QH15 c</w:t>
      </w:r>
      <w:r w:rsidRPr="006C30A0">
        <w:rPr>
          <w:rFonts w:ascii="Arial" w:hAnsi="Arial" w:cs="Arial"/>
          <w:i/>
          <w:sz w:val="20"/>
          <w:szCs w:val="20"/>
        </w:rPr>
        <w:t>ủ</w:t>
      </w:r>
      <w:r w:rsidRPr="006C30A0">
        <w:rPr>
          <w:rFonts w:ascii="Arial" w:hAnsi="Arial" w:cs="Arial"/>
          <w:i/>
          <w:sz w:val="20"/>
          <w:szCs w:val="20"/>
        </w:rPr>
        <w:t>a Qu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>c h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i quy đ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>nh m</w:t>
      </w:r>
      <w:r w:rsidRPr="006C30A0">
        <w:rPr>
          <w:rFonts w:ascii="Arial" w:hAnsi="Arial" w:cs="Arial"/>
          <w:i/>
          <w:sz w:val="20"/>
          <w:szCs w:val="20"/>
        </w:rPr>
        <w:t>ộ</w:t>
      </w:r>
      <w:r w:rsidRPr="006C30A0">
        <w:rPr>
          <w:rFonts w:ascii="Arial" w:hAnsi="Arial" w:cs="Arial"/>
          <w:i/>
          <w:sz w:val="20"/>
          <w:szCs w:val="20"/>
        </w:rPr>
        <w:t>t s</w:t>
      </w:r>
      <w:r w:rsidRPr="006C30A0">
        <w:rPr>
          <w:rFonts w:ascii="Arial" w:hAnsi="Arial" w:cs="Arial"/>
          <w:i/>
          <w:sz w:val="20"/>
          <w:szCs w:val="20"/>
        </w:rPr>
        <w:t>ố</w:t>
      </w:r>
      <w:r w:rsidRPr="006C30A0">
        <w:rPr>
          <w:rFonts w:ascii="Arial" w:hAnsi="Arial" w:cs="Arial"/>
          <w:i/>
          <w:sz w:val="20"/>
          <w:szCs w:val="20"/>
        </w:rPr>
        <w:t xml:space="preserve"> cơ ch</w:t>
      </w:r>
      <w:r w:rsidRPr="006C30A0">
        <w:rPr>
          <w:rFonts w:ascii="Arial" w:hAnsi="Arial" w:cs="Arial"/>
          <w:i/>
          <w:sz w:val="20"/>
          <w:szCs w:val="20"/>
        </w:rPr>
        <w:t>ế</w:t>
      </w:r>
      <w:r w:rsidRPr="006C30A0">
        <w:rPr>
          <w:rFonts w:ascii="Arial" w:hAnsi="Arial" w:cs="Arial"/>
          <w:i/>
          <w:sz w:val="20"/>
          <w:szCs w:val="20"/>
        </w:rPr>
        <w:t>, chính sách tháo g</w:t>
      </w:r>
      <w:r w:rsidRPr="006C30A0">
        <w:rPr>
          <w:rFonts w:ascii="Arial" w:hAnsi="Arial" w:cs="Arial"/>
          <w:i/>
          <w:sz w:val="20"/>
          <w:szCs w:val="20"/>
        </w:rPr>
        <w:t>ỡ</w:t>
      </w:r>
      <w:r w:rsidRPr="006C30A0">
        <w:rPr>
          <w:rFonts w:ascii="Arial" w:hAnsi="Arial" w:cs="Arial"/>
          <w:i/>
          <w:sz w:val="20"/>
          <w:szCs w:val="20"/>
        </w:rPr>
        <w:t xml:space="preserve"> khó khăn, vư</w:t>
      </w:r>
      <w:r w:rsidRPr="006C30A0">
        <w:rPr>
          <w:rFonts w:ascii="Arial" w:hAnsi="Arial" w:cs="Arial"/>
          <w:i/>
          <w:sz w:val="20"/>
          <w:szCs w:val="20"/>
        </w:rPr>
        <w:t>ớ</w:t>
      </w:r>
      <w:r w:rsidRPr="006C30A0">
        <w:rPr>
          <w:rFonts w:ascii="Arial" w:hAnsi="Arial" w:cs="Arial"/>
          <w:i/>
          <w:sz w:val="20"/>
          <w:szCs w:val="20"/>
        </w:rPr>
        <w:t xml:space="preserve">ng </w:t>
      </w:r>
      <w:r w:rsidRPr="006C30A0">
        <w:rPr>
          <w:rFonts w:ascii="Arial" w:hAnsi="Arial" w:cs="Arial"/>
          <w:i/>
          <w:sz w:val="20"/>
          <w:szCs w:val="20"/>
        </w:rPr>
        <w:t>m</w:t>
      </w:r>
      <w:r w:rsidRPr="006C30A0">
        <w:rPr>
          <w:rFonts w:ascii="Arial" w:hAnsi="Arial" w:cs="Arial"/>
          <w:i/>
          <w:sz w:val="20"/>
          <w:szCs w:val="20"/>
        </w:rPr>
        <w:t>ắ</w:t>
      </w:r>
      <w:r w:rsidRPr="006C30A0">
        <w:rPr>
          <w:rFonts w:ascii="Arial" w:hAnsi="Arial" w:cs="Arial"/>
          <w:i/>
          <w:sz w:val="20"/>
          <w:szCs w:val="20"/>
        </w:rPr>
        <w:t>c trong t</w:t>
      </w:r>
      <w:r w:rsidRPr="006C30A0">
        <w:rPr>
          <w:rFonts w:ascii="Arial" w:hAnsi="Arial" w:cs="Arial"/>
          <w:i/>
          <w:sz w:val="20"/>
          <w:szCs w:val="20"/>
        </w:rPr>
        <w:t>ổ</w:t>
      </w:r>
      <w:r w:rsidRPr="006C30A0">
        <w:rPr>
          <w:rFonts w:ascii="Arial" w:hAnsi="Arial" w:cs="Arial"/>
          <w:i/>
          <w:sz w:val="20"/>
          <w:szCs w:val="20"/>
        </w:rPr>
        <w:t xml:space="preserve"> ch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>c thi hành Lu</w:t>
      </w:r>
      <w:r w:rsidRPr="006C30A0">
        <w:rPr>
          <w:rFonts w:ascii="Arial" w:hAnsi="Arial" w:cs="Arial"/>
          <w:i/>
          <w:sz w:val="20"/>
          <w:szCs w:val="20"/>
        </w:rPr>
        <w:t>ậ</w:t>
      </w:r>
      <w:r w:rsidRPr="006C30A0">
        <w:rPr>
          <w:rFonts w:ascii="Arial" w:hAnsi="Arial" w:cs="Arial"/>
          <w:i/>
          <w:sz w:val="20"/>
          <w:szCs w:val="20"/>
        </w:rPr>
        <w:t>t Đ</w:t>
      </w:r>
      <w:r w:rsidRPr="006C30A0">
        <w:rPr>
          <w:rFonts w:ascii="Arial" w:hAnsi="Arial" w:cs="Arial"/>
          <w:i/>
          <w:sz w:val="20"/>
          <w:szCs w:val="20"/>
        </w:rPr>
        <w:t>ấ</w:t>
      </w:r>
      <w:r w:rsidRPr="006C30A0">
        <w:rPr>
          <w:rFonts w:ascii="Arial" w:hAnsi="Arial" w:cs="Arial"/>
          <w:i/>
          <w:sz w:val="20"/>
          <w:szCs w:val="20"/>
        </w:rPr>
        <w:t>t đai.</w:t>
      </w:r>
    </w:p>
    <w:p w14:paraId="5A742F2D" w14:textId="77777777" w:rsidR="006038A7" w:rsidRPr="006C30A0" w:rsidRDefault="006038A7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60391FC" w14:textId="77777777" w:rsidR="006038A7" w:rsidRPr="006C30A0" w:rsidRDefault="00B37C51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 xml:space="preserve">Chương I </w:t>
      </w:r>
    </w:p>
    <w:p w14:paraId="05D59663" w14:textId="53F62C05" w:rsidR="007C5AD2" w:rsidRPr="006C30A0" w:rsidRDefault="006038A7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QUY ĐỊNH CHUNG</w:t>
      </w:r>
    </w:p>
    <w:p w14:paraId="35FECA00" w14:textId="77777777" w:rsidR="006038A7" w:rsidRPr="006C30A0" w:rsidRDefault="006038A7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DF711C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1. Ph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m vi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ch</w:t>
      </w:r>
      <w:r w:rsidRPr="006C30A0">
        <w:rPr>
          <w:rFonts w:ascii="Arial" w:hAnsi="Arial" w:cs="Arial"/>
          <w:b/>
          <w:sz w:val="20"/>
          <w:szCs w:val="20"/>
        </w:rPr>
        <w:t>ỉ</w:t>
      </w:r>
      <w:r w:rsidRPr="006C30A0">
        <w:rPr>
          <w:rFonts w:ascii="Arial" w:hAnsi="Arial" w:cs="Arial"/>
          <w:b/>
          <w:sz w:val="20"/>
          <w:szCs w:val="20"/>
        </w:rPr>
        <w:t>nh</w:t>
      </w:r>
    </w:p>
    <w:p w14:paraId="3A71F9E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nh:</w:t>
      </w:r>
    </w:p>
    <w:p w14:paraId="418BE68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chi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và hư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ng d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254/2025/QH15,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10, đ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13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8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9;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11;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12;</w:t>
      </w:r>
    </w:p>
    <w:p w14:paraId="2F16E4C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các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liên quan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thi hành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</w:t>
      </w:r>
    </w:p>
    <w:p w14:paraId="1C53F1E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phân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p, phân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n, phân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trong lĩnh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</w:t>
      </w:r>
    </w:p>
    <w:p w14:paraId="5B72E5B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chi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trong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chi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thi hà</w:t>
      </w:r>
      <w:r w:rsidRPr="006C30A0">
        <w:rPr>
          <w:rFonts w:ascii="Arial" w:hAnsi="Arial" w:cs="Arial"/>
          <w:sz w:val="20"/>
          <w:szCs w:val="20"/>
        </w:rPr>
        <w:t>nh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ngày 11 tháng 12 năm 2025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chi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cơ ch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tháo g</w:t>
      </w:r>
      <w:r w:rsidRPr="006C30A0">
        <w:rPr>
          <w:rFonts w:ascii="Arial" w:hAnsi="Arial" w:cs="Arial"/>
          <w:sz w:val="20"/>
          <w:szCs w:val="20"/>
        </w:rPr>
        <w:t>ỡ</w:t>
      </w:r>
      <w:r w:rsidRPr="006C30A0">
        <w:rPr>
          <w:rFonts w:ascii="Arial" w:hAnsi="Arial" w:cs="Arial"/>
          <w:sz w:val="20"/>
          <w:szCs w:val="20"/>
        </w:rPr>
        <w:t xml:space="preserve"> khó khăn, vư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trong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thi hành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61E3279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2. Đ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>i tư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ng áp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</w:t>
      </w:r>
    </w:p>
    <w:p w14:paraId="6272E010" w14:textId="77777777" w:rsidR="007C5AD2" w:rsidRPr="006C30A0" w:rsidRDefault="00B37C51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i </w:t>
      </w:r>
      <w:r w:rsidRPr="006C30A0">
        <w:rPr>
          <w:rFonts w:ascii="Arial" w:hAnsi="Arial" w:cs="Arial"/>
          <w:sz w:val="20"/>
          <w:szCs w:val="20"/>
        </w:rPr>
        <w:t>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cơ quan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c, cá nhân có liên quan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7A3AB7D0" w14:textId="77777777" w:rsidR="006038A7" w:rsidRPr="006C30A0" w:rsidRDefault="006038A7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C0AAA97" w14:textId="77777777" w:rsidR="007C5AD2" w:rsidRPr="006C30A0" w:rsidRDefault="00B37C51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Chương II</w:t>
      </w:r>
    </w:p>
    <w:p w14:paraId="703F4875" w14:textId="407C92F3" w:rsidR="007C5AD2" w:rsidRPr="006C30A0" w:rsidRDefault="00B37C51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CHI TI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VÀ HƯ</w:t>
      </w:r>
      <w:r w:rsidRPr="006C30A0">
        <w:rPr>
          <w:rFonts w:ascii="Arial" w:hAnsi="Arial" w:cs="Arial"/>
          <w:b/>
          <w:sz w:val="20"/>
          <w:szCs w:val="20"/>
        </w:rPr>
        <w:t>Ớ</w:t>
      </w:r>
      <w:r w:rsidRPr="006C30A0">
        <w:rPr>
          <w:rFonts w:ascii="Arial" w:hAnsi="Arial" w:cs="Arial"/>
          <w:b/>
          <w:sz w:val="20"/>
          <w:szCs w:val="20"/>
        </w:rPr>
        <w:t>NG D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N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U </w:t>
      </w:r>
      <w:r w:rsidR="006038A7" w:rsidRPr="006C30A0">
        <w:rPr>
          <w:rFonts w:ascii="Arial" w:hAnsi="Arial" w:cs="Arial"/>
          <w:b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>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6361F839" w14:textId="77777777" w:rsidR="006038A7" w:rsidRPr="006C30A0" w:rsidRDefault="006038A7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6CB9608" w14:textId="39AAAAA9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3. B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thư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ng, h</w:t>
      </w:r>
      <w:r w:rsidRPr="006C30A0">
        <w:rPr>
          <w:rFonts w:ascii="Arial" w:hAnsi="Arial" w:cs="Arial"/>
          <w:b/>
          <w:sz w:val="20"/>
          <w:szCs w:val="20"/>
        </w:rPr>
        <w:t>ỗ</w:t>
      </w:r>
      <w:r w:rsidRPr="006C30A0">
        <w:rPr>
          <w:rFonts w:ascii="Arial" w:hAnsi="Arial" w:cs="Arial"/>
          <w:b/>
          <w:sz w:val="20"/>
          <w:szCs w:val="20"/>
        </w:rPr>
        <w:t xml:space="preserve"> tr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, tái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cư, thu h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>i v</w:t>
      </w:r>
      <w:r w:rsidRPr="006C30A0">
        <w:rPr>
          <w:rFonts w:ascii="Arial" w:hAnsi="Arial" w:cs="Arial"/>
          <w:b/>
          <w:sz w:val="20"/>
          <w:szCs w:val="20"/>
        </w:rPr>
        <w:t>ớ</w:t>
      </w:r>
      <w:r w:rsidRPr="006C30A0">
        <w:rPr>
          <w:rFonts w:ascii="Arial" w:hAnsi="Arial" w:cs="Arial"/>
          <w:b/>
          <w:sz w:val="20"/>
          <w:szCs w:val="20"/>
        </w:rPr>
        <w:t>i di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n tích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còn l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không th</w:t>
      </w:r>
      <w:r w:rsidRPr="006C30A0">
        <w:rPr>
          <w:rFonts w:ascii="Arial" w:hAnsi="Arial" w:cs="Arial"/>
          <w:b/>
          <w:sz w:val="20"/>
          <w:szCs w:val="20"/>
        </w:rPr>
        <w:t>ỏ</w:t>
      </w:r>
      <w:r w:rsidRPr="006C30A0">
        <w:rPr>
          <w:rFonts w:ascii="Arial" w:hAnsi="Arial" w:cs="Arial"/>
          <w:b/>
          <w:sz w:val="20"/>
          <w:szCs w:val="20"/>
        </w:rPr>
        <w:t>a thu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n đư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c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d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 xml:space="preserve"> án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thông qua th</w:t>
      </w:r>
      <w:r w:rsidRPr="006C30A0">
        <w:rPr>
          <w:rFonts w:ascii="Arial" w:hAnsi="Arial" w:cs="Arial"/>
          <w:b/>
          <w:sz w:val="20"/>
          <w:szCs w:val="20"/>
        </w:rPr>
        <w:t>ỏ</w:t>
      </w:r>
      <w:r w:rsidRPr="006C30A0">
        <w:rPr>
          <w:rFonts w:ascii="Arial" w:hAnsi="Arial" w:cs="Arial"/>
          <w:b/>
          <w:sz w:val="20"/>
          <w:szCs w:val="20"/>
        </w:rPr>
        <w:t>a thu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n nh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n quy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n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đi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m b kho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2 và đi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m d kho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13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3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0B478F8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Qu</w:t>
      </w:r>
      <w:bookmarkStart w:id="0" w:name="_GoBack"/>
      <w:bookmarkEnd w:id="0"/>
      <w:r w:rsidRPr="006C30A0">
        <w:rPr>
          <w:rFonts w:ascii="Arial" w:hAnsi="Arial" w:cs="Arial"/>
          <w:sz w:val="20"/>
          <w:szCs w:val="20"/>
        </w:rPr>
        <w:t>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trong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án:</w:t>
      </w:r>
    </w:p>
    <w:p w14:paraId="535A8AC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a)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theo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ghi trong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ng, cho thuê, cho thuê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góp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mua bán t</w:t>
      </w:r>
      <w:r w:rsidRPr="006C30A0">
        <w:rPr>
          <w:rFonts w:ascii="Arial" w:hAnsi="Arial" w:cs="Arial"/>
          <w:sz w:val="20"/>
          <w:szCs w:val="20"/>
        </w:rPr>
        <w:t>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vào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538AF8D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 không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1579365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b1)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cơ quan,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ng;</w:t>
      </w:r>
    </w:p>
    <w:p w14:paraId="6625453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b2)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đang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không có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ng, c</w:t>
      </w:r>
      <w:r w:rsidRPr="006C30A0">
        <w:rPr>
          <w:rFonts w:ascii="Arial" w:hAnsi="Arial" w:cs="Arial"/>
          <w:sz w:val="20"/>
          <w:szCs w:val="20"/>
        </w:rPr>
        <w:t>ho thuê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góp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không có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vào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trên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đó.</w:t>
      </w:r>
    </w:p>
    <w:p w14:paraId="3EDE65D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trong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án:</w:t>
      </w:r>
    </w:p>
    <w:p w14:paraId="74F5CEC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 xml:space="preserve">n </w:t>
      </w:r>
      <w:r w:rsidRPr="006C30A0">
        <w:rPr>
          <w:rFonts w:ascii="Arial" w:hAnsi="Arial" w:cs="Arial"/>
          <w:sz w:val="20"/>
          <w:szCs w:val="20"/>
        </w:rPr>
        <w:t>trong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ng, cho thuê, cho thuê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góp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bán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vào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150ABB2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lư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như sau:</w:t>
      </w:r>
    </w:p>
    <w:p w14:paraId="57BAA19B" w14:textId="061E51DE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b1)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gia đình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là 01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t; </w:t>
      </w:r>
    </w:p>
    <w:p w14:paraId="2DD69A5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b2) Nhóm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chung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là 01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1CECC09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b3) V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và ch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có chung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là 01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41A4724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b4) C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dân cư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là 01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5CC04A4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b5)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có nhi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trong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là 01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57EE931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b6)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đang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không có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ng, cho thuê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góp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nhưng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trong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sau đây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là 01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t:</w:t>
      </w:r>
    </w:p>
    <w:p w14:paraId="768E62A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Có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4F6C67F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Có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vào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0CDCE51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Có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vào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114C867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xét, thông qua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</w:t>
      </w:r>
      <w:r w:rsidRPr="006C30A0">
        <w:rPr>
          <w:rFonts w:ascii="Arial" w:hAnsi="Arial" w:cs="Arial"/>
          <w:sz w:val="20"/>
          <w:szCs w:val="20"/>
        </w:rPr>
        <w:t xml:space="preserve">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còn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không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thì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còn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không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sau khi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đã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3FCF02B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chênh l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ch gi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a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trung bình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theo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tính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trong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như sau:</w:t>
      </w:r>
    </w:p>
    <w:p w14:paraId="03A7A92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trung bình tính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 xml:space="preserve">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theo công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268"/>
      </w:tblGrid>
      <w:tr w:rsidR="006038A7" w:rsidRPr="006C30A0" w14:paraId="27ADD8C1" w14:textId="77777777" w:rsidTr="006038A7">
        <w:trPr>
          <w:jc w:val="center"/>
        </w:trPr>
        <w:tc>
          <w:tcPr>
            <w:tcW w:w="1848" w:type="dxa"/>
            <w:vMerge w:val="restart"/>
            <w:vAlign w:val="center"/>
          </w:tcPr>
          <w:p w14:paraId="2774E7A4" w14:textId="263BF0EF" w:rsidR="006038A7" w:rsidRPr="006C30A0" w:rsidRDefault="006038A7" w:rsidP="006038A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T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tb</w:t>
            </w:r>
            <w:r w:rsidRPr="006C30A0">
              <w:rPr>
                <w:rFonts w:ascii="Arial" w:hAnsi="Arial" w:cs="Arial"/>
                <w:sz w:val="20"/>
                <w:szCs w:val="20"/>
              </w:rPr>
              <w:t xml:space="preserve">          =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E754D2" w14:textId="2CAE0C39" w:rsidR="006038A7" w:rsidRPr="006C30A0" w:rsidRDefault="006038A7" w:rsidP="006038A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TST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tt</w:t>
            </w:r>
          </w:p>
        </w:tc>
      </w:tr>
      <w:tr w:rsidR="006038A7" w:rsidRPr="006C30A0" w14:paraId="4B04D88E" w14:textId="77777777" w:rsidTr="006038A7">
        <w:trPr>
          <w:jc w:val="center"/>
        </w:trPr>
        <w:tc>
          <w:tcPr>
            <w:tcW w:w="1848" w:type="dxa"/>
            <w:vMerge/>
            <w:vAlign w:val="center"/>
          </w:tcPr>
          <w:p w14:paraId="4FA783F5" w14:textId="77777777" w:rsidR="006038A7" w:rsidRPr="006C30A0" w:rsidRDefault="006038A7" w:rsidP="006038A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87E2957" w14:textId="6C341CA6" w:rsidR="006038A7" w:rsidRPr="006C30A0" w:rsidRDefault="006038A7" w:rsidP="006038A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S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tt</w:t>
            </w:r>
          </w:p>
        </w:tc>
      </w:tr>
    </w:tbl>
    <w:p w14:paraId="489AF16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Trong đó:</w:t>
      </w:r>
    </w:p>
    <w:p w14:paraId="7B2B257F" w14:textId="6496D890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  <w:vertAlign w:val="subscript"/>
        </w:rPr>
        <w:t>tb</w:t>
      </w:r>
      <w:r w:rsidRPr="006C30A0">
        <w:rPr>
          <w:rFonts w:ascii="Arial" w:hAnsi="Arial" w:cs="Arial"/>
          <w:sz w:val="20"/>
          <w:szCs w:val="20"/>
        </w:rPr>
        <w:t xml:space="preserve"> :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trung bình tính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n.</w:t>
      </w:r>
    </w:p>
    <w:p w14:paraId="414A84BA" w14:textId="6DFD91A3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TST</w:t>
      </w:r>
      <w:r w:rsidRPr="006C30A0">
        <w:rPr>
          <w:rFonts w:ascii="Arial" w:hAnsi="Arial" w:cs="Arial"/>
          <w:sz w:val="20"/>
          <w:szCs w:val="20"/>
          <w:vertAlign w:val="subscript"/>
        </w:rPr>
        <w:t>tt</w:t>
      </w:r>
      <w:r w:rsidR="006038A7" w:rsidRPr="006C30A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: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theo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n </w:t>
      </w:r>
      <w:r w:rsidRPr="006C30A0">
        <w:rPr>
          <w:rFonts w:ascii="Arial" w:hAnsi="Arial" w:cs="Arial"/>
          <w:sz w:val="20"/>
          <w:szCs w:val="20"/>
        </w:rPr>
        <w:t>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góp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tr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cho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có).</w:t>
      </w:r>
    </w:p>
    <w:p w14:paraId="62D2BCB1" w14:textId="1ACF141D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S</w:t>
      </w:r>
      <w:r w:rsidRPr="006C30A0">
        <w:rPr>
          <w:rFonts w:ascii="Arial" w:hAnsi="Arial" w:cs="Arial"/>
          <w:sz w:val="20"/>
          <w:szCs w:val="20"/>
          <w:vertAlign w:val="subscript"/>
        </w:rPr>
        <w:t>tt</w:t>
      </w:r>
      <w:r w:rsidR="006038A7" w:rsidRPr="006C30A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: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góp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tính theo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mét vuông (m</w:t>
      </w:r>
      <w:r w:rsidRPr="006C30A0">
        <w:rPr>
          <w:rFonts w:ascii="Arial" w:hAnsi="Arial" w:cs="Arial"/>
          <w:sz w:val="20"/>
          <w:szCs w:val="20"/>
          <w:vertAlign w:val="superscript"/>
        </w:rPr>
        <w:t>2</w:t>
      </w:r>
      <w:r w:rsidRPr="006C30A0">
        <w:rPr>
          <w:rFonts w:ascii="Arial" w:hAnsi="Arial" w:cs="Arial"/>
          <w:sz w:val="20"/>
          <w:szCs w:val="20"/>
        </w:rPr>
        <w:t>).</w:t>
      </w:r>
    </w:p>
    <w:p w14:paraId="499DCC6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theo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tính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theo công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268"/>
      </w:tblGrid>
      <w:tr w:rsidR="006038A7" w:rsidRPr="006C30A0" w14:paraId="450961F4" w14:textId="77777777" w:rsidTr="008355C4">
        <w:trPr>
          <w:jc w:val="center"/>
        </w:trPr>
        <w:tc>
          <w:tcPr>
            <w:tcW w:w="1848" w:type="dxa"/>
            <w:vMerge w:val="restart"/>
            <w:vAlign w:val="center"/>
          </w:tcPr>
          <w:p w14:paraId="46D186D0" w14:textId="7AD107EE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lastRenderedPageBreak/>
              <w:t>T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6C30A0">
              <w:rPr>
                <w:rFonts w:ascii="Arial" w:hAnsi="Arial" w:cs="Arial"/>
                <w:sz w:val="20"/>
                <w:szCs w:val="20"/>
              </w:rPr>
              <w:t xml:space="preserve">        =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2DA46A" w14:textId="2DD3B413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TST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</w:p>
        </w:tc>
      </w:tr>
      <w:tr w:rsidR="006038A7" w:rsidRPr="006C30A0" w14:paraId="3F16C8C5" w14:textId="77777777" w:rsidTr="008355C4">
        <w:trPr>
          <w:jc w:val="center"/>
        </w:trPr>
        <w:tc>
          <w:tcPr>
            <w:tcW w:w="1848" w:type="dxa"/>
            <w:vMerge/>
            <w:vAlign w:val="center"/>
          </w:tcPr>
          <w:p w14:paraId="13FFB9C4" w14:textId="77777777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4864BCD" w14:textId="71BD2BA4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S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th</w:t>
            </w:r>
          </w:p>
        </w:tc>
      </w:tr>
    </w:tbl>
    <w:p w14:paraId="499AEC2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Trong đó:</w:t>
      </w:r>
    </w:p>
    <w:p w14:paraId="57616702" w14:textId="702922E0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  <w:vertAlign w:val="subscript"/>
        </w:rPr>
        <w:t>pa</w:t>
      </w:r>
      <w:r w:rsidRPr="006C30A0">
        <w:rPr>
          <w:rFonts w:ascii="Arial" w:hAnsi="Arial" w:cs="Arial"/>
          <w:sz w:val="20"/>
          <w:szCs w:val="20"/>
        </w:rPr>
        <w:t xml:space="preserve"> :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theo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tính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="009E627E"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i.</w:t>
      </w:r>
    </w:p>
    <w:p w14:paraId="4EB99A55" w14:textId="275D364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TST</w:t>
      </w:r>
      <w:r w:rsidRPr="006C30A0">
        <w:rPr>
          <w:rFonts w:ascii="Arial" w:hAnsi="Arial" w:cs="Arial"/>
          <w:sz w:val="20"/>
          <w:szCs w:val="20"/>
          <w:vertAlign w:val="subscript"/>
        </w:rPr>
        <w:t>pa</w:t>
      </w:r>
      <w:r w:rsidRPr="006C30A0">
        <w:rPr>
          <w:rFonts w:ascii="Arial" w:hAnsi="Arial" w:cs="Arial"/>
          <w:sz w:val="20"/>
          <w:szCs w:val="20"/>
        </w:rPr>
        <w:t xml:space="preserve"> :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theo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là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chưa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p khi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41628A37" w14:textId="3DD51D0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S</w:t>
      </w:r>
      <w:r w:rsidRPr="006C30A0">
        <w:rPr>
          <w:rFonts w:ascii="Arial" w:hAnsi="Arial" w:cs="Arial"/>
          <w:sz w:val="20"/>
          <w:szCs w:val="20"/>
          <w:vertAlign w:val="subscript"/>
        </w:rPr>
        <w:t>th</w:t>
      </w:r>
      <w:r w:rsidRPr="006C30A0">
        <w:rPr>
          <w:rFonts w:ascii="Arial" w:hAnsi="Arial" w:cs="Arial"/>
          <w:sz w:val="20"/>
          <w:szCs w:val="20"/>
        </w:rPr>
        <w:t xml:space="preserve"> :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theo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tính theo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mét vuông (m</w:t>
      </w:r>
      <w:r w:rsidRPr="006C30A0">
        <w:rPr>
          <w:rFonts w:ascii="Arial" w:hAnsi="Arial" w:cs="Arial"/>
          <w:sz w:val="20"/>
          <w:szCs w:val="20"/>
          <w:vertAlign w:val="superscript"/>
        </w:rPr>
        <w:t>2</w:t>
      </w:r>
      <w:r w:rsidRPr="006C30A0">
        <w:rPr>
          <w:rFonts w:ascii="Arial" w:hAnsi="Arial" w:cs="Arial"/>
          <w:sz w:val="20"/>
          <w:szCs w:val="20"/>
        </w:rPr>
        <w:t>).</w:t>
      </w:r>
    </w:p>
    <w:p w14:paraId="7C5D49E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chênh l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ch theo công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sau:</w:t>
      </w:r>
    </w:p>
    <w:p w14:paraId="35C1F3D9" w14:textId="38317241" w:rsidR="006038A7" w:rsidRPr="006C30A0" w:rsidRDefault="006038A7" w:rsidP="006038A7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  <w:vertAlign w:val="subscript"/>
        </w:rPr>
        <w:t xml:space="preserve">cl </w:t>
      </w:r>
      <w:r w:rsidRPr="006C30A0">
        <w:rPr>
          <w:rFonts w:ascii="Arial" w:hAnsi="Arial" w:cs="Arial"/>
          <w:sz w:val="20"/>
          <w:szCs w:val="20"/>
        </w:rPr>
        <w:t>= T</w:t>
      </w:r>
      <w:r w:rsidRPr="006C30A0">
        <w:rPr>
          <w:rFonts w:ascii="Arial" w:hAnsi="Arial" w:cs="Arial"/>
          <w:sz w:val="20"/>
          <w:szCs w:val="20"/>
          <w:vertAlign w:val="subscript"/>
        </w:rPr>
        <w:t xml:space="preserve">tb </w:t>
      </w:r>
      <w:r w:rsidRPr="006C30A0">
        <w:rPr>
          <w:rFonts w:ascii="Arial" w:hAnsi="Arial" w:cs="Arial"/>
          <w:sz w:val="20"/>
          <w:szCs w:val="20"/>
        </w:rPr>
        <w:t>- T</w:t>
      </w:r>
      <w:r w:rsidRPr="006C30A0">
        <w:rPr>
          <w:rFonts w:ascii="Arial" w:hAnsi="Arial" w:cs="Arial"/>
          <w:sz w:val="20"/>
          <w:szCs w:val="20"/>
          <w:vertAlign w:val="subscript"/>
        </w:rPr>
        <w:t>pa</w:t>
      </w:r>
    </w:p>
    <w:p w14:paraId="21EA032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Trong đó:</w:t>
      </w:r>
    </w:p>
    <w:p w14:paraId="2987EB53" w14:textId="6CB49D5A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  <w:vertAlign w:val="subscript"/>
        </w:rPr>
        <w:t>cl</w:t>
      </w:r>
      <w:r w:rsidR="006038A7" w:rsidRPr="006C30A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: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chênh l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ch.</w:t>
      </w:r>
    </w:p>
    <w:p w14:paraId="5E5BA82A" w14:textId="33C6AA8C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  <w:vertAlign w:val="subscript"/>
        </w:rPr>
        <w:t>tb</w:t>
      </w:r>
      <w:r w:rsidRPr="006C30A0">
        <w:rPr>
          <w:rFonts w:ascii="Arial" w:hAnsi="Arial" w:cs="Arial"/>
          <w:sz w:val="20"/>
          <w:szCs w:val="20"/>
        </w:rPr>
        <w:t xml:space="preserve"> :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trung bình tính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n.</w:t>
      </w:r>
    </w:p>
    <w:p w14:paraId="7D4F4B5D" w14:textId="67898803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  <w:vertAlign w:val="subscript"/>
        </w:rPr>
        <w:t>pa</w:t>
      </w:r>
      <w:r w:rsidRPr="006C30A0">
        <w:rPr>
          <w:rFonts w:ascii="Arial" w:hAnsi="Arial" w:cs="Arial"/>
          <w:sz w:val="20"/>
          <w:szCs w:val="20"/>
        </w:rPr>
        <w:t xml:space="preserve"> :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theo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tính trên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i.</w:t>
      </w:r>
    </w:p>
    <w:p w14:paraId="660B358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5.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g</w:t>
      </w:r>
      <w:r w:rsidRPr="006C30A0">
        <w:rPr>
          <w:rFonts w:ascii="Arial" w:hAnsi="Arial" w:cs="Arial"/>
          <w:sz w:val="20"/>
          <w:szCs w:val="20"/>
        </w:rPr>
        <w:t>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trong cùng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và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rõ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qu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còn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không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c;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qu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cơ quan,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lý.</w:t>
      </w:r>
    </w:p>
    <w:p w14:paraId="5710867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heo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theo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thì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trong cùng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.</w:t>
      </w:r>
    </w:p>
    <w:p w14:paraId="3003F6C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4. Các trư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 h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p khác không đư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c b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thư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đi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m d kho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10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3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231DE3F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cơ quan, công trình s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ngh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p, công trình công c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01 tháng 7 năm 2014 mà đã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ngăn ch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n nhưng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tình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m.</w:t>
      </w:r>
    </w:p>
    <w:p w14:paraId="4CBF47C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01 tháng 7 năm 2014 tr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sau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cơ quan,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lý.</w:t>
      </w:r>
    </w:p>
    <w:p w14:paraId="6130ACD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5. Các trư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 h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p không áp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ng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kho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1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7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2363023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có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n.</w:t>
      </w:r>
    </w:p>
    <w:p w14:paraId="28585FC8" w14:textId="663F1AE1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2.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có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ng.</w:t>
      </w:r>
    </w:p>
    <w:p w14:paraId="615F3BC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226/2025/NĐ-CP).</w:t>
      </w:r>
    </w:p>
    <w:p w14:paraId="1D85C72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6. Căn c</w:t>
      </w:r>
      <w:r w:rsidRPr="006C30A0">
        <w:rPr>
          <w:rFonts w:ascii="Arial" w:hAnsi="Arial" w:cs="Arial"/>
          <w:b/>
          <w:sz w:val="20"/>
          <w:szCs w:val="20"/>
        </w:rPr>
        <w:t>ứ</w:t>
      </w:r>
      <w:r w:rsidRPr="006C30A0">
        <w:rPr>
          <w:rFonts w:ascii="Arial" w:hAnsi="Arial" w:cs="Arial"/>
          <w:b/>
          <w:sz w:val="20"/>
          <w:szCs w:val="20"/>
        </w:rPr>
        <w:t xml:space="preserve"> xây d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ng,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ng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và các trư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 h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p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</w:t>
      </w:r>
      <w:r w:rsidRPr="006C30A0">
        <w:rPr>
          <w:rFonts w:ascii="Arial" w:hAnsi="Arial" w:cs="Arial"/>
          <w:b/>
          <w:sz w:val="20"/>
          <w:szCs w:val="20"/>
        </w:rPr>
        <w:t xml:space="preserve">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ng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7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3036901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3842A98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158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254/2025/QH15;</w:t>
      </w:r>
    </w:p>
    <w:p w14:paraId="706EA4D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b) Các phương pháp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a, b và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5,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a, b và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158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các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4, 5 và 6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226/2025/NĐ-CP).</w:t>
      </w:r>
    </w:p>
    <w:p w14:paraId="5FB5BAAB" w14:textId="1381B74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Khi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p</w:t>
      </w:r>
      <w:r w:rsidRPr="006C30A0">
        <w:rPr>
          <w:rFonts w:ascii="Arial" w:hAnsi="Arial" w:cs="Arial"/>
          <w:sz w:val="20"/>
          <w:szCs w:val="20"/>
        </w:rPr>
        <w:t>hương pháp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tính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thì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su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ng do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công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;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p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chưa công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thì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su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do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công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;</w:t>
      </w:r>
    </w:p>
    <w:p w14:paraId="59C71CB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C</w:t>
      </w:r>
      <w:r w:rsidRPr="006C30A0">
        <w:rPr>
          <w:rFonts w:ascii="Arial" w:hAnsi="Arial" w:cs="Arial"/>
          <w:sz w:val="20"/>
          <w:szCs w:val="20"/>
        </w:rPr>
        <w:t>ác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hư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71/2024/NĐ-CP;</w:t>
      </w:r>
    </w:p>
    <w:p w14:paraId="46A6911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d)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p, phân tích thông tin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ng;</w:t>
      </w:r>
    </w:p>
    <w:p w14:paraId="7F18368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đ)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hành;</w:t>
      </w:r>
    </w:p>
    <w:p w14:paraId="5EF0D4D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e) Các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nhiên,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- xã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i;</w:t>
      </w:r>
    </w:p>
    <w:p w14:paraId="58217F3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g)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n lý </w:t>
      </w:r>
      <w:r w:rsidRPr="006C30A0">
        <w:rPr>
          <w:rFonts w:ascii="Arial" w:hAnsi="Arial" w:cs="Arial"/>
          <w:sz w:val="20"/>
          <w:szCs w:val="20"/>
        </w:rPr>
        <w:t>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phương.</w:t>
      </w:r>
    </w:p>
    <w:p w14:paraId="18193AC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1AF135D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Khi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ban hành kèm theo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mà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này cao hơn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đa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hơn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thi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u.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đa,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thi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do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nh;</w:t>
      </w:r>
    </w:p>
    <w:p w14:paraId="32AC615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Khi có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hành chính, tên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trí, tên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, đo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trong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mà không 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hư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trong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1A1FECD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Do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không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này.</w:t>
      </w:r>
    </w:p>
    <w:p w14:paraId="55CE264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609F961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</w:t>
      </w:r>
      <w:r w:rsidRPr="006C30A0">
        <w:rPr>
          <w:rFonts w:ascii="Arial" w:hAnsi="Arial" w:cs="Arial"/>
          <w:sz w:val="20"/>
          <w:szCs w:val="20"/>
        </w:rPr>
        <w:t>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các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trí,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chưa có tên trong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hành;</w:t>
      </w:r>
    </w:p>
    <w:p w14:paraId="654E96F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nơi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254/2025/QH15.</w:t>
      </w:r>
    </w:p>
    <w:p w14:paraId="1302B06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7. N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i dung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ng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xây d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ng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ng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  <w:r w:rsidRPr="006C30A0">
        <w:rPr>
          <w:rFonts w:ascii="Arial" w:hAnsi="Arial" w:cs="Arial"/>
          <w:b/>
          <w:sz w:val="20"/>
          <w:szCs w:val="20"/>
        </w:rPr>
        <w:t xml:space="preserve">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7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6935AF5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4B9378B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Các tiêu chí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lư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trong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18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20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</w:t>
      </w:r>
      <w:r w:rsidRPr="006C30A0">
        <w:rPr>
          <w:rFonts w:ascii="Arial" w:hAnsi="Arial" w:cs="Arial"/>
          <w:sz w:val="20"/>
          <w:szCs w:val="20"/>
        </w:rPr>
        <w:t>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226/2025/NĐ-CP);</w:t>
      </w:r>
    </w:p>
    <w:p w14:paraId="738BBAF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cho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trí.</w:t>
      </w:r>
    </w:p>
    <w:p w14:paraId="5291249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Giá các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phân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9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u </w:t>
      </w:r>
      <w:r w:rsidRPr="006C30A0">
        <w:rPr>
          <w:rFonts w:ascii="Arial" w:hAnsi="Arial" w:cs="Arial"/>
          <w:sz w:val="20"/>
          <w:szCs w:val="20"/>
        </w:rPr>
        <w:t>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102/2024/NĐ-CP và theo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,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phương;</w:t>
      </w:r>
    </w:p>
    <w:p w14:paraId="2535CD5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nơi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254/2025/QH15.</w:t>
      </w:r>
    </w:p>
    <w:p w14:paraId="1C13283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chu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xây </w:t>
      </w:r>
      <w:r w:rsidRPr="006C30A0">
        <w:rPr>
          <w:rFonts w:ascii="Arial" w:hAnsi="Arial" w:cs="Arial"/>
          <w:sz w:val="20"/>
          <w:szCs w:val="20"/>
        </w:rPr>
        <w:t>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13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226/2025/NĐ-CP).</w:t>
      </w:r>
    </w:p>
    <w:p w14:paraId="25FACD3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8. Căn c</w:t>
      </w:r>
      <w:r w:rsidRPr="006C30A0">
        <w:rPr>
          <w:rFonts w:ascii="Arial" w:hAnsi="Arial" w:cs="Arial"/>
          <w:b/>
          <w:sz w:val="20"/>
          <w:szCs w:val="20"/>
        </w:rPr>
        <w:t>ứ</w:t>
      </w:r>
      <w:r w:rsidRPr="006C30A0">
        <w:rPr>
          <w:rFonts w:ascii="Arial" w:hAnsi="Arial" w:cs="Arial"/>
          <w:b/>
          <w:sz w:val="20"/>
          <w:szCs w:val="20"/>
        </w:rPr>
        <w:t xml:space="preserve"> xây d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ng,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h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 xml:space="preserve">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ch</w:t>
      </w:r>
      <w:r w:rsidRPr="006C30A0">
        <w:rPr>
          <w:rFonts w:ascii="Arial" w:hAnsi="Arial" w:cs="Arial"/>
          <w:b/>
          <w:sz w:val="20"/>
          <w:szCs w:val="20"/>
        </w:rPr>
        <w:t>ỉ</w:t>
      </w:r>
      <w:r w:rsidRPr="006C30A0">
        <w:rPr>
          <w:rFonts w:ascii="Arial" w:hAnsi="Arial" w:cs="Arial"/>
          <w:b/>
          <w:sz w:val="20"/>
          <w:szCs w:val="20"/>
        </w:rPr>
        <w:t>nh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</w:t>
      </w:r>
      <w:r w:rsidRPr="006C30A0">
        <w:rPr>
          <w:rFonts w:ascii="Arial" w:hAnsi="Arial" w:cs="Arial"/>
          <w:b/>
          <w:sz w:val="20"/>
          <w:szCs w:val="20"/>
        </w:rPr>
        <w:t>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8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219FFE9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và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khác 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hư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c phân chia </w:t>
      </w:r>
      <w:r w:rsidRPr="006C30A0">
        <w:rPr>
          <w:rFonts w:ascii="Arial" w:hAnsi="Arial" w:cs="Arial"/>
          <w:sz w:val="20"/>
          <w:szCs w:val="20"/>
        </w:rPr>
        <w:t>thành các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khác nhau.</w:t>
      </w:r>
    </w:p>
    <w:p w14:paraId="11F6BC8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41AA459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p, phân tích thông tin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ng;</w:t>
      </w:r>
    </w:p>
    <w:p w14:paraId="3C3C18C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b) Các phương pháp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a, b và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5,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a, b và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158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các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4, 5 và 6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226/2025/NĐ-CP).</w:t>
      </w:r>
    </w:p>
    <w:p w14:paraId="688E83B8" w14:textId="1FD36E6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Khi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phương pháp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tính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thì c</w:t>
      </w:r>
      <w:r w:rsidRPr="006C30A0">
        <w:rPr>
          <w:rFonts w:ascii="Arial" w:hAnsi="Arial" w:cs="Arial"/>
          <w:sz w:val="20"/>
          <w:szCs w:val="20"/>
        </w:rPr>
        <w:t>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su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ng do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công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;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p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chưa công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thì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su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do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công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;</w:t>
      </w:r>
    </w:p>
    <w:p w14:paraId="3E60215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Các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nhiên,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- xã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i;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đô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và nông th</w:t>
      </w:r>
      <w:r w:rsidRPr="006C30A0">
        <w:rPr>
          <w:rFonts w:ascii="Arial" w:hAnsi="Arial" w:cs="Arial"/>
          <w:sz w:val="20"/>
          <w:szCs w:val="20"/>
        </w:rPr>
        <w:t>ôn;</w:t>
      </w:r>
    </w:p>
    <w:p w14:paraId="08EC6F0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d)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phương.</w:t>
      </w:r>
    </w:p>
    <w:p w14:paraId="716C70F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cho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như sau:</w:t>
      </w:r>
    </w:p>
    <w:p w14:paraId="6837165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</w:t>
      </w:r>
      <w:r w:rsidRPr="006C30A0">
        <w:rPr>
          <w:rFonts w:ascii="Arial" w:hAnsi="Arial" w:cs="Arial"/>
          <w:sz w:val="20"/>
          <w:szCs w:val="20"/>
        </w:rPr>
        <w:t xml:space="preserve"> cho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theo công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852"/>
        <w:gridCol w:w="3395"/>
      </w:tblGrid>
      <w:tr w:rsidR="006038A7" w:rsidRPr="006C30A0" w14:paraId="763C0330" w14:textId="77777777" w:rsidTr="006038A7">
        <w:trPr>
          <w:jc w:val="center"/>
        </w:trPr>
        <w:tc>
          <w:tcPr>
            <w:tcW w:w="2512" w:type="dxa"/>
            <w:vMerge w:val="restart"/>
            <w:vAlign w:val="center"/>
          </w:tcPr>
          <w:p w14:paraId="1F97AE9D" w14:textId="53C11A65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Hệ số điều chỉnh</w:t>
            </w:r>
            <w:r w:rsidRPr="006C30A0">
              <w:rPr>
                <w:rFonts w:ascii="Arial" w:hAnsi="Arial" w:cs="Arial"/>
                <w:sz w:val="20"/>
                <w:szCs w:val="20"/>
              </w:rPr>
              <w:br/>
              <w:t xml:space="preserve">mức biến động thị trường       </w:t>
            </w:r>
          </w:p>
        </w:tc>
        <w:tc>
          <w:tcPr>
            <w:tcW w:w="852" w:type="dxa"/>
            <w:vMerge w:val="restart"/>
            <w:vAlign w:val="center"/>
          </w:tcPr>
          <w:p w14:paraId="72016A53" w14:textId="798AEE11" w:rsidR="006038A7" w:rsidRPr="006C30A0" w:rsidRDefault="006038A7" w:rsidP="006038A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19128319" w14:textId="369E6E46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Giá đất thị trường (G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TT</w:t>
            </w:r>
            <w:r w:rsidRPr="006C30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038A7" w:rsidRPr="006C30A0" w14:paraId="095A621B" w14:textId="77777777" w:rsidTr="006038A7">
        <w:trPr>
          <w:jc w:val="center"/>
        </w:trPr>
        <w:tc>
          <w:tcPr>
            <w:tcW w:w="2512" w:type="dxa"/>
            <w:vMerge/>
            <w:vAlign w:val="center"/>
          </w:tcPr>
          <w:p w14:paraId="77532F9C" w14:textId="77777777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14:paraId="5A908A42" w14:textId="77777777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vAlign w:val="center"/>
          </w:tcPr>
          <w:p w14:paraId="4D567885" w14:textId="5E2A0CF3" w:rsidR="006038A7" w:rsidRPr="006C30A0" w:rsidRDefault="006038A7" w:rsidP="008355C4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Giá đất trong bảng giá đất (G</w:t>
            </w:r>
            <w:r w:rsidRPr="006C30A0">
              <w:rPr>
                <w:rFonts w:ascii="Arial" w:hAnsi="Arial" w:cs="Arial"/>
                <w:sz w:val="20"/>
                <w:szCs w:val="20"/>
                <w:vertAlign w:val="subscript"/>
              </w:rPr>
              <w:t>BG</w:t>
            </w:r>
            <w:r w:rsidRPr="006C30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074408F" w14:textId="77777777" w:rsidR="006038A7" w:rsidRPr="006C30A0" w:rsidRDefault="006038A7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3974E9C" w14:textId="587A21EC" w:rsidR="006038A7" w:rsidRPr="006C30A0" w:rsidRDefault="006038A7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54E204" wp14:editId="23394025">
            <wp:extent cx="3655211" cy="715433"/>
            <wp:effectExtent l="0" t="0" r="2540" b="8890"/>
            <wp:docPr id="951231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317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1334" cy="73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325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Trong đó:</w:t>
      </w:r>
    </w:p>
    <w:p w14:paraId="5B85B476" w14:textId="3829EEA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</w:t>
      </w:r>
      <w:r w:rsidR="006038A7" w:rsidRPr="006C30A0">
        <w:rPr>
          <w:rFonts w:ascii="Arial" w:hAnsi="Arial" w:cs="Arial"/>
          <w:sz w:val="20"/>
          <w:szCs w:val="20"/>
          <w:vertAlign w:val="subscript"/>
        </w:rPr>
        <w:t>TT</w:t>
      </w:r>
      <w:r w:rsidRPr="006C30A0">
        <w:rPr>
          <w:rFonts w:ascii="Arial" w:hAnsi="Arial" w:cs="Arial"/>
          <w:sz w:val="20"/>
          <w:szCs w:val="20"/>
        </w:rPr>
        <w:t xml:space="preserve"> :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trí.</w:t>
      </w:r>
    </w:p>
    <w:p w14:paraId="3368F6D3" w14:textId="0F5F42B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</w:t>
      </w:r>
      <w:r w:rsidR="006038A7" w:rsidRPr="006C30A0">
        <w:rPr>
          <w:rFonts w:ascii="Arial" w:hAnsi="Arial" w:cs="Arial"/>
          <w:sz w:val="20"/>
          <w:szCs w:val="20"/>
          <w:vertAlign w:val="subscript"/>
        </w:rPr>
        <w:t>CNi</w:t>
      </w:r>
      <w:r w:rsidRPr="006C30A0">
        <w:rPr>
          <w:rFonts w:ascii="Arial" w:hAnsi="Arial" w:cs="Arial"/>
          <w:sz w:val="20"/>
          <w:szCs w:val="20"/>
        </w:rPr>
        <w:t xml:space="preserve"> : Giá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đã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trên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đã trúng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sau khi hoàn thành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tài chính,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khi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theo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theo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(ít nh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là 03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u).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không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03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này thì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có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ng tương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5CD1BBF7" w14:textId="04120BB6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</w:t>
      </w:r>
      <w:r w:rsidRPr="006C30A0">
        <w:rPr>
          <w:rFonts w:ascii="Arial" w:hAnsi="Arial" w:cs="Arial"/>
          <w:sz w:val="20"/>
          <w:szCs w:val="20"/>
          <w:vertAlign w:val="subscript"/>
        </w:rPr>
        <w:t>PPj</w:t>
      </w:r>
      <w:r w:rsidRPr="006C30A0">
        <w:rPr>
          <w:rFonts w:ascii="Arial" w:hAnsi="Arial" w:cs="Arial"/>
          <w:sz w:val="20"/>
          <w:szCs w:val="20"/>
        </w:rPr>
        <w:t>: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phương pháp thu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phương pháp th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ng dư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</w:t>
      </w:r>
      <w:r w:rsidRPr="006C30A0">
        <w:rPr>
          <w:rFonts w:ascii="Arial" w:hAnsi="Arial" w:cs="Arial"/>
          <w:sz w:val="20"/>
          <w:szCs w:val="20"/>
        </w:rPr>
        <w:t>hông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phương pháp so sánh nhưng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các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thu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p, chi phí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có).</w:t>
      </w:r>
    </w:p>
    <w:p w14:paraId="7524DF39" w14:textId="606B6E1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n: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lư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trên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đã trúng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sau khi hoàn thành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tài chính,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khi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(n</w:t>
      </w:r>
      <w:r w:rsidR="006038A7" w:rsidRPr="006C30A0">
        <w:rPr>
          <w:rFonts w:ascii="Arial" w:hAnsi="Arial" w:cs="Arial"/>
          <w:sz w:val="20"/>
          <w:szCs w:val="20"/>
        </w:rPr>
        <w:t>≥</w:t>
      </w:r>
      <w:r w:rsidRPr="006C30A0">
        <w:rPr>
          <w:rFonts w:ascii="Arial" w:hAnsi="Arial" w:cs="Arial"/>
          <w:sz w:val="20"/>
          <w:szCs w:val="20"/>
        </w:rPr>
        <w:t>3).</w:t>
      </w:r>
    </w:p>
    <w:p w14:paraId="22948E83" w14:textId="21530C1C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m: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lư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phương pháp thu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p, phương pháp th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ng dư (m</w:t>
      </w:r>
      <w:r w:rsidR="006038A7" w:rsidRPr="006C30A0">
        <w:rPr>
          <w:rFonts w:ascii="Arial" w:hAnsi="Arial" w:cs="Arial"/>
          <w:sz w:val="20"/>
          <w:szCs w:val="20"/>
        </w:rPr>
        <w:t>≥</w:t>
      </w:r>
      <w:r w:rsidRPr="006C30A0">
        <w:rPr>
          <w:rFonts w:ascii="Arial" w:hAnsi="Arial" w:cs="Arial"/>
          <w:sz w:val="20"/>
          <w:szCs w:val="20"/>
        </w:rPr>
        <w:t>0).</w:t>
      </w:r>
    </w:p>
    <w:p w14:paraId="382BF45C" w14:textId="4A5D94CE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</w:t>
      </w:r>
      <w:r w:rsidR="006038A7" w:rsidRPr="006C30A0">
        <w:rPr>
          <w:rFonts w:ascii="Arial" w:hAnsi="Arial" w:cs="Arial"/>
          <w:sz w:val="20"/>
          <w:szCs w:val="20"/>
          <w:vertAlign w:val="subscript"/>
        </w:rPr>
        <w:t>BG</w:t>
      </w:r>
      <w:r w:rsidRPr="006C30A0">
        <w:rPr>
          <w:rFonts w:ascii="Arial" w:hAnsi="Arial" w:cs="Arial"/>
          <w:sz w:val="20"/>
          <w:szCs w:val="20"/>
        </w:rPr>
        <w:t xml:space="preserve"> :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m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>i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i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tương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trong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hành.</w:t>
      </w:r>
    </w:p>
    <w:p w14:paraId="094A2CD1" w14:textId="4BE6B59E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chưa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tình hình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thì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trì,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 xml:space="preserve">i các cơ quan có liên quan rà soát, báo cáo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cho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p.</w:t>
      </w:r>
    </w:p>
    <w:p w14:paraId="7DA5F4A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theo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theo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ng.</w:t>
      </w:r>
    </w:p>
    <w:p w14:paraId="62A7F41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trì,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cơ quan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ch, 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trúc,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cơ quan tài chính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sau:</w:t>
      </w:r>
    </w:p>
    <w:p w14:paraId="604B605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Phân chia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các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khác nhau;</w:t>
      </w:r>
    </w:p>
    <w:p w14:paraId="46BB782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chi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t,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các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cơ quan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đã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các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án;</w:t>
      </w:r>
    </w:p>
    <w:p w14:paraId="20FCE01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p, phân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thông tin theo các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cơ quan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đã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các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án, đ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202C774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thông tin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 mà chưa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thì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vào thông tin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theo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ban hành kèm theo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và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các phương pháp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ch;</w:t>
      </w:r>
    </w:p>
    <w:p w14:paraId="64E8410B" w14:textId="5A74DA78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d) Trình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3D143EE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5. </w:t>
      </w: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khác 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hư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phương.</w:t>
      </w:r>
    </w:p>
    <w:p w14:paraId="4CBEF492" w14:textId="7ABF720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tình hình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phương,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trì,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các cơ quan có liên quan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các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 xml:space="preserve">hác có 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hư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hư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trình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54B9632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9. Các trư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 h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p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k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h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p đa m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c đích khác theo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kho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4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11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254/2025/QH15</w:t>
      </w:r>
    </w:p>
    <w:p w14:paraId="671D880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1. Ngoài </w:t>
      </w:r>
      <w:r w:rsidRPr="006C30A0">
        <w:rPr>
          <w:rFonts w:ascii="Arial" w:hAnsi="Arial" w:cs="Arial"/>
          <w:sz w:val="20"/>
          <w:szCs w:val="20"/>
        </w:rPr>
        <w:t>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đa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218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khác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đa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72F8BC4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9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</w:t>
      </w:r>
      <w:r w:rsidRPr="006C30A0">
        <w:rPr>
          <w:rFonts w:ascii="Arial" w:hAnsi="Arial" w:cs="Arial"/>
          <w:sz w:val="20"/>
          <w:szCs w:val="20"/>
        </w:rPr>
        <w:t>ch năng lư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tái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o,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năng lư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i; nghiên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u, phát tri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n,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công ngh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cao, công ngh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;</w:t>
      </w:r>
    </w:p>
    <w:p w14:paraId="4B5CB98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công trình s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khác,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30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</w:t>
      </w:r>
    </w:p>
    <w:p w14:paraId="3F473F7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</w:t>
      </w:r>
      <w:r w:rsidRPr="006C30A0">
        <w:rPr>
          <w:rFonts w:ascii="Arial" w:hAnsi="Arial" w:cs="Arial"/>
          <w:sz w:val="20"/>
          <w:szCs w:val="20"/>
        </w:rPr>
        <w:t>)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công trình s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công c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có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kinh doanh,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30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</w:t>
      </w:r>
    </w:p>
    <w:p w14:paraId="2B5BCCD8" w14:textId="77777777" w:rsidR="007C5AD2" w:rsidRPr="006C30A0" w:rsidRDefault="00B37C51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đa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n như quy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thương m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i,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.</w:t>
      </w:r>
    </w:p>
    <w:p w14:paraId="5C639289" w14:textId="77777777" w:rsidR="006038A7" w:rsidRPr="006C30A0" w:rsidRDefault="006038A7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BCE4EE9" w14:textId="03227809" w:rsidR="007C5AD2" w:rsidRPr="006C30A0" w:rsidRDefault="00B37C51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Chương III</w:t>
      </w:r>
    </w:p>
    <w:p w14:paraId="34B635AF" w14:textId="77777777" w:rsidR="007C5AD2" w:rsidRPr="006C30A0" w:rsidRDefault="00B37C51" w:rsidP="006038A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CÁC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LIÊN QUAN</w:t>
      </w:r>
    </w:p>
    <w:p w14:paraId="695C7D69" w14:textId="77777777" w:rsidR="006038A7" w:rsidRPr="006C30A0" w:rsidRDefault="006038A7" w:rsidP="006038A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D3649EC" w14:textId="72F9847C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10.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71/2024/NĐ-CP ngày 27 tháng 6 năm 2024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Chính ph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 xml:space="preserve">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giá </w:t>
      </w:r>
      <w:r w:rsidRPr="006C30A0">
        <w:rPr>
          <w:rFonts w:ascii="Arial" w:hAnsi="Arial" w:cs="Arial"/>
          <w:b/>
          <w:sz w:val="20"/>
          <w:szCs w:val="20"/>
        </w:rPr>
        <w:t>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(đư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c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226/2025/NĐ-CP)</w:t>
      </w:r>
    </w:p>
    <w:p w14:paraId="36BECA4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13 như sau:</w:t>
      </w:r>
    </w:p>
    <w:p w14:paraId="50632D6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như sau:</w:t>
      </w:r>
    </w:p>
    <w:p w14:paraId="07D1D54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“1.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trong đó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dung,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,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 kinh phí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và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liên quan.”;</w:t>
      </w:r>
    </w:p>
    <w:p w14:paraId="17F0179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vào cu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như sau:</w:t>
      </w:r>
    </w:p>
    <w:p w14:paraId="70C55C3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u,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đóng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không có nhà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nào tham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01 l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n. Sa</w:t>
      </w:r>
      <w:r w:rsidRPr="006C30A0">
        <w:rPr>
          <w:rFonts w:ascii="Arial" w:hAnsi="Arial" w:cs="Arial"/>
          <w:sz w:val="20"/>
          <w:szCs w:val="20"/>
        </w:rPr>
        <w:t>u khi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mà không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nhà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thì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rút g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n.”;</w:t>
      </w:r>
    </w:p>
    <w:p w14:paraId="5E7050F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như sau:</w:t>
      </w:r>
    </w:p>
    <w:p w14:paraId="15DF3EF2" w14:textId="1AEC84B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“7.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n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g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i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n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nh,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sau:</w:t>
      </w:r>
    </w:p>
    <w:p w14:paraId="307E7F44" w14:textId="19525CC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i dung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tuân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nguyên t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c, phương pháp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tin;</w:t>
      </w:r>
    </w:p>
    <w:p w14:paraId="7FE513C3" w14:textId="6AD32F4B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ng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u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i dung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i </w:t>
      </w:r>
      <w:r w:rsidRPr="006C30A0">
        <w:rPr>
          <w:rFonts w:ascii="Arial" w:hAnsi="Arial" w:cs="Arial"/>
          <w:sz w:val="20"/>
          <w:szCs w:val="20"/>
        </w:rPr>
        <w:t>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này.</w:t>
      </w:r>
    </w:p>
    <w:p w14:paraId="12342BA9" w14:textId="61A9152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ng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làm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p, khách quan, theo ch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theo đa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;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và các thành viên ch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u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cá nhân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ý 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mình. Các cu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p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có biên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ghi chép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y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các ý 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 xml:space="preserve">n, ý </w:t>
      </w:r>
      <w:r w:rsidRPr="006C30A0">
        <w:rPr>
          <w:rFonts w:ascii="Arial" w:hAnsi="Arial" w:cs="Arial"/>
          <w:sz w:val="20"/>
          <w:szCs w:val="20"/>
        </w:rPr>
        <w:lastRenderedPageBreak/>
        <w:t>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thành viên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u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và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lưu tr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cùng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các tài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p.</w:t>
      </w:r>
    </w:p>
    <w:p w14:paraId="767BA3C5" w14:textId="04A5C5EA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ng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m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n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M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tr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Nam cùng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và các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chính tr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- xã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khác tham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cu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 xml:space="preserve">p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0046B14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14 như sau:</w:t>
      </w:r>
    </w:p>
    <w:p w14:paraId="330CD72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“1.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hành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như sau:</w:t>
      </w:r>
    </w:p>
    <w:p w14:paraId="0EA7AB0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u tra, </w:t>
      </w:r>
      <w:r w:rsidRPr="006C30A0">
        <w:rPr>
          <w:rFonts w:ascii="Arial" w:hAnsi="Arial" w:cs="Arial"/>
          <w:sz w:val="20"/>
          <w:szCs w:val="20"/>
        </w:rPr>
        <w:t>kh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sát,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tin;</w:t>
      </w:r>
    </w:p>
    <w:p w14:paraId="5158C69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Rà soát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hành;</w:t>
      </w:r>
    </w:p>
    <w:p w14:paraId="55C77EA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xã, phư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khu;</w:t>
      </w:r>
    </w:p>
    <w:p w14:paraId="6152807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d)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p, hoàn thi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tra, kh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sát,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xã,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nh;</w:t>
      </w:r>
    </w:p>
    <w:p w14:paraId="35165C9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đ)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o </w:t>
      </w:r>
      <w:r w:rsidRPr="006C30A0">
        <w:rPr>
          <w:rFonts w:ascii="Arial" w:hAnsi="Arial" w:cs="Arial"/>
          <w:sz w:val="20"/>
          <w:szCs w:val="20"/>
        </w:rPr>
        <w:t>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báo cáo thuy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minh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35EB227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19 như sau:</w:t>
      </w:r>
    </w:p>
    <w:p w14:paraId="1896E52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“2.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vào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hình thành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24 tháng tr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tính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giao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thông tin có cùng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phát sinh thì ưu tiên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ngu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 thông tin theo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như sau: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giá;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 cơ quan thu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;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n; sàn giao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doanh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n; thông tin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qua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tra, kh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sát.”.</w:t>
      </w:r>
    </w:p>
    <w:p w14:paraId="6FE12D6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38 như sau:</w:t>
      </w:r>
    </w:p>
    <w:p w14:paraId="2C96CEE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như sau:</w:t>
      </w:r>
    </w:p>
    <w:p w14:paraId="308B9CA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“4. Kinh phí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, c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trí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ngu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 chi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xuyên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 xml:space="preserve"> Ngân sách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c.</w:t>
      </w:r>
    </w:p>
    <w:p w14:paraId="77048ED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Kinh phí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tính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khi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vào chi phí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đ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 cho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cư.”;</w:t>
      </w:r>
    </w:p>
    <w:p w14:paraId="04E9FEA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các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5, 6 và 7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như</w:t>
      </w:r>
      <w:r w:rsidRPr="006C30A0">
        <w:rPr>
          <w:rFonts w:ascii="Arial" w:hAnsi="Arial" w:cs="Arial"/>
          <w:sz w:val="20"/>
          <w:szCs w:val="20"/>
        </w:rPr>
        <w:t xml:space="preserve"> sau:</w:t>
      </w:r>
    </w:p>
    <w:p w14:paraId="1FDBB12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“5.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không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hàng, giao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, thuê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4A26EBA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6.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Tài chính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tham mư</w:t>
      </w:r>
      <w:r w:rsidRPr="006C30A0">
        <w:rPr>
          <w:rFonts w:ascii="Arial" w:hAnsi="Arial" w:cs="Arial"/>
          <w:sz w:val="20"/>
          <w:szCs w:val="20"/>
        </w:rPr>
        <w:t>u cho Chính ph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và hư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ng d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ỷ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tính thu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tư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ng,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254/2025/QH15.</w:t>
      </w:r>
    </w:p>
    <w:p w14:paraId="522AFCA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7.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ng d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chi phí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ng qu</w:t>
      </w:r>
      <w:r w:rsidRPr="006C30A0">
        <w:rPr>
          <w:rFonts w:ascii="Arial" w:hAnsi="Arial" w:cs="Arial"/>
          <w:sz w:val="20"/>
          <w:szCs w:val="20"/>
        </w:rPr>
        <w:t>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e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254/2025/QH15.</w:t>
      </w:r>
    </w:p>
    <w:p w14:paraId="562C234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cung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thông tin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chi phí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ng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tài chính.”.</w:t>
      </w:r>
    </w:p>
    <w:p w14:paraId="76516D7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11.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88/2024/NĐ-CP ngày 15 tháng 7 năm 2024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Chính ph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 xml:space="preserve">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b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thư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ng, h</w:t>
      </w:r>
      <w:r w:rsidRPr="006C30A0">
        <w:rPr>
          <w:rFonts w:ascii="Arial" w:hAnsi="Arial" w:cs="Arial"/>
          <w:b/>
          <w:sz w:val="20"/>
          <w:szCs w:val="20"/>
        </w:rPr>
        <w:t>ỗ</w:t>
      </w:r>
      <w:r w:rsidRPr="006C30A0">
        <w:rPr>
          <w:rFonts w:ascii="Arial" w:hAnsi="Arial" w:cs="Arial"/>
          <w:b/>
          <w:sz w:val="20"/>
          <w:szCs w:val="20"/>
        </w:rPr>
        <w:t xml:space="preserve"> tr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, tái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cư khi Nhà nư</w:t>
      </w:r>
      <w:r w:rsidRPr="006C30A0">
        <w:rPr>
          <w:rFonts w:ascii="Arial" w:hAnsi="Arial" w:cs="Arial"/>
          <w:b/>
          <w:sz w:val="20"/>
          <w:szCs w:val="20"/>
        </w:rPr>
        <w:t>ớ</w:t>
      </w:r>
      <w:r w:rsidRPr="006C30A0">
        <w:rPr>
          <w:rFonts w:ascii="Arial" w:hAnsi="Arial" w:cs="Arial"/>
          <w:b/>
          <w:sz w:val="20"/>
          <w:szCs w:val="20"/>
        </w:rPr>
        <w:t>c thu h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(đư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c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226/2025/NĐ-CP)</w:t>
      </w:r>
    </w:p>
    <w:p w14:paraId="2CE1944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m n vào </w:t>
      </w:r>
      <w:r w:rsidRPr="006C30A0">
        <w:rPr>
          <w:rFonts w:ascii="Arial" w:hAnsi="Arial" w:cs="Arial"/>
          <w:sz w:val="20"/>
          <w:szCs w:val="20"/>
        </w:rPr>
        <w:t>sau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m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như sau:</w:t>
      </w:r>
    </w:p>
    <w:p w14:paraId="650208A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“n)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trí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cư,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và kinh phí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cư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có).”.</w:t>
      </w:r>
    </w:p>
    <w:p w14:paraId="1A1417D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 như sau:</w:t>
      </w:r>
    </w:p>
    <w:p w14:paraId="0FE2522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“1.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tính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khi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có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khác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là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giao,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cho thuê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cư.”.</w:t>
      </w:r>
    </w:p>
    <w:p w14:paraId="7876F9A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3.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 như sau:</w:t>
      </w:r>
    </w:p>
    <w:p w14:paraId="0754B18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“2.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gia đình, cá nhân đang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có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</w:t>
      </w:r>
      <w:r w:rsidRPr="006C30A0">
        <w:rPr>
          <w:rFonts w:ascii="Arial" w:hAnsi="Arial" w:cs="Arial"/>
          <w:sz w:val="20"/>
          <w:szCs w:val="20"/>
        </w:rPr>
        <w:t>ày 01 tháng 7 năm 2014 mà đã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xem xét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139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mà không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i đáp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ch.”.</w:t>
      </w:r>
    </w:p>
    <w:p w14:paraId="572B0F2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thích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(G) trong công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tính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13 như sau:</w:t>
      </w:r>
    </w:p>
    <w:p w14:paraId="29F17B8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“G: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tính theo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</w:t>
      </w:r>
      <w:r w:rsidRPr="006C30A0">
        <w:rPr>
          <w:rFonts w:ascii="Arial" w:hAnsi="Arial" w:cs="Arial"/>
          <w:sz w:val="20"/>
          <w:szCs w:val="20"/>
        </w:rPr>
        <w:t xml:space="preserve"> 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tính theo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cư.”.</w:t>
      </w:r>
    </w:p>
    <w:p w14:paraId="301D9A0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5.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u 14 </w:t>
      </w:r>
      <w:r w:rsidRPr="006C30A0">
        <w:rPr>
          <w:rFonts w:ascii="Arial" w:hAnsi="Arial" w:cs="Arial"/>
          <w:sz w:val="20"/>
          <w:szCs w:val="20"/>
        </w:rPr>
        <w:t>như sau:</w:t>
      </w:r>
    </w:p>
    <w:p w14:paraId="7AAAD52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“3.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t,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thuê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nhà, nhà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, công trình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Kinh phí thuê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c tính </w:t>
      </w:r>
      <w:r w:rsidRPr="006C30A0">
        <w:rPr>
          <w:rFonts w:ascii="Arial" w:hAnsi="Arial" w:cs="Arial"/>
          <w:sz w:val="20"/>
          <w:szCs w:val="20"/>
        </w:rPr>
        <w:t>vào chi phí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đ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 cho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cư.”.</w:t>
      </w:r>
    </w:p>
    <w:p w14:paraId="06C05ED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6.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19 như sau:</w:t>
      </w:r>
    </w:p>
    <w:p w14:paraId="1D030299" w14:textId="1CD8E74E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“3.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tình hình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phương,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khác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ng,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ng nhưng không th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hơn so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này.”.</w:t>
      </w:r>
    </w:p>
    <w:p w14:paraId="17876CA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7.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26 như sau:</w:t>
      </w:r>
    </w:p>
    <w:p w14:paraId="4160A1B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“2.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tính ghi n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nơi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là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tính theo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trong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cư.</w:t>
      </w:r>
    </w:p>
    <w:p w14:paraId="332952F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Khi thanh toán n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n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theo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ghi n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.”.</w:t>
      </w:r>
    </w:p>
    <w:p w14:paraId="53605A8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8.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28 như sau:</w:t>
      </w:r>
    </w:p>
    <w:p w14:paraId="327E62A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“d)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nguy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n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, </w:t>
      </w:r>
      <w:r w:rsidRPr="006C30A0">
        <w:rPr>
          <w:rFonts w:ascii="Arial" w:hAnsi="Arial" w:cs="Arial"/>
          <w:sz w:val="20"/>
          <w:szCs w:val="20"/>
        </w:rPr>
        <w:t>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cho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thì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đ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 kinh phí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cư.</w:t>
      </w:r>
    </w:p>
    <w:p w14:paraId="359BB0E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 xml:space="preserve">m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thì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tr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kinh phí ch</w:t>
      </w:r>
      <w:r w:rsidRPr="006C30A0">
        <w:rPr>
          <w:rFonts w:ascii="Arial" w:hAnsi="Arial" w:cs="Arial"/>
          <w:sz w:val="20"/>
          <w:szCs w:val="20"/>
        </w:rPr>
        <w:t>i tr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ch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m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94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vào chi phí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mà không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kh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vào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p.”.</w:t>
      </w:r>
    </w:p>
    <w:p w14:paraId="30DE810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12.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101/2024/NĐ-CP </w:t>
      </w:r>
      <w:r w:rsidRPr="006C30A0">
        <w:rPr>
          <w:rFonts w:ascii="Arial" w:hAnsi="Arial" w:cs="Arial"/>
          <w:b/>
          <w:sz w:val="20"/>
          <w:szCs w:val="20"/>
        </w:rPr>
        <w:t>ngày 29 tháng 7 năm 2024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Chính ph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 xml:space="preserve">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tra cơ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đai; đăng ký, c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p Gi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y ch</w:t>
      </w:r>
      <w:r w:rsidRPr="006C30A0">
        <w:rPr>
          <w:rFonts w:ascii="Arial" w:hAnsi="Arial" w:cs="Arial"/>
          <w:b/>
          <w:sz w:val="20"/>
          <w:szCs w:val="20"/>
        </w:rPr>
        <w:t>ứ</w:t>
      </w:r>
      <w:r w:rsidRPr="006C30A0">
        <w:rPr>
          <w:rFonts w:ascii="Arial" w:hAnsi="Arial" w:cs="Arial"/>
          <w:b/>
          <w:sz w:val="20"/>
          <w:szCs w:val="20"/>
        </w:rPr>
        <w:t>ng nh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n quy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n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quy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n s</w:t>
      </w:r>
      <w:r w:rsidRPr="006C30A0">
        <w:rPr>
          <w:rFonts w:ascii="Arial" w:hAnsi="Arial" w:cs="Arial"/>
          <w:b/>
          <w:sz w:val="20"/>
          <w:szCs w:val="20"/>
        </w:rPr>
        <w:t>ở</w:t>
      </w:r>
      <w:r w:rsidRPr="006C30A0">
        <w:rPr>
          <w:rFonts w:ascii="Arial" w:hAnsi="Arial" w:cs="Arial"/>
          <w:b/>
          <w:sz w:val="20"/>
          <w:szCs w:val="20"/>
        </w:rPr>
        <w:t xml:space="preserve"> h</w:t>
      </w:r>
      <w:r w:rsidRPr="006C30A0">
        <w:rPr>
          <w:rFonts w:ascii="Arial" w:hAnsi="Arial" w:cs="Arial"/>
          <w:b/>
          <w:sz w:val="20"/>
          <w:szCs w:val="20"/>
        </w:rPr>
        <w:t>ữ</w:t>
      </w:r>
      <w:r w:rsidRPr="006C30A0">
        <w:rPr>
          <w:rFonts w:ascii="Arial" w:hAnsi="Arial" w:cs="Arial"/>
          <w:b/>
          <w:sz w:val="20"/>
          <w:szCs w:val="20"/>
        </w:rPr>
        <w:t>u tài s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g</w:t>
      </w:r>
      <w:r w:rsidRPr="006C30A0">
        <w:rPr>
          <w:rFonts w:ascii="Arial" w:hAnsi="Arial" w:cs="Arial"/>
          <w:b/>
          <w:sz w:val="20"/>
          <w:szCs w:val="20"/>
        </w:rPr>
        <w:t>ắ</w:t>
      </w:r>
      <w:r w:rsidRPr="006C30A0">
        <w:rPr>
          <w:rFonts w:ascii="Arial" w:hAnsi="Arial" w:cs="Arial"/>
          <w:b/>
          <w:sz w:val="20"/>
          <w:szCs w:val="20"/>
        </w:rPr>
        <w:t>n li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n v</w:t>
      </w:r>
      <w:r w:rsidRPr="006C30A0">
        <w:rPr>
          <w:rFonts w:ascii="Arial" w:hAnsi="Arial" w:cs="Arial"/>
          <w:b/>
          <w:sz w:val="20"/>
          <w:szCs w:val="20"/>
        </w:rPr>
        <w:t>ớ</w:t>
      </w:r>
      <w:r w:rsidRPr="006C30A0">
        <w:rPr>
          <w:rFonts w:ascii="Arial" w:hAnsi="Arial" w:cs="Arial"/>
          <w:b/>
          <w:sz w:val="20"/>
          <w:szCs w:val="20"/>
        </w:rPr>
        <w:t>i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và H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 xml:space="preserve"> th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>ng thông tin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 (đư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c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</w:t>
      </w:r>
      <w:r w:rsidRPr="006C30A0">
        <w:rPr>
          <w:rFonts w:ascii="Arial" w:hAnsi="Arial" w:cs="Arial"/>
          <w:b/>
          <w:sz w:val="20"/>
          <w:szCs w:val="20"/>
        </w:rPr>
        <w:t>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226/2025/NĐ-CP)</w:t>
      </w:r>
    </w:p>
    <w:p w14:paraId="6308039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 như sau:</w:t>
      </w:r>
    </w:p>
    <w:p w14:paraId="457DA359" w14:textId="0CE3E295" w:rsidR="007C5AD2" w:rsidRPr="006C30A0" w:rsidRDefault="005E6F5F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6C30A0">
        <w:rPr>
          <w:rFonts w:ascii="Arial" w:hAnsi="Arial" w:cs="Arial"/>
          <w:sz w:val="20"/>
          <w:szCs w:val="20"/>
        </w:rPr>
        <w:t>a) Hoạt động đo đạc lập bản đồ địa chính quy định tại các điểm a, b, c và d khoản 2 Điều này thì lập thiết kế kỹ thuật - dự toán trình cấp có thẩm quyền phê duyệt trước khi triển khai, trừ các trường hợp sau đây:</w:t>
      </w:r>
    </w:p>
    <w:p w14:paraId="7FF066B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a1)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xuyên,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Chi nhánh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</w:t>
      </w:r>
    </w:p>
    <w:p w14:paraId="44A1956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a2)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theo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 xml:space="preserve"> mà không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ngân sách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c;”.</w:t>
      </w:r>
    </w:p>
    <w:p w14:paraId="05EE8F1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 như sau:</w:t>
      </w:r>
    </w:p>
    <w:p w14:paraId="2BF3BE3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như sau:</w:t>
      </w:r>
    </w:p>
    <w:p w14:paraId="40D63168" w14:textId="34026E31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“1. Rà soát,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chính: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rà soát, x</w:t>
      </w:r>
      <w:r w:rsidRPr="006C30A0">
        <w:rPr>
          <w:rFonts w:ascii="Arial" w:hAnsi="Arial" w:cs="Arial"/>
          <w:sz w:val="20"/>
          <w:szCs w:val="20"/>
        </w:rPr>
        <w:t>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báo cáo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chính.</w:t>
      </w:r>
    </w:p>
    <w:p w14:paraId="7432374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thì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nh </w:t>
      </w:r>
      <w:r w:rsidRPr="006C30A0">
        <w:rPr>
          <w:rFonts w:ascii="Arial" w:hAnsi="Arial" w:cs="Arial"/>
          <w:sz w:val="20"/>
          <w:szCs w:val="20"/>
        </w:rPr>
        <w:t>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n, cho phép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quá trình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do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xã.”;</w:t>
      </w:r>
    </w:p>
    <w:p w14:paraId="45805A9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như sau:</w:t>
      </w:r>
    </w:p>
    <w:p w14:paraId="68212A8D" w14:textId="5541DA80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“3.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-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toán,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: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m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trong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-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toán,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. Cơ quan có </w:t>
      </w:r>
      <w:r w:rsidRPr="006C30A0">
        <w:rPr>
          <w:rFonts w:ascii="Arial" w:hAnsi="Arial" w:cs="Arial"/>
          <w:sz w:val="20"/>
          <w:szCs w:val="20"/>
        </w:rPr>
        <w:t>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="006038A7" w:rsidRPr="006C30A0">
        <w:rPr>
          <w:rFonts w:ascii="Arial" w:hAnsi="Arial" w:cs="Arial"/>
          <w:sz w:val="20"/>
          <w:szCs w:val="20"/>
        </w:rPr>
        <w:t>thẩm định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trong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,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-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n lý nhà </w:t>
      </w:r>
      <w:r w:rsidRPr="006C30A0">
        <w:rPr>
          <w:rFonts w:ascii="Arial" w:hAnsi="Arial" w:cs="Arial"/>
          <w:sz w:val="20"/>
          <w:szCs w:val="20"/>
        </w:rPr>
        <w:t>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xã. Cơ quan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 kinh phí trong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-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toán,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ngân sách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c.”;</w:t>
      </w:r>
    </w:p>
    <w:p w14:paraId="5B6A442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như sau:</w:t>
      </w:r>
    </w:p>
    <w:p w14:paraId="16C6743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“a</w:t>
      </w:r>
      <w:r w:rsidRPr="006C30A0">
        <w:rPr>
          <w:rFonts w:ascii="Arial" w:hAnsi="Arial" w:cs="Arial"/>
          <w:sz w:val="20"/>
          <w:szCs w:val="20"/>
        </w:rPr>
        <w:t>)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n: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-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toán,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án,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thi công;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giám sát,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án,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giám sát,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tra;”.</w:t>
      </w:r>
    </w:p>
    <w:p w14:paraId="56649A0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 như sau:</w:t>
      </w:r>
    </w:p>
    <w:p w14:paraId="6C76B02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như sau:</w:t>
      </w:r>
    </w:p>
    <w:p w14:paraId="205184D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“đ)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Chi nhánh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 xml:space="preserve">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ánh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các sai khác thông tin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t.”;</w:t>
      </w:r>
    </w:p>
    <w:p w14:paraId="7261111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như sau:</w:t>
      </w:r>
    </w:p>
    <w:p w14:paraId="10D90D3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“4.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</w:t>
      </w:r>
      <w:r w:rsidRPr="006C30A0">
        <w:rPr>
          <w:rFonts w:ascii="Arial" w:hAnsi="Arial" w:cs="Arial"/>
          <w:sz w:val="20"/>
          <w:szCs w:val="20"/>
        </w:rPr>
        <w:t>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theo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thì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đưa vào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ng,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Chi nhánh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đai.”.</w:t>
      </w:r>
    </w:p>
    <w:p w14:paraId="71DD1F5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9 như sau:</w:t>
      </w:r>
    </w:p>
    <w:p w14:paraId="4B08526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như sau:</w:t>
      </w:r>
    </w:p>
    <w:p w14:paraId="194F095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“c)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tra,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</w:t>
      </w:r>
      <w:r w:rsidRPr="006C30A0">
        <w:rPr>
          <w:rFonts w:ascii="Arial" w:hAnsi="Arial" w:cs="Arial"/>
          <w:sz w:val="20"/>
          <w:szCs w:val="20"/>
        </w:rPr>
        <w:t xml:space="preserve"> thu và ký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chính;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tra, ký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nh;”;</w:t>
      </w:r>
    </w:p>
    <w:p w14:paraId="082573F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4a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như sau:</w:t>
      </w:r>
    </w:p>
    <w:p w14:paraId="1FDDC6A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“4a.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Chi nhánh Văn ph</w:t>
      </w:r>
      <w:r w:rsidRPr="006C30A0">
        <w:rPr>
          <w:rFonts w:ascii="Arial" w:hAnsi="Arial" w:cs="Arial"/>
          <w:sz w:val="20"/>
          <w:szCs w:val="20"/>
        </w:rPr>
        <w:t>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vào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tra, ký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tra, ký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và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xã.”;</w:t>
      </w:r>
    </w:p>
    <w:p w14:paraId="1A1A05C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như sau:</w:t>
      </w:r>
    </w:p>
    <w:p w14:paraId="735C5D5C" w14:textId="22B77D93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“7.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và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giám sát,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tra,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thu trong quá trình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-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t; báo cáo cơ quan có </w:t>
      </w:r>
      <w:r w:rsidRPr="006C30A0">
        <w:rPr>
          <w:rFonts w:ascii="Arial" w:hAnsi="Arial" w:cs="Arial"/>
          <w:sz w:val="20"/>
          <w:szCs w:val="20"/>
        </w:rPr>
        <w:t>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tình hình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và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ng,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phương;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lý,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v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trên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bàn;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m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theo quy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m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thì do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p </w:t>
      </w:r>
      <w:r w:rsidRPr="006C30A0">
        <w:rPr>
          <w:rFonts w:ascii="Arial" w:hAnsi="Arial" w:cs="Arial"/>
          <w:sz w:val="20"/>
          <w:szCs w:val="20"/>
        </w:rPr>
        <w:lastRenderedPageBreak/>
        <w:t>xã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n;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Chi nhánh Văn phòng đă</w:t>
      </w:r>
      <w:r w:rsidRPr="006C30A0">
        <w:rPr>
          <w:rFonts w:ascii="Arial" w:hAnsi="Arial" w:cs="Arial"/>
          <w:sz w:val="20"/>
          <w:szCs w:val="20"/>
        </w:rPr>
        <w:t>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ng.”;</w:t>
      </w:r>
    </w:p>
    <w:p w14:paraId="397689D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10a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10b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10 như sau:</w:t>
      </w:r>
    </w:p>
    <w:p w14:paraId="1393851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“10a.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sau:</w:t>
      </w:r>
    </w:p>
    <w:p w14:paraId="1D65270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chính </w:t>
      </w:r>
      <w:r w:rsidRPr="006C30A0">
        <w:rPr>
          <w:rFonts w:ascii="Arial" w:hAnsi="Arial" w:cs="Arial"/>
          <w:sz w:val="20"/>
          <w:szCs w:val="20"/>
        </w:rPr>
        <w:t>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-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toán, phương án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đăng ký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Chi nhánh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thì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và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theo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01/TĐBĐ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ban hành kèm theo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này;</w:t>
      </w:r>
    </w:p>
    <w:p w14:paraId="4C9744C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và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theo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02/TĐBĐ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ban hành kèm theo </w:t>
      </w:r>
      <w:r w:rsidRPr="006C30A0">
        <w:rPr>
          <w:rFonts w:ascii="Arial" w:hAnsi="Arial" w:cs="Arial"/>
          <w:sz w:val="20"/>
          <w:szCs w:val="20"/>
        </w:rPr>
        <w:t>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này;</w:t>
      </w:r>
    </w:p>
    <w:p w14:paraId="6236958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thì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và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theo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03/CLBĐ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ban hành kèm theo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63144DD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10b. Khi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cơ quan mình, cơ quan c</w:t>
      </w:r>
      <w:r w:rsidRPr="006C30A0">
        <w:rPr>
          <w:rFonts w:ascii="Arial" w:hAnsi="Arial" w:cs="Arial"/>
          <w:sz w:val="20"/>
          <w:szCs w:val="20"/>
        </w:rPr>
        <w:t>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Chi nhánh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không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riêng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n, ký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l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ghép</w:t>
      </w:r>
      <w:r w:rsidRPr="006C30A0">
        <w:rPr>
          <w:rFonts w:ascii="Arial" w:hAnsi="Arial" w:cs="Arial"/>
          <w:sz w:val="20"/>
          <w:szCs w:val="20"/>
        </w:rPr>
        <w:t xml:space="preserve"> trong quá trình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đai.”.</w:t>
      </w:r>
    </w:p>
    <w:p w14:paraId="1CFA0D9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5.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18 như sau:</w:t>
      </w:r>
    </w:p>
    <w:p w14:paraId="3FE90CD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như sau:</w:t>
      </w:r>
    </w:p>
    <w:p w14:paraId="6A9E4E8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“7.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thông qua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127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sau khi hoàn thành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toàn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563844C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 không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x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đăng ký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bên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hành chính trong lĩnh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đai.”;</w:t>
      </w:r>
    </w:p>
    <w:p w14:paraId="47B339B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13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14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12 như sau:</w:t>
      </w:r>
    </w:p>
    <w:p w14:paraId="41B92C5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“13.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các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mà đã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đưa vào kinh doanh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kinh doanh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đã ký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cho bên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như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ng;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ch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u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c nhà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, công trình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công trình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đưa vào kinh doanh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kinh doanh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và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khác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có liên qua</w:t>
      </w:r>
      <w:r w:rsidRPr="006C30A0">
        <w:rPr>
          <w:rFonts w:ascii="Arial" w:hAnsi="Arial" w:cs="Arial"/>
          <w:sz w:val="20"/>
          <w:szCs w:val="20"/>
        </w:rPr>
        <w:t>n;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u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</w:t>
      </w:r>
    </w:p>
    <w:p w14:paraId="77E7EFA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14.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có nhi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nhi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tr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nhi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khác nhau mà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ranh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ranh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gi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a các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ranh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gi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a các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nét đ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t xen nét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m, kèm theo ghi chú thích the</w:t>
      </w:r>
      <w:r w:rsidRPr="006C30A0">
        <w:rPr>
          <w:rFonts w:ascii="Arial" w:hAnsi="Arial" w:cs="Arial"/>
          <w:sz w:val="20"/>
          <w:szCs w:val="20"/>
        </w:rPr>
        <w:t>o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ranh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đó trên sơ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17E1F43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6.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24 như sau:</w:t>
      </w:r>
    </w:p>
    <w:p w14:paraId="5263E43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“4.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gia đình, cá nhân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còn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chưa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đây mà nay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xem xét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5D37B95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7.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25 như sau:</w:t>
      </w:r>
    </w:p>
    <w:p w14:paraId="3DCE663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“a)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u tài </w:t>
      </w:r>
      <w:r w:rsidRPr="006C30A0">
        <w:rPr>
          <w:rFonts w:ascii="Arial" w:hAnsi="Arial" w:cs="Arial"/>
          <w:sz w:val="20"/>
          <w:szCs w:val="20"/>
        </w:rPr>
        <w:t>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l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chưa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n;</w:t>
      </w:r>
    </w:p>
    <w:p w14:paraId="323458D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đăng ký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n;”.</w:t>
      </w:r>
    </w:p>
    <w:p w14:paraId="1D4142E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8.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64a vào sau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64 như sau:</w:t>
      </w:r>
    </w:p>
    <w:p w14:paraId="6BAFF84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</w:t>
      </w: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64a. Thuê d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ch v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 xml:space="preserve"> v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n hành, duy trì h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 xml:space="preserve"> th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>ng thông tin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 xml:space="preserve">t đai </w:t>
      </w:r>
      <w:r w:rsidRPr="006C30A0">
        <w:rPr>
          <w:rFonts w:ascii="Arial" w:hAnsi="Arial" w:cs="Arial"/>
          <w:b/>
          <w:sz w:val="20"/>
          <w:szCs w:val="20"/>
        </w:rPr>
        <w:t>ở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a phương</w:t>
      </w:r>
    </w:p>
    <w:p w14:paraId="58D562C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thuê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ngh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thông tin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lý, v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hành, c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0D3B978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ng k</w:t>
      </w:r>
      <w:r w:rsidRPr="006C30A0">
        <w:rPr>
          <w:rFonts w:ascii="Arial" w:hAnsi="Arial" w:cs="Arial"/>
          <w:sz w:val="20"/>
          <w:szCs w:val="20"/>
        </w:rPr>
        <w:t>ỹ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công ngh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thông tin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164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</w:t>
      </w:r>
    </w:p>
    <w:p w14:paraId="42300B9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m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v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hành, c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ng thông tin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164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</w:t>
      </w:r>
    </w:p>
    <w:p w14:paraId="4838ECD4" w14:textId="1B0FDCEC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2.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</w:t>
      </w:r>
      <w:r w:rsidRPr="006C30A0">
        <w:rPr>
          <w:rFonts w:ascii="Arial" w:hAnsi="Arial" w:cs="Arial"/>
          <w:sz w:val="20"/>
          <w:szCs w:val="20"/>
        </w:rPr>
        <w:t>ơng, các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ngh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thông tin s</w:t>
      </w:r>
      <w:r w:rsidRPr="006C30A0">
        <w:rPr>
          <w:rFonts w:ascii="Arial" w:hAnsi="Arial" w:cs="Arial"/>
          <w:sz w:val="20"/>
          <w:szCs w:val="20"/>
        </w:rPr>
        <w:t>ẵ</w:t>
      </w:r>
      <w:r w:rsidRPr="006C30A0">
        <w:rPr>
          <w:rFonts w:ascii="Arial" w:hAnsi="Arial" w:cs="Arial"/>
          <w:sz w:val="20"/>
          <w:szCs w:val="20"/>
        </w:rPr>
        <w:t>n có trên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và phương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thuê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hành, duy trì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ng thông tin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theo tài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dùng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theo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hành chính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toán,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cung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.</w:t>
      </w:r>
    </w:p>
    <w:p w14:paraId="4AE2667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thuê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 không làm phát sinh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u; đ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an ninh, an toàn và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m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thông tin.”.</w:t>
      </w:r>
    </w:p>
    <w:p w14:paraId="6A81E12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13.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102/2024/NĐ-CP ngày 30 tháng 7 năm 2024 </w:t>
      </w:r>
      <w:r w:rsidRPr="006C30A0">
        <w:rPr>
          <w:rFonts w:ascii="Arial" w:hAnsi="Arial" w:cs="Arial"/>
          <w:b/>
          <w:sz w:val="20"/>
          <w:szCs w:val="20"/>
        </w:rPr>
        <w:t>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Chính ph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 xml:space="preserve">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chi ti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thi hành m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t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Lu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t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 (đư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c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>i, 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226/2025/NĐ-CP)</w:t>
      </w:r>
    </w:p>
    <w:p w14:paraId="13A8AEE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 như sau:</w:t>
      </w:r>
    </w:p>
    <w:p w14:paraId="4949A94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“1.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là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làm nhà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và các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khác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ho đ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ng trong cùng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nông thôn,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đô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,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như sau:</w:t>
      </w:r>
    </w:p>
    <w:p w14:paraId="29F0FEB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nông thôn là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hành chính xã và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khu mà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phương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khu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n tương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phương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xã,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đô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đô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nhưng v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n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hành chính xã,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 xml:space="preserve">c khu tương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</w:t>
      </w:r>
      <w:r w:rsidRPr="006C30A0">
        <w:rPr>
          <w:rFonts w:ascii="Arial" w:hAnsi="Arial" w:cs="Arial"/>
          <w:sz w:val="20"/>
          <w:szCs w:val="20"/>
        </w:rPr>
        <w:t xml:space="preserve">ơng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xã;</w:t>
      </w:r>
    </w:p>
    <w:p w14:paraId="1D67684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đô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là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hành chính phư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và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khu mà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phương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khu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n tương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phương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phư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n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m trong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ành chính xã,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 xml:space="preserve">c khu tương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phương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xã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đô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đô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23172F9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28 như sau:</w:t>
      </w:r>
    </w:p>
    <w:p w14:paraId="4B88E97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g1 và</w:t>
      </w:r>
      <w:r w:rsidRPr="006C30A0">
        <w:rPr>
          <w:rFonts w:ascii="Arial" w:hAnsi="Arial" w:cs="Arial"/>
          <w:sz w:val="20"/>
          <w:szCs w:val="20"/>
        </w:rPr>
        <w:t>o sau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như sau:</w:t>
      </w:r>
    </w:p>
    <w:p w14:paraId="5E70D2D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“g1)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cư;”.</w:t>
      </w:r>
    </w:p>
    <w:p w14:paraId="2954874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1a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như sau:</w:t>
      </w:r>
    </w:p>
    <w:p w14:paraId="2AD7539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“1a.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21AF822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khi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6521F7E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như sau:</w:t>
      </w:r>
    </w:p>
    <w:p w14:paraId="632F2C0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“3.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đang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đã hoàn thành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bư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công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trong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 xml:space="preserve">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nhưng chưa ban hành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thông báo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thì ban hành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thông báo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theo trong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23BA139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thông báo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ban hành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không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9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254/2025/QH15.”.</w:t>
      </w:r>
    </w:p>
    <w:p w14:paraId="348D6C8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3a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31 như sau:</w:t>
      </w:r>
    </w:p>
    <w:p w14:paraId="3089627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“3a.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c công </w:t>
      </w:r>
      <w:r w:rsidRPr="006C30A0">
        <w:rPr>
          <w:rFonts w:ascii="Arial" w:hAnsi="Arial" w:cs="Arial"/>
          <w:sz w:val="20"/>
          <w:szCs w:val="20"/>
        </w:rPr>
        <w:t>khai thông tin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và công khai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kh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sau:</w:t>
      </w:r>
    </w:p>
    <w:p w14:paraId="2194416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Công khai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thông tin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và công khai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kh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81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Chính ph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hành chính trong lĩnh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</w:t>
      </w:r>
    </w:p>
    <w:p w14:paraId="4F9D1CA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công khai,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m,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m, hành vi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m,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m,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đã x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lý hành vi</w:t>
      </w:r>
      <w:r w:rsidRPr="006C30A0">
        <w:rPr>
          <w:rFonts w:ascii="Arial" w:hAnsi="Arial" w:cs="Arial"/>
          <w:sz w:val="20"/>
          <w:szCs w:val="20"/>
        </w:rPr>
        <w:t xml:space="preserve">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m.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công khai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kh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thì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minh đã kh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xong hành vi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m;</w:t>
      </w:r>
    </w:p>
    <w:p w14:paraId="595FFFAA" w14:textId="37750C5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không quá 03 ngày làm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phát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hành vi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m,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inh đã kh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xong hành vi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thì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x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lý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danh sách,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thông tin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và kh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 g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công khai.</w:t>
      </w:r>
    </w:p>
    <w:p w14:paraId="52DFF8EB" w14:textId="13E00DB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</w:t>
      </w:r>
      <w:r w:rsidRPr="006C30A0">
        <w:rPr>
          <w:rFonts w:ascii="Arial" w:hAnsi="Arial" w:cs="Arial"/>
          <w:sz w:val="20"/>
          <w:szCs w:val="20"/>
        </w:rPr>
        <w:t>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không quá 03 ngày làm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c danh sách,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công khai trên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và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n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i,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Nông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và Môi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</w:t>
      </w:r>
      <w:r w:rsidRPr="006C30A0">
        <w:rPr>
          <w:rFonts w:ascii="Arial" w:hAnsi="Arial" w:cs="Arial"/>
          <w:sz w:val="20"/>
          <w:szCs w:val="20"/>
        </w:rPr>
        <w:t>; c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trong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</w:t>
      </w:r>
    </w:p>
    <w:p w14:paraId="755D393E" w14:textId="6374C5E9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chưa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n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i,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gi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Nông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và Môi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 xml:space="preserve">ng thì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i danh sách,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i dung thông tin vi </w:t>
      </w:r>
      <w:r w:rsidRPr="006C30A0">
        <w:rPr>
          <w:rFonts w:ascii="Arial" w:hAnsi="Arial" w:cs="Arial"/>
          <w:sz w:val="20"/>
          <w:szCs w:val="20"/>
        </w:rPr>
        <w:t>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và kh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Nông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và Môi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đăng trên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Nông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và Môi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ng.”.</w:t>
      </w:r>
    </w:p>
    <w:p w14:paraId="1469F29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44a vào sau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44 như sau:</w:t>
      </w:r>
    </w:p>
    <w:p w14:paraId="3F8D4AE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</w:t>
      </w: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44a. Vi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c giao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cho thuê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ch</w:t>
      </w:r>
      <w:r w:rsidRPr="006C30A0">
        <w:rPr>
          <w:rFonts w:ascii="Arial" w:hAnsi="Arial" w:cs="Arial"/>
          <w:b/>
          <w:sz w:val="20"/>
          <w:szCs w:val="20"/>
        </w:rPr>
        <w:t>ỉ</w:t>
      </w:r>
      <w:r w:rsidRPr="006C30A0">
        <w:rPr>
          <w:rFonts w:ascii="Arial" w:hAnsi="Arial" w:cs="Arial"/>
          <w:b/>
          <w:sz w:val="20"/>
          <w:szCs w:val="20"/>
        </w:rPr>
        <w:t>nh quy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giao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cho thuê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  <w:r w:rsidRPr="006C30A0">
        <w:rPr>
          <w:rFonts w:ascii="Arial" w:hAnsi="Arial" w:cs="Arial"/>
          <w:b/>
          <w:sz w:val="20"/>
          <w:szCs w:val="20"/>
        </w:rPr>
        <w:t>, cho phép chuy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n m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c đích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2A7E450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trong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sau đây:</w:t>
      </w:r>
    </w:p>
    <w:p w14:paraId="492BB6C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Khi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cơ quan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có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làm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q</w:t>
      </w:r>
      <w:r w:rsidRPr="006C30A0">
        <w:rPr>
          <w:rFonts w:ascii="Arial" w:hAnsi="Arial" w:cs="Arial"/>
          <w:sz w:val="20"/>
          <w:szCs w:val="20"/>
        </w:rPr>
        <w:t>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các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1, 2, 3, 4 và 5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116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đai;</w:t>
      </w:r>
    </w:p>
    <w:p w14:paraId="2D0EB1F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có sai sót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ranh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trí,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tích,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gi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a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ch,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bàn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trên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a.</w:t>
      </w:r>
    </w:p>
    <w:p w14:paraId="27CE8F9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khi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119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l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124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cơ quan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3A66C66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m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124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cho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b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kinh doanh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78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79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di d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kinh doanh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các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còn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có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khác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kinh doanh.</w:t>
      </w:r>
    </w:p>
    <w:p w14:paraId="13D5582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mi</w:t>
      </w:r>
      <w:r w:rsidRPr="006C30A0">
        <w:rPr>
          <w:rFonts w:ascii="Arial" w:hAnsi="Arial" w:cs="Arial"/>
          <w:sz w:val="20"/>
          <w:szCs w:val="20"/>
        </w:rPr>
        <w:t>ễ</w:t>
      </w:r>
      <w:r w:rsidRPr="006C30A0">
        <w:rPr>
          <w:rFonts w:ascii="Arial" w:hAnsi="Arial" w:cs="Arial"/>
          <w:sz w:val="20"/>
          <w:szCs w:val="20"/>
        </w:rPr>
        <w:t>n,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m;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7AA271C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5.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4a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54 như sau:</w:t>
      </w:r>
    </w:p>
    <w:p w14:paraId="44F3DB4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“4a.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đưa ra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02 l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không thành mà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giá kh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và các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chi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thi hành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254/2025/QH15.”.</w:t>
      </w:r>
    </w:p>
    <w:p w14:paraId="5A30E42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6.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55 như sau:</w:t>
      </w:r>
    </w:p>
    <w:p w14:paraId="20AC809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như sau:</w:t>
      </w:r>
    </w:p>
    <w:p w14:paraId="14CDAF9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“c)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p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</w:t>
      </w:r>
      <w:r w:rsidRPr="006C30A0">
        <w:rPr>
          <w:rFonts w:ascii="Arial" w:hAnsi="Arial" w:cs="Arial"/>
          <w:sz w:val="20"/>
          <w:szCs w:val="20"/>
        </w:rPr>
        <w:t xml:space="preserve">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n;”;</w:t>
      </w:r>
    </w:p>
    <w:p w14:paraId="31D711E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b)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như sau:</w:t>
      </w:r>
    </w:p>
    <w:p w14:paraId="22D7563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“d)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tư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tham gia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giá. Tiêu chí đánh giá năng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kinh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trong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phát tri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125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và tình hình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phương;”;</w:t>
      </w:r>
    </w:p>
    <w:p w14:paraId="3A1245E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như sau:</w:t>
      </w:r>
    </w:p>
    <w:p w14:paraId="6A10A048" w14:textId="5C352AC0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“4.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tra, hoàn thi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trình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ch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cùng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1AE1E38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7.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vào sau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61 như sau:</w:t>
      </w:r>
    </w:p>
    <w:p w14:paraId="66E308DC" w14:textId="222EF47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“d)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các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01 tháng 01 năm 2026 đã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h</w:t>
      </w:r>
      <w:r w:rsidRPr="006C30A0">
        <w:rPr>
          <w:rFonts w:ascii="Arial" w:hAnsi="Arial" w:cs="Arial"/>
          <w:sz w:val="20"/>
          <w:szCs w:val="20"/>
        </w:rPr>
        <w:t>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cơ quan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cho phép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và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đó đã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đã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mà</w:t>
      </w:r>
      <w:r w:rsidRPr="006C30A0">
        <w:rPr>
          <w:rFonts w:ascii="Arial" w:hAnsi="Arial" w:cs="Arial"/>
          <w:sz w:val="20"/>
          <w:szCs w:val="20"/>
        </w:rPr>
        <w:t xml:space="preserve"> nay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79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thì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chưa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án.”.</w:t>
      </w:r>
    </w:p>
    <w:p w14:paraId="2ED7D70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8.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63 như sau:</w:t>
      </w:r>
    </w:p>
    <w:p w14:paraId="29622CF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“3.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không có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thông tin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bàn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trên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thì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theo các phương pháp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khác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226/2025/NĐ-CP), báo cáo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xem xét,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3663193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hơn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trong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bàn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trên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thì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theo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12CBB3B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9.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63a vào sau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63 như sau:</w:t>
      </w:r>
    </w:p>
    <w:p w14:paraId="2BB95D2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</w:t>
      </w: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63a. Các trư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 h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p b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kh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 xml:space="preserve"> kháng khi gia h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n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i kho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3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172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Lu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t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</w:t>
      </w:r>
    </w:p>
    <w:p w14:paraId="013852F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kháng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a, b, c, d, đ, e và 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31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102/2024/NĐ-CP.</w:t>
      </w:r>
    </w:p>
    <w:p w14:paraId="68D318A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p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xin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102/2024/NĐ-CP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đã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p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xin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 nhưng h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chưa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chưa</w:t>
      </w:r>
      <w:r w:rsidRPr="006C30A0">
        <w:rPr>
          <w:rFonts w:ascii="Arial" w:hAnsi="Arial" w:cs="Arial"/>
          <w:sz w:val="20"/>
          <w:szCs w:val="20"/>
        </w:rPr>
        <w:t xml:space="preserve">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0566B45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10.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72a vào sau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72 như sau:</w:t>
      </w:r>
    </w:p>
    <w:p w14:paraId="5021267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</w:t>
      </w: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72a. Giao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cho thuê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giao khu v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bi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n đ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 xml:space="preserve"> th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n ho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t đ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ng l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n bi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n</w:t>
      </w:r>
    </w:p>
    <w:p w14:paraId="22CDEAF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thông qua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</w:t>
      </w:r>
      <w:r w:rsidRPr="006C30A0">
        <w:rPr>
          <w:rFonts w:ascii="Arial" w:hAnsi="Arial" w:cs="Arial"/>
          <w:sz w:val="20"/>
          <w:szCs w:val="20"/>
        </w:rPr>
        <w:t xml:space="preserve"> tư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có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thì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50BCCF7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giao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n.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có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không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p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n.</w:t>
      </w:r>
    </w:p>
    <w:p w14:paraId="7670D79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đưa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vào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tính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có thông báo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thu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toàn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đã hoàn thành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theo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bi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trong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tư.”.</w:t>
      </w:r>
    </w:p>
    <w:p w14:paraId="620C566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11.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87 như sau:</w:t>
      </w:r>
    </w:p>
    <w:p w14:paraId="0E5BD2C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cô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tính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năm khi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phòng, an ninh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lao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như sau:</w:t>
      </w:r>
    </w:p>
    <w:p w14:paraId="73B23E4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năm =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ng lao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theo phương án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x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x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x T</w:t>
      </w:r>
      <w:r w:rsidRPr="006C30A0">
        <w:rPr>
          <w:rFonts w:ascii="Arial" w:hAnsi="Arial" w:cs="Arial"/>
          <w:sz w:val="20"/>
          <w:szCs w:val="20"/>
        </w:rPr>
        <w:t>ỷ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% đơn giá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năm x T</w:t>
      </w:r>
      <w:r w:rsidRPr="006C30A0">
        <w:rPr>
          <w:rFonts w:ascii="Arial" w:hAnsi="Arial" w:cs="Arial"/>
          <w:sz w:val="20"/>
          <w:szCs w:val="20"/>
        </w:rPr>
        <w:t>ỷ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% doanh thu ngoài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quân s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phòng, an ninh h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năm;</w:t>
      </w:r>
    </w:p>
    <w:p w14:paraId="180C6B7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</w:t>
      </w:r>
      <w:r w:rsidRPr="006C30A0">
        <w:rPr>
          <w:rFonts w:ascii="Arial" w:hAnsi="Arial" w:cs="Arial"/>
          <w:sz w:val="20"/>
          <w:szCs w:val="20"/>
        </w:rPr>
        <w:t xml:space="preserve">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như sau:</w:t>
      </w:r>
    </w:p>
    <w:p w14:paraId="2F843C5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“a)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lao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không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 các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tích: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giao thông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, nhà ăn, nhà b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p, nhà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, nhà làm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(tr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nhà làm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doanh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do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phòng,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Công an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giao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lý), nhà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v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, nhà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xe, khuôn viên cây xanh, hành lang an toàn, bãi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vũ khí,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luy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n,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lăn, sân đ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máy bay,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 xml:space="preserve"> cánh,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nhà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a máy bay, nhà ga,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tĩnh không sân bay, công trình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tu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tra,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v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sân bay, đài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huy sân bay và các công trình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khác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khai thác bay, khu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thao, nhà truy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ng, nhà văn hóa, nhà sinh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ng, nhà tr</w:t>
      </w:r>
      <w:r w:rsidRPr="006C30A0">
        <w:rPr>
          <w:rFonts w:ascii="Arial" w:hAnsi="Arial" w:cs="Arial"/>
          <w:sz w:val="20"/>
          <w:szCs w:val="20"/>
        </w:rPr>
        <w:t>ẻ</w:t>
      </w:r>
      <w:r w:rsidRPr="006C30A0">
        <w:rPr>
          <w:rFonts w:ascii="Arial" w:hAnsi="Arial" w:cs="Arial"/>
          <w:sz w:val="20"/>
          <w:szCs w:val="20"/>
        </w:rPr>
        <w:t>,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giáo,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khu vư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 ươm, nhà khách, nhà</w:t>
      </w:r>
      <w:r w:rsidRPr="006C30A0">
        <w:rPr>
          <w:rFonts w:ascii="Arial" w:hAnsi="Arial" w:cs="Arial"/>
          <w:sz w:val="20"/>
          <w:szCs w:val="20"/>
        </w:rPr>
        <w:t xml:space="preserve"> ngh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cho cán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, công nhân viên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c, nhà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cho công nhân và các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khác không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o ra l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i nhu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n;”;</w:t>
      </w:r>
    </w:p>
    <w:p w14:paraId="7F0C2D6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vào sau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như sau:</w:t>
      </w:r>
    </w:p>
    <w:p w14:paraId="113680B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“5.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ngày 01 tháng 01 năm 2026 mà phương án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phòng, an ninh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lao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xu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nhưng chưa tính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năm thì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năm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tính theo công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t.”.</w:t>
      </w:r>
    </w:p>
    <w:p w14:paraId="72F3C9A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12.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99 như sau:</w:t>
      </w:r>
    </w:p>
    <w:p w14:paraId="0D8C3D8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như sau:</w:t>
      </w:r>
    </w:p>
    <w:p w14:paraId="5822061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“b)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vào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không quá 50%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vào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chính.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này không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a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đích, các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khoáng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n;”;</w:t>
      </w:r>
    </w:p>
    <w:p w14:paraId="2C507F3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như sau:</w:t>
      </w:r>
    </w:p>
    <w:p w14:paraId="272D392C" w14:textId="77777777" w:rsidR="007C5AD2" w:rsidRPr="006C30A0" w:rsidRDefault="00B37C51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“d)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c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o công trình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vào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khác</w:t>
      </w:r>
      <w:r w:rsidRPr="006C30A0">
        <w:rPr>
          <w:rFonts w:ascii="Arial" w:hAnsi="Arial" w:cs="Arial"/>
          <w:sz w:val="20"/>
          <w:szCs w:val="20"/>
        </w:rPr>
        <w:t xml:space="preserve"> có liên quan;”.</w:t>
      </w:r>
    </w:p>
    <w:p w14:paraId="26E4C13F" w14:textId="77777777" w:rsidR="001177B2" w:rsidRPr="006C30A0" w:rsidRDefault="001177B2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CF71ECF" w14:textId="6C4B7C19" w:rsidR="007C5AD2" w:rsidRPr="006C30A0" w:rsidRDefault="00B37C51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Chương IV</w:t>
      </w:r>
    </w:p>
    <w:p w14:paraId="7F65AC29" w14:textId="0798CFBC" w:rsidR="007C5AD2" w:rsidRPr="006C30A0" w:rsidRDefault="001177B2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 xml:space="preserve">SỬA ĐỔI, BỔ SUNG QUY ĐỊNH VỀ PHÂN CẤP, PHÂN QUYỀN, </w:t>
      </w:r>
      <w:r w:rsidRPr="006C30A0">
        <w:rPr>
          <w:rFonts w:ascii="Arial" w:hAnsi="Arial" w:cs="Arial"/>
          <w:b/>
          <w:sz w:val="20"/>
          <w:szCs w:val="20"/>
        </w:rPr>
        <w:br/>
        <w:t>PHÂN ĐỊNH THẨM QUYỀN TRONG LĨNH VỰC ĐẤT ĐAI</w:t>
      </w:r>
    </w:p>
    <w:p w14:paraId="292B80B7" w14:textId="77777777" w:rsidR="001177B2" w:rsidRPr="006C30A0" w:rsidRDefault="001177B2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A8A8D3D" w14:textId="30D65299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14. Phân c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p th</w:t>
      </w:r>
      <w:r w:rsidRPr="006C30A0">
        <w:rPr>
          <w:rFonts w:ascii="Arial" w:hAnsi="Arial" w:cs="Arial"/>
          <w:b/>
          <w:sz w:val="20"/>
          <w:szCs w:val="20"/>
        </w:rPr>
        <w:t>ẩ</w:t>
      </w:r>
      <w:r w:rsidRPr="006C30A0">
        <w:rPr>
          <w:rFonts w:ascii="Arial" w:hAnsi="Arial" w:cs="Arial"/>
          <w:b/>
          <w:sz w:val="20"/>
          <w:szCs w:val="20"/>
        </w:rPr>
        <w:t>m quy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n cho </w:t>
      </w:r>
      <w:r w:rsidR="006038A7" w:rsidRPr="006C30A0">
        <w:rPr>
          <w:rFonts w:ascii="Arial" w:hAnsi="Arial" w:cs="Arial"/>
          <w:b/>
          <w:sz w:val="20"/>
          <w:szCs w:val="20"/>
        </w:rPr>
        <w:t>Ủy ban</w:t>
      </w:r>
      <w:r w:rsidRPr="006C30A0">
        <w:rPr>
          <w:rFonts w:ascii="Arial" w:hAnsi="Arial" w:cs="Arial"/>
          <w:b/>
          <w:sz w:val="20"/>
          <w:szCs w:val="20"/>
        </w:rPr>
        <w:t xml:space="preserve"> nhân dân c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p t</w:t>
      </w:r>
      <w:r w:rsidRPr="006C30A0">
        <w:rPr>
          <w:rFonts w:ascii="Arial" w:hAnsi="Arial" w:cs="Arial"/>
          <w:b/>
          <w:sz w:val="20"/>
          <w:szCs w:val="20"/>
        </w:rPr>
        <w:t>ỉ</w:t>
      </w:r>
      <w:r w:rsidRPr="006C30A0">
        <w:rPr>
          <w:rFonts w:ascii="Arial" w:hAnsi="Arial" w:cs="Arial"/>
          <w:b/>
          <w:sz w:val="20"/>
          <w:szCs w:val="20"/>
        </w:rPr>
        <w:t>nh th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n trong lĩnh v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</w:t>
      </w:r>
    </w:p>
    <w:p w14:paraId="3059502D" w14:textId="29E2832C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1.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công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án,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n,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6D65A14A" w14:textId="2A8786E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190/2025/QH15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x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lý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liên quan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 xml:space="preserve">p </w:t>
      </w:r>
      <w:r w:rsidRPr="006C30A0">
        <w:rPr>
          <w:rFonts w:ascii="Arial" w:hAnsi="Arial" w:cs="Arial"/>
          <w:sz w:val="20"/>
          <w:szCs w:val="20"/>
        </w:rPr>
        <w:t>x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máy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và tình hình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a phương,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phân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p, 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y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cho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các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 cho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p.</w:t>
      </w:r>
    </w:p>
    <w:p w14:paraId="6EE9970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p, đính chính,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i, 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y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p:</w:t>
      </w:r>
    </w:p>
    <w:p w14:paraId="1252FCC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gia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công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14B7F1B4" w14:textId="331DDEDA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ch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p cơ </w:t>
      </w:r>
      <w:r w:rsidRPr="006C30A0">
        <w:rPr>
          <w:rFonts w:ascii="Arial" w:hAnsi="Arial" w:cs="Arial"/>
          <w:sz w:val="20"/>
          <w:szCs w:val="20"/>
        </w:rPr>
        <w:lastRenderedPageBreak/>
        <w:t>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="00D1132E"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công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;</w:t>
      </w:r>
    </w:p>
    <w:p w14:paraId="6FC03B9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</w:t>
      </w:r>
      <w:r w:rsidRPr="006C30A0">
        <w:rPr>
          <w:rFonts w:ascii="Arial" w:hAnsi="Arial" w:cs="Arial"/>
          <w:sz w:val="20"/>
          <w:szCs w:val="20"/>
        </w:rPr>
        <w:t>)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l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u, đăng ký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không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</w:t>
      </w:r>
      <w:r w:rsidRPr="006C30A0">
        <w:rPr>
          <w:rFonts w:ascii="Arial" w:hAnsi="Arial" w:cs="Arial"/>
          <w:sz w:val="20"/>
          <w:szCs w:val="20"/>
        </w:rPr>
        <w:t>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này;</w:t>
      </w:r>
    </w:p>
    <w:p w14:paraId="3CBAE85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d) Cơ quan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a, b và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đính chính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sai sót;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i, 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y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 xml:space="preserve">n đã </w:t>
      </w:r>
      <w:r w:rsidRPr="006C30A0">
        <w:rPr>
          <w:rFonts w:ascii="Arial" w:hAnsi="Arial" w:cs="Arial"/>
          <w:sz w:val="20"/>
          <w:szCs w:val="20"/>
        </w:rPr>
        <w:t>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và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697065BD" w14:textId="0DB69E6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đang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công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án,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n,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</w:t>
      </w:r>
      <w:r w:rsidRPr="006C30A0">
        <w:rPr>
          <w:rFonts w:ascii="Arial" w:hAnsi="Arial" w:cs="Arial"/>
          <w:sz w:val="20"/>
          <w:szCs w:val="20"/>
        </w:rPr>
        <w:t xml:space="preserve">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p, đính chính,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i, 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y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p,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c thi hành thì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n </w:t>
      </w:r>
      <w:r w:rsidRPr="006C30A0">
        <w:rPr>
          <w:rFonts w:ascii="Arial" w:hAnsi="Arial" w:cs="Arial"/>
          <w:sz w:val="20"/>
          <w:szCs w:val="20"/>
        </w:rPr>
        <w:t>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giao cho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đang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n.</w:t>
      </w:r>
    </w:p>
    <w:p w14:paraId="17FBE17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15.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trình t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, th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 xml:space="preserve"> t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c hành chính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</w:t>
      </w:r>
    </w:p>
    <w:p w14:paraId="3505A252" w14:textId="50CBBA6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1.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m nh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ngày 01 tháng 7 năm 2026,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đ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t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m, đơn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hóa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nh; trong đó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h rõ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trong các bư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c,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đa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c, thành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p, trong đó có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minh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tư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mi</w:t>
      </w:r>
      <w:r w:rsidRPr="006C30A0">
        <w:rPr>
          <w:rFonts w:ascii="Arial" w:hAnsi="Arial" w:cs="Arial"/>
          <w:sz w:val="20"/>
          <w:szCs w:val="20"/>
        </w:rPr>
        <w:t>ễ</w:t>
      </w:r>
      <w:r w:rsidRPr="006C30A0">
        <w:rPr>
          <w:rFonts w:ascii="Arial" w:hAnsi="Arial" w:cs="Arial"/>
          <w:sz w:val="20"/>
          <w:szCs w:val="20"/>
        </w:rPr>
        <w:t>n,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m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tài chính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có), các</w:t>
      </w:r>
      <w:r w:rsidRPr="006C30A0">
        <w:rPr>
          <w:rFonts w:ascii="Arial" w:hAnsi="Arial" w:cs="Arial"/>
          <w:sz w:val="20"/>
          <w:szCs w:val="20"/>
        </w:rPr>
        <w:t xml:space="preserve">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các thông tin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tài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chưa ban hành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n này thì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trìn</w:t>
      </w:r>
      <w:r w:rsidRPr="006C30A0">
        <w:rPr>
          <w:rFonts w:ascii="Arial" w:hAnsi="Arial" w:cs="Arial"/>
          <w:sz w:val="20"/>
          <w:szCs w:val="20"/>
        </w:rPr>
        <w:t>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.</w:t>
      </w:r>
    </w:p>
    <w:p w14:paraId="3430E294" w14:textId="445AE896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hành chính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quy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này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đăng công khai trên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và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Nông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và Môi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ng.</w:t>
      </w:r>
    </w:p>
    <w:p w14:paraId="527129D9" w14:textId="77777777" w:rsidR="007C5AD2" w:rsidRPr="006C30A0" w:rsidRDefault="00B37C51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50569641" w14:textId="77777777" w:rsidR="001177B2" w:rsidRPr="006C30A0" w:rsidRDefault="001177B2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082FEF7" w14:textId="4C7C1C4D" w:rsidR="001177B2" w:rsidRPr="006C30A0" w:rsidRDefault="00B37C51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 xml:space="preserve">Chương V </w:t>
      </w:r>
    </w:p>
    <w:p w14:paraId="5A5F3AC1" w14:textId="4F3572D4" w:rsidR="007C5AD2" w:rsidRPr="006C30A0" w:rsidRDefault="00B37C51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T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CH</w:t>
      </w:r>
      <w:r w:rsidRPr="006C30A0">
        <w:rPr>
          <w:rFonts w:ascii="Arial" w:hAnsi="Arial" w:cs="Arial"/>
          <w:b/>
          <w:sz w:val="20"/>
          <w:szCs w:val="20"/>
        </w:rPr>
        <w:t>Ứ</w:t>
      </w:r>
      <w:r w:rsidRPr="006C30A0">
        <w:rPr>
          <w:rFonts w:ascii="Arial" w:hAnsi="Arial" w:cs="Arial"/>
          <w:b/>
          <w:sz w:val="20"/>
          <w:szCs w:val="20"/>
        </w:rPr>
        <w:t>C TH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N</w:t>
      </w:r>
    </w:p>
    <w:p w14:paraId="39CF99C9" w14:textId="77777777" w:rsidR="001177B2" w:rsidRPr="006C30A0" w:rsidRDefault="001177B2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25DDE8D" w14:textId="24CF251D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16. 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u l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thi hành</w:t>
      </w:r>
    </w:p>
    <w:p w14:paraId="362F71E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31 tháng 01 năm 2026.</w:t>
      </w:r>
    </w:p>
    <w:p w14:paraId="5532A5D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Chương IV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01 tháng 3 năm 2027.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các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quy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có liên quan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sung, ban hành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chính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02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các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quy ph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ban hành.</w:t>
      </w:r>
    </w:p>
    <w:p w14:paraId="1310A53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Cá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bán nhà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trưng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không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thì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226/2025/NĐ-CP).</w:t>
      </w:r>
    </w:p>
    <w:p w14:paraId="009ED16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Các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sau đây h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hành:</w:t>
      </w:r>
    </w:p>
    <w:p w14:paraId="67D311A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11;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12; các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16, 17, 24, 25, 26, 27, 28, 29 và 37;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38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71/2024/NĐ-CP;</w:t>
      </w:r>
    </w:p>
    <w:p w14:paraId="27596CA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18;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24;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101/2024/NĐ-CP;</w:t>
      </w:r>
    </w:p>
    <w:p w14:paraId="2CAAAD1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c)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30;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32;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33;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34;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50;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54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102/2024/NĐ-CP;</w:t>
      </w:r>
    </w:p>
    <w:p w14:paraId="2AC03F4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d)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102/2024/NĐ-CP (đã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226/2025/NĐ-CP);</w:t>
      </w:r>
    </w:p>
    <w:p w14:paraId="2C4939E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đ) Các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1040017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đ1)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8;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10,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11;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12;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b, c, d và e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n 2 </w:t>
      </w:r>
      <w:r w:rsidRPr="006C30A0">
        <w:rPr>
          <w:rFonts w:ascii="Arial" w:hAnsi="Arial" w:cs="Arial"/>
          <w:sz w:val="20"/>
          <w:szCs w:val="20"/>
        </w:rPr>
        <w:t>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14;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e, 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17;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19;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20;</w:t>
      </w:r>
    </w:p>
    <w:p w14:paraId="028590F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đ2)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5,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các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g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5;</w:t>
      </w:r>
    </w:p>
    <w:p w14:paraId="59183AC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đ3)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9,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i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m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4;</w:t>
      </w:r>
    </w:p>
    <w:p w14:paraId="11941B0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e) Các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79DE66A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e1)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sau:</w:t>
      </w:r>
    </w:p>
    <w:p w14:paraId="6415504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III;</w:t>
      </w:r>
    </w:p>
    <w:p w14:paraId="20B5FA2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IV;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VI;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VIII;</w:t>
      </w:r>
    </w:p>
    <w:p w14:paraId="0049964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II,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III,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VII,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tên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XI,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XIII, </w:t>
      </w:r>
      <w:r w:rsidRPr="006C30A0">
        <w:rPr>
          <w:rFonts w:ascii="Arial" w:hAnsi="Arial" w:cs="Arial"/>
          <w:sz w:val="20"/>
          <w:szCs w:val="20"/>
        </w:rPr>
        <w:t>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XVI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C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V;</w:t>
      </w:r>
    </w:p>
    <w:p w14:paraId="22164CC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e2)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II,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các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: 14, 14a, 14b, 14c, 14d, 14đ, 28, 29, 30, 31, 32, 33, 34, 35, 36, 37, 38, 39, 40, 41, 42 và 43;</w:t>
      </w:r>
    </w:p>
    <w:p w14:paraId="4C8B355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g) Các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và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226/2025/NĐ-CP,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138B5AA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g1)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1;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3; các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3, 4, 7, 8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9,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11, 13 và 15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4; các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1, 2 và 3,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5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6; g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dòng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1, g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dòng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7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2,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7; các g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dòng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4, </w:t>
      </w:r>
      <w:r w:rsidRPr="006C30A0">
        <w:rPr>
          <w:rFonts w:ascii="Arial" w:hAnsi="Arial" w:cs="Arial"/>
          <w:sz w:val="20"/>
          <w:szCs w:val="20"/>
        </w:rPr>
        <w:t>6, 8, 11 và 12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7;</w:t>
      </w:r>
    </w:p>
    <w:p w14:paraId="642163A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g2)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IV.</w:t>
      </w:r>
    </w:p>
    <w:p w14:paraId="6FF9C7B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Thay th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các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sau đây:</w:t>
      </w:r>
    </w:p>
    <w:p w14:paraId="5C70094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“quy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7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XV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“Ph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C.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T” này”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“đ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</w:t>
      </w: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cho nhi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có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b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nh”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VII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C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V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151/2025/NĐ-CP;</w:t>
      </w:r>
    </w:p>
    <w:p w14:paraId="5120D96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“đi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1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I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“Ph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B.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ĐĂNG KÝ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T”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“kho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đai”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XI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C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V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151/2025/NĐ-CP.</w:t>
      </w:r>
    </w:p>
    <w:p w14:paraId="74416B3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17.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chuy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n ti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p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0CBAB6D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hành,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thay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71/2024/NĐ-CP.</w:t>
      </w:r>
    </w:p>
    <w:p w14:paraId="7204D67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đang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mà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226/2025/NĐ-CP).</w:t>
      </w:r>
    </w:p>
    <w:p w14:paraId="3EA5030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11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</w:t>
      </w:r>
      <w:r w:rsidRPr="006C30A0">
        <w:rPr>
          <w:rFonts w:ascii="Arial" w:hAnsi="Arial" w:cs="Arial"/>
          <w:sz w:val="20"/>
          <w:szCs w:val="20"/>
        </w:rPr>
        <w:t xml:space="preserve">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cho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cơ quan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chưa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5B70FA6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18.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chuy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n ti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p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quy ho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ch, k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 xml:space="preserve"> ho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ch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t; giao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cho thuê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1844293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Phương án phân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và khoanh vùng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</w:t>
      </w:r>
      <w:r w:rsidRPr="006C30A0">
        <w:rPr>
          <w:rFonts w:ascii="Arial" w:hAnsi="Arial" w:cs="Arial"/>
          <w:sz w:val="20"/>
          <w:szCs w:val="20"/>
        </w:rPr>
        <w:t>i trong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k</w:t>
      </w:r>
      <w:r w:rsidRPr="006C30A0">
        <w:rPr>
          <w:rFonts w:ascii="Arial" w:hAnsi="Arial" w:cs="Arial"/>
          <w:sz w:val="20"/>
          <w:szCs w:val="20"/>
        </w:rPr>
        <w:t>ỳ</w:t>
      </w:r>
      <w:r w:rsidRPr="006C30A0">
        <w:rPr>
          <w:rFonts w:ascii="Arial" w:hAnsi="Arial" w:cs="Arial"/>
          <w:sz w:val="20"/>
          <w:szCs w:val="20"/>
        </w:rPr>
        <w:t xml:space="preserve"> 2021 - 2030, t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m nhìn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năm 2050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thì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đai cho </w:t>
      </w:r>
      <w:r w:rsidRPr="006C30A0">
        <w:rPr>
          <w:rFonts w:ascii="Arial" w:hAnsi="Arial" w:cs="Arial"/>
          <w:sz w:val="20"/>
          <w:szCs w:val="20"/>
        </w:rPr>
        <w:lastRenderedPageBreak/>
        <w:t>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h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k</w:t>
      </w:r>
      <w:r w:rsidRPr="006C30A0">
        <w:rPr>
          <w:rFonts w:ascii="Arial" w:hAnsi="Arial" w:cs="Arial"/>
          <w:sz w:val="20"/>
          <w:szCs w:val="20"/>
        </w:rPr>
        <w:t>ỳ</w:t>
      </w:r>
      <w:r w:rsidRPr="006C30A0">
        <w:rPr>
          <w:rFonts w:ascii="Arial" w:hAnsi="Arial" w:cs="Arial"/>
          <w:sz w:val="20"/>
          <w:szCs w:val="20"/>
        </w:rPr>
        <w:t xml:space="preserve">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phương án phân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và khoanh vùng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trong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k</w:t>
      </w:r>
      <w:r w:rsidRPr="006C30A0">
        <w:rPr>
          <w:rFonts w:ascii="Arial" w:hAnsi="Arial" w:cs="Arial"/>
          <w:sz w:val="20"/>
          <w:szCs w:val="20"/>
        </w:rPr>
        <w:t>ỳ</w:t>
      </w:r>
      <w:r w:rsidRPr="006C30A0">
        <w:rPr>
          <w:rFonts w:ascii="Arial" w:hAnsi="Arial" w:cs="Arial"/>
          <w:sz w:val="20"/>
          <w:szCs w:val="20"/>
        </w:rPr>
        <w:t xml:space="preserve"> 2</w:t>
      </w:r>
      <w:r w:rsidRPr="006C30A0">
        <w:rPr>
          <w:rFonts w:ascii="Arial" w:hAnsi="Arial" w:cs="Arial"/>
          <w:sz w:val="20"/>
          <w:szCs w:val="20"/>
        </w:rPr>
        <w:t>021 - 2030, t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m nhìn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năm 2050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phân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>ng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hành chính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khi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ch.</w:t>
      </w:r>
    </w:p>
    <w:p w14:paraId="09EE52B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01 tháng 7 năm 2025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mà chưa ký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ký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u.</w:t>
      </w:r>
    </w:p>
    <w:p w14:paraId="16E701C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mà đã đưa r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02 l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không thành thì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n. Giá kh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là giá theo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ban hành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373B1E7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19.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chuy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n ti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p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thu h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b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thư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ng, h</w:t>
      </w:r>
      <w:r w:rsidRPr="006C30A0">
        <w:rPr>
          <w:rFonts w:ascii="Arial" w:hAnsi="Arial" w:cs="Arial"/>
          <w:b/>
          <w:sz w:val="20"/>
          <w:szCs w:val="20"/>
        </w:rPr>
        <w:t>ỗ</w:t>
      </w:r>
      <w:r w:rsidRPr="006C30A0">
        <w:rPr>
          <w:rFonts w:ascii="Arial" w:hAnsi="Arial" w:cs="Arial"/>
          <w:b/>
          <w:sz w:val="20"/>
          <w:szCs w:val="20"/>
        </w:rPr>
        <w:t xml:space="preserve"> tr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, tái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cư</w:t>
      </w:r>
    </w:p>
    <w:p w14:paraId="720C441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đã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thì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n theo phương án </w:t>
      </w:r>
      <w:r w:rsidRPr="006C30A0">
        <w:rPr>
          <w:rFonts w:ascii="Arial" w:hAnsi="Arial" w:cs="Arial"/>
          <w:sz w:val="20"/>
          <w:szCs w:val="20"/>
        </w:rPr>
        <w:t>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đã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5B9C510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mà chưa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và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16DCBE47" w14:textId="1326BC0D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còn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chưa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thì trong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trong các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sau đây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cư:</w:t>
      </w:r>
    </w:p>
    <w:p w14:paraId="2D7C69A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đã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cư;</w:t>
      </w:r>
    </w:p>
    <w:p w14:paraId="18ED3C6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hành;</w:t>
      </w:r>
    </w:p>
    <w:p w14:paraId="6032F90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hành.</w:t>
      </w:r>
    </w:p>
    <w:p w14:paraId="1E87A76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thông báo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ban hành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còn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sau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</w:t>
      </w:r>
      <w:r w:rsidRPr="006C30A0">
        <w:rPr>
          <w:rFonts w:ascii="Arial" w:hAnsi="Arial" w:cs="Arial"/>
          <w:sz w:val="20"/>
          <w:szCs w:val="20"/>
        </w:rPr>
        <w:t>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thì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thông báo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ban hành.</w:t>
      </w:r>
    </w:p>
    <w:p w14:paraId="552E06E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20.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đăng ký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đai, c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p Gi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y ch</w:t>
      </w:r>
      <w:r w:rsidRPr="006C30A0">
        <w:rPr>
          <w:rFonts w:ascii="Arial" w:hAnsi="Arial" w:cs="Arial"/>
          <w:b/>
          <w:sz w:val="20"/>
          <w:szCs w:val="20"/>
        </w:rPr>
        <w:t>ứ</w:t>
      </w:r>
      <w:r w:rsidRPr="006C30A0">
        <w:rPr>
          <w:rFonts w:ascii="Arial" w:hAnsi="Arial" w:cs="Arial"/>
          <w:b/>
          <w:sz w:val="20"/>
          <w:szCs w:val="20"/>
        </w:rPr>
        <w:t>ng nh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n</w:t>
      </w:r>
    </w:p>
    <w:p w14:paraId="61CC197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cho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gia đình, cá nhân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 xml:space="preserve">c ngày 01 tháng 8 năm </w:t>
      </w:r>
      <w:r w:rsidRPr="006C30A0">
        <w:rPr>
          <w:rFonts w:ascii="Arial" w:hAnsi="Arial" w:cs="Arial"/>
          <w:sz w:val="20"/>
          <w:szCs w:val="20"/>
        </w:rPr>
        <w:t>2024 mà ghi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nông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là lâu dài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không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khi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đăng ký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là 50 năm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cơ quan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6DF90D7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01 tháng 7 năm 2004 không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6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141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và chưa xá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mà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chung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khác, ví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như “th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cư”, “th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 xml:space="preserve">p trung”, “làm nhà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”, “đ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+ vư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n”, “T”, “TV”, “TQ”, “TTT” thì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như sau:</w:t>
      </w:r>
    </w:p>
    <w:p w14:paraId="06869362" w14:textId="012C6C9E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a)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q</w:t>
      </w:r>
      <w:r w:rsidRPr="006C30A0">
        <w:rPr>
          <w:rFonts w:ascii="Arial" w:hAnsi="Arial" w:cs="Arial"/>
          <w:sz w:val="20"/>
          <w:szCs w:val="20"/>
        </w:rPr>
        <w:t>ua các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k</w:t>
      </w:r>
      <w:r w:rsidRPr="006C30A0">
        <w:rPr>
          <w:rFonts w:ascii="Arial" w:hAnsi="Arial" w:cs="Arial"/>
          <w:sz w:val="20"/>
          <w:szCs w:val="20"/>
        </w:rPr>
        <w:t>ỳ</w:t>
      </w:r>
      <w:r w:rsidRPr="006C30A0">
        <w:rPr>
          <w:rFonts w:ascii="Arial" w:hAnsi="Arial" w:cs="Arial"/>
          <w:sz w:val="20"/>
          <w:szCs w:val="20"/>
        </w:rPr>
        <w:t>, quá trình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lý,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,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các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khác chưa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đã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này;</w:t>
      </w:r>
    </w:p>
    <w:p w14:paraId="73D0C18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b)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toàn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01 tháng 7 năm 2004 tr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sau nhưng tr</w:t>
      </w:r>
      <w:r w:rsidRPr="006C30A0">
        <w:rPr>
          <w:rFonts w:ascii="Arial" w:hAnsi="Arial" w:cs="Arial"/>
          <w:sz w:val="20"/>
          <w:szCs w:val="20"/>
        </w:rPr>
        <w:t>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chưa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này;</w:t>
      </w:r>
    </w:p>
    <w:p w14:paraId="2A9D81A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và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thì không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này;</w:t>
      </w:r>
    </w:p>
    <w:p w14:paraId="7784D30A" w14:textId="2AFCBB2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d) Khi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đăng ký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thì cơ quan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 xml:space="preserve">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có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riêng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do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3DA116E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21.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chuy</w:t>
      </w:r>
      <w:r w:rsidRPr="006C30A0">
        <w:rPr>
          <w:rFonts w:ascii="Arial" w:hAnsi="Arial" w:cs="Arial"/>
          <w:b/>
          <w:sz w:val="20"/>
          <w:szCs w:val="20"/>
        </w:rPr>
        <w:t>ể</w:t>
      </w:r>
      <w:r w:rsidRPr="006C30A0">
        <w:rPr>
          <w:rFonts w:ascii="Arial" w:hAnsi="Arial" w:cs="Arial"/>
          <w:b/>
          <w:sz w:val="20"/>
          <w:szCs w:val="20"/>
        </w:rPr>
        <w:t>n ti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p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đo đ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c l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p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đ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a chính</w:t>
      </w:r>
    </w:p>
    <w:p w14:paraId="67F76D1C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đã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mà chưa hoàn thành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ký</w:t>
      </w:r>
      <w:r w:rsidRPr="006C30A0">
        <w:rPr>
          <w:rFonts w:ascii="Arial" w:hAnsi="Arial" w:cs="Arial"/>
          <w:sz w:val="20"/>
          <w:szCs w:val="20"/>
        </w:rPr>
        <w:t xml:space="preserve">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trích đo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chính thì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ngày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có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thi hành và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đưa vào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ng.</w:t>
      </w:r>
    </w:p>
    <w:p w14:paraId="1A21ADE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22. Trách nhi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m thi hành</w:t>
      </w:r>
    </w:p>
    <w:p w14:paraId="191A4660" w14:textId="748BC759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Các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g,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cơ quan ngang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cơ quan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Chính ph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ch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các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và các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c, cá nhân có liên quan ch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u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thi hành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</w:t>
      </w:r>
    </w:p>
    <w:p w14:paraId="200A8C38" w14:textId="013A9F3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</w:t>
      </w:r>
      <w:r w:rsidR="001177B2"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p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các cơ quan, </w:t>
      </w:r>
      <w:r w:rsidRPr="006C30A0">
        <w:rPr>
          <w:rFonts w:ascii="Arial" w:hAnsi="Arial" w:cs="Arial"/>
          <w:sz w:val="20"/>
          <w:szCs w:val="20"/>
        </w:rPr>
        <w:t>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khi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mà khác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 và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4FB214CA" w14:textId="3A90180E" w:rsidR="007C5AD2" w:rsidRPr="006C30A0" w:rsidRDefault="00B37C51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</w:t>
      </w:r>
      <w:r w:rsidRPr="006C30A0">
        <w:rPr>
          <w:rFonts w:ascii="Arial" w:hAnsi="Arial" w:cs="Arial"/>
          <w:sz w:val="20"/>
          <w:szCs w:val="20"/>
        </w:rPr>
        <w:t>ày và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khác có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khác nhau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cùng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này./.</w:t>
      </w:r>
    </w:p>
    <w:p w14:paraId="4ED218C5" w14:textId="77777777" w:rsidR="001177B2" w:rsidRPr="006C30A0" w:rsidRDefault="001177B2" w:rsidP="001177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64"/>
      </w:tblGrid>
      <w:tr w:rsidR="001177B2" w:rsidRPr="006C30A0" w14:paraId="7725A6B7" w14:textId="77777777" w:rsidTr="001177B2">
        <w:trPr>
          <w:tblCellSpacing w:w="0" w:type="dxa"/>
        </w:trPr>
        <w:tc>
          <w:tcPr>
            <w:tcW w:w="27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EBD9" w14:textId="4EA2340F" w:rsidR="001177B2" w:rsidRPr="006C30A0" w:rsidRDefault="001177B2" w:rsidP="001177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6C30A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Thủ tướng, các Phó Thủ tướng Chính phủ;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Các bộ, cơ quan ngang bộ, cơ quan thuộc Chính phủ;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HĐND, UBND các tỉnh, thành phố trực thuộc trung ương;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Trung ương và các Ban của Đảng;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Tổng Bí thư;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Chủ tịch nước;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Hội đồng Dân tộc và các Ủy ban của Quốc hội;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Quốc hội;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Tòa án nhân dân tối cao;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Viện kiểm sát nhân dân tối cao;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Kiểm toán nhà nước;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Ủy ban Trung ương Mặt trận Tổ quốc Việt Nam;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Cơ quan trung ương của các tổ chức chính trị - xã hội;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Pr="006C30A0">
              <w:rPr>
                <w:rFonts w:ascii="Arial" w:hAnsi="Arial" w:cs="Arial"/>
                <w:color w:val="000000"/>
                <w:sz w:val="20"/>
                <w:szCs w:val="20"/>
              </w:rPr>
              <w:br/>
              <w:t>- Lưu: VT, NN (2b).</w:t>
            </w:r>
          </w:p>
        </w:tc>
        <w:tc>
          <w:tcPr>
            <w:tcW w:w="22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D708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479391A5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06B82F5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285938FF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9C5712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C619BEF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32A8A2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79913A" w14:textId="77777777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48BA72" w14:textId="4B852DA8" w:rsidR="001177B2" w:rsidRPr="006C30A0" w:rsidRDefault="001177B2" w:rsidP="001177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color w:val="000000"/>
                <w:sz w:val="20"/>
                <w:szCs w:val="20"/>
              </w:rPr>
              <w:t>Trần Hồng Hà</w:t>
            </w:r>
          </w:p>
        </w:tc>
      </w:tr>
    </w:tbl>
    <w:p w14:paraId="2B4D56B0" w14:textId="77777777" w:rsidR="001177B2" w:rsidRPr="006C30A0" w:rsidRDefault="001177B2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5D40B05" w14:textId="77777777" w:rsidR="001177B2" w:rsidRPr="006C30A0" w:rsidRDefault="001177B2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1177B2" w:rsidRPr="006C30A0" w:rsidSect="006038A7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5CED663" w14:textId="77777777" w:rsidR="007C5AD2" w:rsidRPr="006C30A0" w:rsidRDefault="00B37C51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lastRenderedPageBreak/>
        <w:t>Ph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 xml:space="preserve"> l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c</w:t>
      </w:r>
    </w:p>
    <w:p w14:paraId="431CA1A3" w14:textId="67A831EC" w:rsidR="007C5AD2" w:rsidRPr="006C30A0" w:rsidRDefault="001177B2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MỘT SỐ QUY ĐỊNH THỰC HIỆN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 xml:space="preserve">TRÌNH TỰ, THỦ TỤC HÀNH CHÍNH VỀ ĐẤT ĐAI </w:t>
      </w:r>
      <w:r w:rsidRPr="006C30A0">
        <w:rPr>
          <w:rFonts w:ascii="Arial" w:hAnsi="Arial" w:cs="Arial"/>
          <w:b/>
          <w:sz w:val="20"/>
          <w:szCs w:val="20"/>
        </w:rPr>
        <w:br/>
      </w:r>
      <w:r w:rsidRPr="006C30A0">
        <w:rPr>
          <w:rFonts w:ascii="Arial" w:hAnsi="Arial" w:cs="Arial"/>
          <w:i/>
          <w:sz w:val="20"/>
          <w:szCs w:val="20"/>
        </w:rPr>
        <w:t>(Kèm theo Nghị định số 49/2026/NĐ-CP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i/>
          <w:sz w:val="20"/>
          <w:szCs w:val="20"/>
        </w:rPr>
        <w:t>ngày 31 tháng 01 năm 2026 của Chính phủ)</w:t>
      </w:r>
    </w:p>
    <w:p w14:paraId="54129A13" w14:textId="77777777" w:rsidR="001177B2" w:rsidRPr="006C30A0" w:rsidRDefault="001177B2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71B871" w14:textId="4FA31CBE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I.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="001177B2" w:rsidRPr="006C30A0">
        <w:rPr>
          <w:rFonts w:ascii="Arial" w:hAnsi="Arial" w:cs="Arial"/>
          <w:b/>
          <w:sz w:val="20"/>
          <w:szCs w:val="20"/>
        </w:rPr>
        <w:t>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b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thư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ng, h</w:t>
      </w:r>
      <w:r w:rsidRPr="006C30A0">
        <w:rPr>
          <w:rFonts w:ascii="Arial" w:hAnsi="Arial" w:cs="Arial"/>
          <w:b/>
          <w:sz w:val="20"/>
          <w:szCs w:val="20"/>
        </w:rPr>
        <w:t>ỗ</w:t>
      </w:r>
      <w:r w:rsidRPr="006C30A0">
        <w:rPr>
          <w:rFonts w:ascii="Arial" w:hAnsi="Arial" w:cs="Arial"/>
          <w:b/>
          <w:sz w:val="20"/>
          <w:szCs w:val="20"/>
        </w:rPr>
        <w:t xml:space="preserve"> tr</w:t>
      </w:r>
      <w:r w:rsidRPr="006C30A0">
        <w:rPr>
          <w:rFonts w:ascii="Arial" w:hAnsi="Arial" w:cs="Arial"/>
          <w:b/>
          <w:sz w:val="20"/>
          <w:szCs w:val="20"/>
        </w:rPr>
        <w:t>ợ</w:t>
      </w:r>
      <w:r w:rsidRPr="006C30A0">
        <w:rPr>
          <w:rFonts w:ascii="Arial" w:hAnsi="Arial" w:cs="Arial"/>
          <w:b/>
          <w:sz w:val="20"/>
          <w:szCs w:val="20"/>
        </w:rPr>
        <w:t>, tái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cư, thu h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>i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71BD92C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còn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không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thông qua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d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254/2025/QH15:</w:t>
      </w:r>
    </w:p>
    <w:p w14:paraId="10B5B4D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khi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ph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còn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không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thì</w:t>
      </w:r>
      <w:r w:rsidRPr="006C30A0">
        <w:rPr>
          <w:rFonts w:ascii="Arial" w:hAnsi="Arial" w:cs="Arial"/>
          <w:sz w:val="20"/>
          <w:szCs w:val="20"/>
        </w:rPr>
        <w:t xml:space="preserve">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công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sau đây:</w:t>
      </w:r>
    </w:p>
    <w:p w14:paraId="25E6709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a1)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l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i và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liên quan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ng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147A59A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a2)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vào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và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báo cáo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xem xét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trương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</w:t>
      </w: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nhà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34CF0F40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minh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đáp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(đã th</w:t>
      </w:r>
      <w:r w:rsidRPr="006C30A0">
        <w:rPr>
          <w:rFonts w:ascii="Arial" w:hAnsi="Arial" w:cs="Arial"/>
          <w:sz w:val="20"/>
          <w:szCs w:val="20"/>
        </w:rPr>
        <w:t>ỏ</w:t>
      </w:r>
      <w:r w:rsidRPr="006C30A0">
        <w:rPr>
          <w:rFonts w:ascii="Arial" w:hAnsi="Arial" w:cs="Arial"/>
          <w:sz w:val="20"/>
          <w:szCs w:val="20"/>
        </w:rPr>
        <w:t>a thu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trên 75%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trên 75%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lư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ng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t)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kinh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.</w:t>
      </w:r>
    </w:p>
    <w:p w14:paraId="0688D61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4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cư;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chi tr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này cho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khi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4A89903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254/2025/QH15:</w:t>
      </w:r>
    </w:p>
    <w:p w14:paraId="1A6E446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khi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trong đó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bư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công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như sau:</w:t>
      </w:r>
    </w:p>
    <w:p w14:paraId="68BE7479" w14:textId="1330C3DC" w:rsidR="007C5AD2" w:rsidRPr="006C30A0" w:rsidRDefault="00B37C51" w:rsidP="001177B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a1)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quan tr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ng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mà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y nhanh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công kh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thì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sau khi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thúc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niêm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cư.</w:t>
      </w:r>
    </w:p>
    <w:p w14:paraId="6D8722C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a2)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trên 75%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ý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khi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thì sau khi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thúc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niêm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cư, cơ quan,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ý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làm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744EA19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t>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ý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này;</w:t>
      </w:r>
    </w:p>
    <w:p w14:paraId="079AABD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khi hoàn thành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trí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3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trong đó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sau khi phương án b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thư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ỗ</w:t>
      </w:r>
      <w:r w:rsidRPr="006C30A0">
        <w:rPr>
          <w:rFonts w:ascii="Arial" w:hAnsi="Arial" w:cs="Arial"/>
          <w:sz w:val="20"/>
          <w:szCs w:val="20"/>
        </w:rPr>
        <w:t xml:space="preserve"> tr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, tái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cư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và đã hoàn thành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trí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cư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chi tr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kinh phí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m cư.</w:t>
      </w:r>
    </w:p>
    <w:p w14:paraId="53BE8283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l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i và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liên quan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bàn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sau khi có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thu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i,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h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>u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n li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n</w:t>
      </w:r>
      <w:r w:rsidRPr="006C30A0">
        <w:rPr>
          <w:rFonts w:ascii="Arial" w:hAnsi="Arial" w:cs="Arial"/>
          <w:sz w:val="20"/>
          <w:szCs w:val="20"/>
        </w:rPr>
        <w:t>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có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l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i và nghĩa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liên quan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 không bàn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thì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</w:t>
      </w:r>
    </w:p>
    <w:p w14:paraId="4EA1B2A8" w14:textId="10BC23C3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các công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c này do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2C4FB36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II.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b/>
          <w:sz w:val="20"/>
          <w:szCs w:val="20"/>
        </w:rPr>
        <w:t>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u ch</w:t>
      </w:r>
      <w:r w:rsidRPr="006C30A0">
        <w:rPr>
          <w:rFonts w:ascii="Arial" w:hAnsi="Arial" w:cs="Arial"/>
          <w:b/>
          <w:sz w:val="20"/>
          <w:szCs w:val="20"/>
        </w:rPr>
        <w:t>ỉ</w:t>
      </w:r>
      <w:r w:rsidRPr="006C30A0">
        <w:rPr>
          <w:rFonts w:ascii="Arial" w:hAnsi="Arial" w:cs="Arial"/>
          <w:b/>
          <w:sz w:val="20"/>
          <w:szCs w:val="20"/>
        </w:rPr>
        <w:t>nh th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i h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n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08A2E84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>1.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7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tư.</w:t>
      </w:r>
    </w:p>
    <w:p w14:paraId="6CB61F3E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2. Khi </w:t>
      </w:r>
      <w:r w:rsidRPr="006C30A0">
        <w:rPr>
          <w:rFonts w:ascii="Arial" w:hAnsi="Arial" w:cs="Arial"/>
          <w:sz w:val="20"/>
          <w:szCs w:val="20"/>
        </w:rPr>
        <w:t>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1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này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175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thì không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và bàn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trên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không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trí,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t</w:t>
      </w: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sau khi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21D98ED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III.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b/>
          <w:sz w:val="20"/>
          <w:szCs w:val="20"/>
        </w:rPr>
        <w:t>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giá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324A0874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7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254/2025/QH15:</w:t>
      </w:r>
    </w:p>
    <w:p w14:paraId="5D331A03" w14:textId="58EA2C19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và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</w:t>
      </w:r>
      <w:r w:rsidRPr="006C30A0">
        <w:rPr>
          <w:rFonts w:ascii="Arial" w:hAnsi="Arial" w:cs="Arial"/>
          <w:sz w:val="20"/>
          <w:szCs w:val="20"/>
        </w:rPr>
        <w:t xml:space="preserve"> 6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do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toàn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13 và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14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226/2025/NĐ-CP), </w:t>
      </w:r>
      <w:r w:rsidRPr="006C30A0">
        <w:rPr>
          <w:rFonts w:ascii="Arial" w:hAnsi="Arial" w:cs="Arial"/>
          <w:sz w:val="20"/>
          <w:szCs w:val="20"/>
        </w:rPr>
        <w:t xml:space="preserve">báo cáo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trình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tr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2,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3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này.</w:t>
      </w:r>
    </w:p>
    <w:p w14:paraId="0C79D70F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</w:t>
      </w:r>
      <w:r w:rsidRPr="006C30A0">
        <w:rPr>
          <w:rFonts w:ascii="Arial" w:hAnsi="Arial" w:cs="Arial"/>
          <w:sz w:val="20"/>
          <w:szCs w:val="20"/>
        </w:rPr>
        <w:t xml:space="preserve">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sau:</w:t>
      </w:r>
    </w:p>
    <w:p w14:paraId="393C187E" w14:textId="6D0EB42E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b1)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không quá 15 ngày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nh báo cáo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xét,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nh;</w:t>
      </w:r>
    </w:p>
    <w:p w14:paraId="51845C89" w14:textId="2A94A31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b2)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trình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i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 tương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khu v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c,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trí đã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5DDEC78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6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này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sau:</w:t>
      </w:r>
    </w:p>
    <w:p w14:paraId="4699D5D2" w14:textId="02EDFBF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c1</w:t>
      </w:r>
      <w:r w:rsidRPr="006C30A0">
        <w:rPr>
          <w:rFonts w:ascii="Arial" w:hAnsi="Arial" w:cs="Arial"/>
          <w:sz w:val="20"/>
          <w:szCs w:val="20"/>
        </w:rPr>
        <w:t>) Các cơ quan,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có liên quan g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i thông tin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 xml:space="preserve">p, báo cáo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nh;</w:t>
      </w:r>
    </w:p>
    <w:p w14:paraId="16ACA738" w14:textId="0426029A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c2)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nh báo cáo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trình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7897BF3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8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254/2025/QH15:</w:t>
      </w:r>
    </w:p>
    <w:p w14:paraId="708FCA2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a)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chu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sau:</w:t>
      </w:r>
    </w:p>
    <w:p w14:paraId="574BB32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a1)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p, trình cơ quan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nh,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n.</w:t>
      </w:r>
    </w:p>
    <w:p w14:paraId="0E24CFC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có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n,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tin, cơ quan ch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trì, cơ quan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và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khác;</w:t>
      </w:r>
    </w:p>
    <w:p w14:paraId="35442C1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a2) Căn c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vào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phương,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</w:t>
      </w:r>
      <w:r w:rsidRPr="006C30A0">
        <w:rPr>
          <w:rFonts w:ascii="Arial" w:hAnsi="Arial" w:cs="Arial"/>
          <w:sz w:val="20"/>
          <w:szCs w:val="20"/>
        </w:rPr>
        <w:t>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hàng, giao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cho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công l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pháp lu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135C083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u,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đóng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không có nhà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nào tham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thì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01 l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n. Sau khi gia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mà không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</w:t>
      </w:r>
    </w:p>
    <w:p w14:paraId="4CB3A648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nhà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thì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hình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th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rút g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n.</w:t>
      </w:r>
    </w:p>
    <w:p w14:paraId="22FEE78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b)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sau:</w:t>
      </w:r>
    </w:p>
    <w:p w14:paraId="2804276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b1)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vào theo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a và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4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71/2024/NĐ-CP (đư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</w:t>
      </w:r>
      <w:r w:rsidRPr="006C30A0">
        <w:rPr>
          <w:rFonts w:ascii="Arial" w:hAnsi="Arial" w:cs="Arial"/>
          <w:sz w:val="20"/>
          <w:szCs w:val="20"/>
        </w:rPr>
        <w:t>P,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226/2025/NĐ-CP)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hình thành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24 tháng tr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tính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giao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thông tin có cùng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phát sinh thì ưu tiên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Pr="006C30A0">
        <w:rPr>
          <w:rFonts w:ascii="Arial" w:hAnsi="Arial" w:cs="Arial"/>
          <w:sz w:val="20"/>
          <w:szCs w:val="20"/>
        </w:rPr>
        <w:lastRenderedPageBreak/>
        <w:t>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ngu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 thông tin the</w:t>
      </w:r>
      <w:r w:rsidRPr="006C30A0">
        <w:rPr>
          <w:rFonts w:ascii="Arial" w:hAnsi="Arial" w:cs="Arial"/>
          <w:sz w:val="20"/>
          <w:szCs w:val="20"/>
        </w:rPr>
        <w:t>o th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như sau: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giá; thông tin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cơ quan thu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;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u giá tài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sàn giao d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ch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doan</w:t>
      </w:r>
      <w:r w:rsidRPr="006C30A0">
        <w:rPr>
          <w:rFonts w:ascii="Arial" w:hAnsi="Arial" w:cs="Arial"/>
          <w:sz w:val="20"/>
          <w:szCs w:val="20"/>
        </w:rPr>
        <w:t>h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b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s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n; thông tin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qua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tra, kh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sát;</w:t>
      </w:r>
    </w:p>
    <w:p w14:paraId="4268E86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b2)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do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khi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24 tháng tr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tính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có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giao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4DA8513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b3)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các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thu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p, chi phí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phương pháp thu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p, th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ng dư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không đ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ki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áp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phương pháp so sánh nhưng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các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thu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p, chi phí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có);</w:t>
      </w:r>
    </w:p>
    <w:p w14:paraId="4D3FB139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b4) Thông tin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chi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t,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m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các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 đ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tư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ng,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cơ quan có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phê duy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các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án;</w:t>
      </w:r>
    </w:p>
    <w:p w14:paraId="1F7EAB2E" w14:textId="16599983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b5)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tra, kh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sát,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nh 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này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theo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30 và M</w:t>
      </w:r>
      <w:r w:rsidRPr="006C30A0">
        <w:rPr>
          <w:rFonts w:ascii="Arial" w:hAnsi="Arial" w:cs="Arial"/>
          <w:sz w:val="20"/>
          <w:szCs w:val="20"/>
        </w:rPr>
        <w:t>ẫ</w:t>
      </w:r>
      <w:r w:rsidRPr="006C30A0">
        <w:rPr>
          <w:rFonts w:ascii="Arial" w:hAnsi="Arial" w:cs="Arial"/>
          <w:sz w:val="20"/>
          <w:szCs w:val="20"/>
        </w:rPr>
        <w:t>u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31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l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II ban hành kèm theo Ngh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151/2025/NĐ-CP. Ngoài các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tra, kh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sát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m này,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có 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các thông tin khác vào phi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tra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đáp 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yêu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phương.</w:t>
      </w:r>
    </w:p>
    <w:p w14:paraId="5979C486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c)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quy ho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ch và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theo 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khác 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nh hư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2F752717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d)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</w:t>
      </w:r>
      <w:r w:rsidRPr="006C30A0">
        <w:rPr>
          <w:rFonts w:ascii="Arial" w:hAnsi="Arial" w:cs="Arial"/>
          <w:sz w:val="20"/>
          <w:szCs w:val="20"/>
        </w:rPr>
        <w:t xml:space="preserve"> có trách nhi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m:</w:t>
      </w:r>
    </w:p>
    <w:p w14:paraId="3C69721A" w14:textId="1DA8C99B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d1)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 xml:space="preserve"> trình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ban hành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 đăng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ý 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cùng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đã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thông qua trên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nh,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gian 10 ngày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đăng h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sơ trên c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ng thông tin đi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;</w:t>
      </w:r>
    </w:p>
    <w:p w14:paraId="344B13A2" w14:textId="2C41F8C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d2) L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ý 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b</w:t>
      </w:r>
      <w:r w:rsidRPr="006C30A0">
        <w:rPr>
          <w:rFonts w:ascii="Arial" w:hAnsi="Arial" w:cs="Arial"/>
          <w:sz w:val="20"/>
          <w:szCs w:val="20"/>
        </w:rPr>
        <w:t>ằ</w:t>
      </w:r>
      <w:r w:rsidRPr="006C30A0">
        <w:rPr>
          <w:rFonts w:ascii="Arial" w:hAnsi="Arial" w:cs="Arial"/>
          <w:sz w:val="20"/>
          <w:szCs w:val="20"/>
        </w:rPr>
        <w:t>ng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a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M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tr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t Nam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nh, các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thành viên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M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t tr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n, cơ quan thu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tư v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n xác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các cơ quan,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khác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n thi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t);</w:t>
      </w:r>
    </w:p>
    <w:p w14:paraId="3F3CEC91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d3)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thu, hoàn thi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 xml:space="preserve"> trình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ban hành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o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nh giá </w:t>
      </w:r>
      <w:r w:rsidRPr="006C30A0">
        <w:rPr>
          <w:rFonts w:ascii="Arial" w:hAnsi="Arial" w:cs="Arial"/>
          <w:sz w:val="20"/>
          <w:szCs w:val="20"/>
        </w:rPr>
        <w:t>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thu,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trình ý 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góp ý, hoàn thi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Báo cáo thuy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minh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t;</w:t>
      </w:r>
    </w:p>
    <w:p w14:paraId="1F4C51CA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d4) Trình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</w:t>
      </w:r>
    </w:p>
    <w:p w14:paraId="4DEA876D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đ)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Pr="006C30A0">
        <w:rPr>
          <w:rFonts w:ascii="Arial" w:hAnsi="Arial" w:cs="Arial"/>
          <w:sz w:val="20"/>
          <w:szCs w:val="20"/>
        </w:rPr>
        <w:t>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và g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i văn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nh. N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dung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bao g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m: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tuân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nguyên t</w:t>
      </w:r>
      <w:r w:rsidRPr="006C30A0">
        <w:rPr>
          <w:rFonts w:ascii="Arial" w:hAnsi="Arial" w:cs="Arial"/>
          <w:sz w:val="20"/>
          <w:szCs w:val="20"/>
        </w:rPr>
        <w:t>ắ</w:t>
      </w:r>
      <w:r w:rsidRPr="006C30A0">
        <w:rPr>
          <w:rFonts w:ascii="Arial" w:hAnsi="Arial" w:cs="Arial"/>
          <w:sz w:val="20"/>
          <w:szCs w:val="20"/>
        </w:rPr>
        <w:t>c, phương pháp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thu th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thông tin, đánh giá s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nhu c</w:t>
      </w:r>
      <w:r w:rsidRPr="006C30A0">
        <w:rPr>
          <w:rFonts w:ascii="Arial" w:hAnsi="Arial" w:cs="Arial"/>
          <w:sz w:val="20"/>
          <w:szCs w:val="20"/>
        </w:rPr>
        <w:t>ầ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phương;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tuân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l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ọ</w:t>
      </w:r>
      <w:r w:rsidRPr="006C30A0">
        <w:rPr>
          <w:rFonts w:ascii="Arial" w:hAnsi="Arial" w:cs="Arial"/>
          <w:sz w:val="20"/>
          <w:szCs w:val="20"/>
        </w:rPr>
        <w:t>n thông tin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b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này.</w:t>
      </w:r>
    </w:p>
    <w:p w14:paraId="395A40A8" w14:textId="781616A6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e) Cơ quan có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năng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</w:t>
      </w:r>
      <w:r w:rsidRPr="006C30A0">
        <w:rPr>
          <w:rFonts w:ascii="Arial" w:hAnsi="Arial" w:cs="Arial"/>
          <w:sz w:val="20"/>
          <w:szCs w:val="20"/>
        </w:rPr>
        <w:t xml:space="preserve">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p thu, gi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trình,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và hoàn thi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o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theo ý ki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t; trình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nh.</w:t>
      </w:r>
    </w:p>
    <w:p w14:paraId="566F41A0" w14:textId="16568E65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 xml:space="preserve">g)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ban hành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công b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công khai và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o c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p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t vào cơ s</w:t>
      </w:r>
      <w:r w:rsidRPr="006C30A0">
        <w:rPr>
          <w:rFonts w:ascii="Arial" w:hAnsi="Arial" w:cs="Arial"/>
          <w:sz w:val="20"/>
          <w:szCs w:val="20"/>
        </w:rPr>
        <w:t>ở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li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u qu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c gia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đai.</w:t>
      </w:r>
    </w:p>
    <w:p w14:paraId="053573BE" w14:textId="590CA891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đi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m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mà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g cao hơn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đa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hơn m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c t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i thi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u, thì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trình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xem xét vi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t. Sau khi H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nh </w:t>
      </w:r>
      <w:r w:rsidRPr="006C30A0">
        <w:rPr>
          <w:rFonts w:ascii="Arial" w:hAnsi="Arial" w:cs="Arial"/>
          <w:sz w:val="20"/>
          <w:szCs w:val="20"/>
        </w:rPr>
        <w:t>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ph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i rà soát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cho phù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ng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i.</w:t>
      </w:r>
    </w:p>
    <w:p w14:paraId="6EA5E09D" w14:textId="3818522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h) Trong th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h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n không quá 15 ngày k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ừ</w:t>
      </w:r>
      <w:r w:rsidRPr="006C30A0">
        <w:rPr>
          <w:rFonts w:ascii="Arial" w:hAnsi="Arial" w:cs="Arial"/>
          <w:sz w:val="20"/>
          <w:szCs w:val="20"/>
        </w:rPr>
        <w:t xml:space="preserve"> ngày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ban hành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t, </w:t>
      </w:r>
      <w:r w:rsidR="006038A7" w:rsidRPr="006C30A0">
        <w:rPr>
          <w:rFonts w:ascii="Arial" w:hAnsi="Arial" w:cs="Arial"/>
          <w:sz w:val="20"/>
          <w:szCs w:val="20"/>
        </w:rPr>
        <w:t>Ủy ban</w:t>
      </w:r>
      <w:r w:rsidRPr="006C30A0">
        <w:rPr>
          <w:rFonts w:ascii="Arial" w:hAnsi="Arial" w:cs="Arial"/>
          <w:sz w:val="20"/>
          <w:szCs w:val="20"/>
        </w:rPr>
        <w:t xml:space="preserve"> nhân dân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 xml:space="preserve">p 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i k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 xml:space="preserve"> Nông nghi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p và Môi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ng.</w:t>
      </w:r>
    </w:p>
    <w:p w14:paraId="6CA6E7C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th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c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như trình t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, th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 xml:space="preserve"> t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xây d</w:t>
      </w:r>
      <w:r w:rsidRPr="006C30A0">
        <w:rPr>
          <w:rFonts w:ascii="Arial" w:hAnsi="Arial" w:cs="Arial"/>
          <w:sz w:val="20"/>
          <w:szCs w:val="20"/>
        </w:rPr>
        <w:t>ự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đi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u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giá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quy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t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kho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2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này.</w:t>
      </w:r>
    </w:p>
    <w:p w14:paraId="7FDB0F7A" w14:textId="77777777" w:rsidR="00662F07" w:rsidRPr="006C30A0" w:rsidRDefault="00662F07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A797BB6" w14:textId="77777777" w:rsidR="001177B2" w:rsidRPr="006C30A0" w:rsidRDefault="001177B2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1177B2" w:rsidRPr="006C30A0" w:rsidSect="006038A7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A160013" w14:textId="3BF55DF5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lastRenderedPageBreak/>
        <w:t>IV.</w:t>
      </w:r>
      <w:r w:rsidRPr="006C30A0">
        <w:rPr>
          <w:rFonts w:ascii="Arial" w:hAnsi="Arial" w:cs="Arial"/>
          <w:sz w:val="20"/>
          <w:szCs w:val="20"/>
        </w:rPr>
        <w:t xml:space="preserve"> </w:t>
      </w:r>
      <w:r w:rsidRPr="006C30A0">
        <w:rPr>
          <w:rFonts w:ascii="Arial" w:hAnsi="Arial" w:cs="Arial"/>
          <w:b/>
          <w:sz w:val="20"/>
          <w:szCs w:val="20"/>
        </w:rPr>
        <w:t>B</w:t>
      </w:r>
      <w:r w:rsidRPr="006C30A0">
        <w:rPr>
          <w:rFonts w:ascii="Arial" w:hAnsi="Arial" w:cs="Arial"/>
          <w:b/>
          <w:sz w:val="20"/>
          <w:szCs w:val="20"/>
        </w:rPr>
        <w:t>ổ</w:t>
      </w:r>
      <w:r w:rsidRPr="006C30A0">
        <w:rPr>
          <w:rFonts w:ascii="Arial" w:hAnsi="Arial" w:cs="Arial"/>
          <w:b/>
          <w:sz w:val="20"/>
          <w:szCs w:val="20"/>
        </w:rPr>
        <w:t xml:space="preserve"> sung các m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u vào Ph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 xml:space="preserve"> l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c ban hành kèm theo Ngh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101/2024/NĐ-CP ngày 29 tháng 7 năm 2024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Chính ph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 xml:space="preserve"> quy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nh v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 đi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 xml:space="preserve">u tra </w:t>
      </w:r>
      <w:r w:rsidR="001177B2" w:rsidRPr="006C30A0">
        <w:rPr>
          <w:rFonts w:ascii="Arial" w:hAnsi="Arial" w:cs="Arial"/>
          <w:b/>
          <w:sz w:val="20"/>
          <w:szCs w:val="20"/>
        </w:rPr>
        <w:t xml:space="preserve">cơ bản </w:t>
      </w:r>
      <w:r w:rsidRPr="006C30A0">
        <w:rPr>
          <w:rFonts w:ascii="Arial" w:hAnsi="Arial" w:cs="Arial"/>
          <w:b/>
          <w:sz w:val="20"/>
          <w:szCs w:val="20"/>
        </w:rPr>
        <w:t>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đai; đăng ký, c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p Gi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y ch</w:t>
      </w:r>
      <w:r w:rsidRPr="006C30A0">
        <w:rPr>
          <w:rFonts w:ascii="Arial" w:hAnsi="Arial" w:cs="Arial"/>
          <w:b/>
          <w:sz w:val="20"/>
          <w:szCs w:val="20"/>
        </w:rPr>
        <w:t>ứ</w:t>
      </w:r>
      <w:r w:rsidRPr="006C30A0">
        <w:rPr>
          <w:rFonts w:ascii="Arial" w:hAnsi="Arial" w:cs="Arial"/>
          <w:b/>
          <w:sz w:val="20"/>
          <w:szCs w:val="20"/>
        </w:rPr>
        <w:t>ng nh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n quy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n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t, quy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n s</w:t>
      </w:r>
      <w:r w:rsidRPr="006C30A0">
        <w:rPr>
          <w:rFonts w:ascii="Arial" w:hAnsi="Arial" w:cs="Arial"/>
          <w:b/>
          <w:sz w:val="20"/>
          <w:szCs w:val="20"/>
        </w:rPr>
        <w:t>ở</w:t>
      </w:r>
      <w:r w:rsidRPr="006C30A0">
        <w:rPr>
          <w:rFonts w:ascii="Arial" w:hAnsi="Arial" w:cs="Arial"/>
          <w:b/>
          <w:sz w:val="20"/>
          <w:szCs w:val="20"/>
        </w:rPr>
        <w:t xml:space="preserve"> h</w:t>
      </w:r>
      <w:r w:rsidRPr="006C30A0">
        <w:rPr>
          <w:rFonts w:ascii="Arial" w:hAnsi="Arial" w:cs="Arial"/>
          <w:b/>
          <w:sz w:val="20"/>
          <w:szCs w:val="20"/>
        </w:rPr>
        <w:t>ữ</w:t>
      </w:r>
      <w:r w:rsidRPr="006C30A0">
        <w:rPr>
          <w:rFonts w:ascii="Arial" w:hAnsi="Arial" w:cs="Arial"/>
          <w:b/>
          <w:sz w:val="20"/>
          <w:szCs w:val="20"/>
        </w:rPr>
        <w:t>u tài s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g</w:t>
      </w:r>
      <w:r w:rsidRPr="006C30A0">
        <w:rPr>
          <w:rFonts w:ascii="Arial" w:hAnsi="Arial" w:cs="Arial"/>
          <w:b/>
          <w:sz w:val="20"/>
          <w:szCs w:val="20"/>
        </w:rPr>
        <w:t>ắ</w:t>
      </w:r>
      <w:r w:rsidRPr="006C30A0">
        <w:rPr>
          <w:rFonts w:ascii="Arial" w:hAnsi="Arial" w:cs="Arial"/>
          <w:b/>
          <w:sz w:val="20"/>
          <w:szCs w:val="20"/>
        </w:rPr>
        <w:t>n li</w:t>
      </w:r>
      <w:r w:rsidRPr="006C30A0">
        <w:rPr>
          <w:rFonts w:ascii="Arial" w:hAnsi="Arial" w:cs="Arial"/>
          <w:b/>
          <w:sz w:val="20"/>
          <w:szCs w:val="20"/>
        </w:rPr>
        <w:t>ề</w:t>
      </w:r>
      <w:r w:rsidRPr="006C30A0">
        <w:rPr>
          <w:rFonts w:ascii="Arial" w:hAnsi="Arial" w:cs="Arial"/>
          <w:b/>
          <w:sz w:val="20"/>
          <w:szCs w:val="20"/>
        </w:rPr>
        <w:t>n v</w:t>
      </w:r>
      <w:r w:rsidRPr="006C30A0">
        <w:rPr>
          <w:rFonts w:ascii="Arial" w:hAnsi="Arial" w:cs="Arial"/>
          <w:b/>
          <w:sz w:val="20"/>
          <w:szCs w:val="20"/>
        </w:rPr>
        <w:t>ớ</w:t>
      </w:r>
      <w:r w:rsidRPr="006C30A0">
        <w:rPr>
          <w:rFonts w:ascii="Arial" w:hAnsi="Arial" w:cs="Arial"/>
          <w:b/>
          <w:sz w:val="20"/>
          <w:szCs w:val="20"/>
        </w:rPr>
        <w:t>i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và H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 xml:space="preserve"> th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>ng thông ti</w:t>
      </w:r>
      <w:r w:rsidRPr="006C30A0">
        <w:rPr>
          <w:rFonts w:ascii="Arial" w:hAnsi="Arial" w:cs="Arial"/>
          <w:b/>
          <w:sz w:val="20"/>
          <w:szCs w:val="20"/>
        </w:rPr>
        <w:t>n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</w:t>
      </w:r>
    </w:p>
    <w:p w14:paraId="190DC9D2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M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u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01/TĐBĐ: M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u khung và trình bày khung m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nh trích đo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đ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a chính th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n theo thi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t k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 xml:space="preserve"> k</w:t>
      </w:r>
      <w:r w:rsidRPr="006C30A0">
        <w:rPr>
          <w:rFonts w:ascii="Arial" w:hAnsi="Arial" w:cs="Arial"/>
          <w:b/>
          <w:sz w:val="20"/>
          <w:szCs w:val="20"/>
        </w:rPr>
        <w:t>ỹ</w:t>
      </w:r>
      <w:r w:rsidRPr="006C30A0">
        <w:rPr>
          <w:rFonts w:ascii="Arial" w:hAnsi="Arial" w:cs="Arial"/>
          <w:b/>
          <w:sz w:val="20"/>
          <w:szCs w:val="20"/>
        </w:rPr>
        <w:t xml:space="preserve"> thu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t - d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 xml:space="preserve"> toán ho</w:t>
      </w:r>
      <w:r w:rsidRPr="006C30A0">
        <w:rPr>
          <w:rFonts w:ascii="Arial" w:hAnsi="Arial" w:cs="Arial"/>
          <w:b/>
          <w:sz w:val="20"/>
          <w:szCs w:val="20"/>
        </w:rPr>
        <w:t>ặ</w:t>
      </w:r>
      <w:r w:rsidRPr="006C30A0">
        <w:rPr>
          <w:rFonts w:ascii="Arial" w:hAnsi="Arial" w:cs="Arial"/>
          <w:b/>
          <w:sz w:val="20"/>
          <w:szCs w:val="20"/>
        </w:rPr>
        <w:t>c phương án nhi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>m v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 xml:space="preserve"> </w:t>
      </w:r>
      <w:r w:rsidRPr="006C30A0">
        <w:rPr>
          <w:rFonts w:ascii="Arial" w:hAnsi="Arial" w:cs="Arial"/>
          <w:sz w:val="20"/>
          <w:szCs w:val="20"/>
        </w:rPr>
        <w:t>(ph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công tác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nhà nư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thu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c th</w:t>
      </w:r>
      <w:r w:rsidRPr="006C30A0">
        <w:rPr>
          <w:rFonts w:ascii="Arial" w:hAnsi="Arial" w:cs="Arial"/>
          <w:sz w:val="20"/>
          <w:szCs w:val="20"/>
        </w:rPr>
        <w:t>ẩ</w:t>
      </w:r>
      <w:r w:rsidRPr="006C30A0">
        <w:rPr>
          <w:rFonts w:ascii="Arial" w:hAnsi="Arial" w:cs="Arial"/>
          <w:sz w:val="20"/>
          <w:szCs w:val="20"/>
        </w:rPr>
        <w:t>m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 xã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ph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v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 xml:space="preserve"> đăng ký bi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ộ</w:t>
      </w:r>
      <w:r w:rsidRPr="006C30A0">
        <w:rPr>
          <w:rFonts w:ascii="Arial" w:hAnsi="Arial" w:cs="Arial"/>
          <w:sz w:val="20"/>
          <w:szCs w:val="20"/>
        </w:rPr>
        <w:t>n</w:t>
      </w:r>
      <w:r w:rsidRPr="006C30A0">
        <w:rPr>
          <w:rFonts w:ascii="Arial" w:hAnsi="Arial" w:cs="Arial"/>
          <w:sz w:val="20"/>
          <w:szCs w:val="20"/>
        </w:rPr>
        <w:t>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 c</w:t>
      </w:r>
      <w:r w:rsidRPr="006C30A0">
        <w:rPr>
          <w:rFonts w:ascii="Arial" w:hAnsi="Arial" w:cs="Arial"/>
          <w:sz w:val="20"/>
          <w:szCs w:val="20"/>
        </w:rPr>
        <w:t>ủ</w:t>
      </w:r>
      <w:r w:rsidRPr="006C30A0">
        <w:rPr>
          <w:rFonts w:ascii="Arial" w:hAnsi="Arial" w:cs="Arial"/>
          <w:sz w:val="20"/>
          <w:szCs w:val="20"/>
        </w:rPr>
        <w:t>a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đai, Chi nhánh Văn phòng đăng ký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đai)</w:t>
      </w:r>
    </w:p>
    <w:p w14:paraId="17B0CB78" w14:textId="2DF76FCB" w:rsidR="007C5AD2" w:rsidRPr="006C30A0" w:rsidRDefault="001177B2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8881BC" wp14:editId="7AC2A283">
            <wp:extent cx="6618514" cy="3703295"/>
            <wp:effectExtent l="0" t="0" r="0" b="0"/>
            <wp:docPr id="1698309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092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4489" cy="37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3B33" w14:textId="77777777" w:rsidR="001177B2" w:rsidRPr="006C30A0" w:rsidRDefault="001177B2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03A2F0A" w14:textId="77777777" w:rsidR="001177B2" w:rsidRPr="006C30A0" w:rsidRDefault="001177B2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1177B2" w:rsidRPr="006C30A0" w:rsidSect="001177B2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p w14:paraId="3E148562" w14:textId="77777777" w:rsidR="007C5AD2" w:rsidRPr="006C30A0" w:rsidRDefault="00B37C51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lastRenderedPageBreak/>
        <w:t>M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u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02/TĐBĐ: M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u khung và trình bày khung m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nh trích đo b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đ</w:t>
      </w:r>
      <w:r w:rsidRPr="006C30A0">
        <w:rPr>
          <w:rFonts w:ascii="Arial" w:hAnsi="Arial" w:cs="Arial"/>
          <w:b/>
          <w:sz w:val="20"/>
          <w:szCs w:val="20"/>
        </w:rPr>
        <w:t>ồ</w:t>
      </w:r>
      <w:r w:rsidRPr="006C30A0">
        <w:rPr>
          <w:rFonts w:ascii="Arial" w:hAnsi="Arial" w:cs="Arial"/>
          <w:b/>
          <w:sz w:val="20"/>
          <w:szCs w:val="20"/>
        </w:rPr>
        <w:t xml:space="preserve"> đ</w:t>
      </w:r>
      <w:r w:rsidRPr="006C30A0">
        <w:rPr>
          <w:rFonts w:ascii="Arial" w:hAnsi="Arial" w:cs="Arial"/>
          <w:b/>
          <w:sz w:val="20"/>
          <w:szCs w:val="20"/>
        </w:rPr>
        <w:t>ị</w:t>
      </w:r>
      <w:r w:rsidRPr="006C30A0">
        <w:rPr>
          <w:rFonts w:ascii="Arial" w:hAnsi="Arial" w:cs="Arial"/>
          <w:b/>
          <w:sz w:val="20"/>
          <w:szCs w:val="20"/>
        </w:rPr>
        <w:t>a chính th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>c hi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 xml:space="preserve">n </w:t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>theo nhu c</w:t>
      </w:r>
      <w:r w:rsidRPr="006C30A0">
        <w:rPr>
          <w:rFonts w:ascii="Arial" w:hAnsi="Arial" w:cs="Arial"/>
          <w:b/>
          <w:sz w:val="20"/>
          <w:szCs w:val="20"/>
        </w:rPr>
        <w:t>ầ</w:t>
      </w:r>
      <w:r w:rsidRPr="006C30A0">
        <w:rPr>
          <w:rFonts w:ascii="Arial" w:hAnsi="Arial" w:cs="Arial"/>
          <w:b/>
          <w:sz w:val="20"/>
          <w:szCs w:val="20"/>
        </w:rPr>
        <w:t>u c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>a ngư</w:t>
      </w:r>
      <w:r w:rsidRPr="006C30A0">
        <w:rPr>
          <w:rFonts w:ascii="Arial" w:hAnsi="Arial" w:cs="Arial"/>
          <w:b/>
          <w:sz w:val="20"/>
          <w:szCs w:val="20"/>
        </w:rPr>
        <w:t>ờ</w:t>
      </w:r>
      <w:r w:rsidRPr="006C30A0">
        <w:rPr>
          <w:rFonts w:ascii="Arial" w:hAnsi="Arial" w:cs="Arial"/>
          <w:b/>
          <w:sz w:val="20"/>
          <w:szCs w:val="20"/>
        </w:rPr>
        <w:t>i s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 xml:space="preserve"> d</w:t>
      </w:r>
      <w:r w:rsidRPr="006C30A0">
        <w:rPr>
          <w:rFonts w:ascii="Arial" w:hAnsi="Arial" w:cs="Arial"/>
          <w:b/>
          <w:sz w:val="20"/>
          <w:szCs w:val="20"/>
        </w:rPr>
        <w:t>ụ</w:t>
      </w:r>
      <w:r w:rsidRPr="006C30A0">
        <w:rPr>
          <w:rFonts w:ascii="Arial" w:hAnsi="Arial" w:cs="Arial"/>
          <w:b/>
          <w:sz w:val="20"/>
          <w:szCs w:val="20"/>
        </w:rPr>
        <w:t>ng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186BEC07" w14:textId="616C5F91" w:rsidR="007C5AD2" w:rsidRPr="006C30A0" w:rsidRDefault="007C5AD2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7CDE9239" w14:textId="336A128F" w:rsidR="001177B2" w:rsidRPr="006C30A0" w:rsidRDefault="001177B2" w:rsidP="001177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56D936" wp14:editId="698D22BB">
            <wp:extent cx="7321550" cy="4144927"/>
            <wp:effectExtent l="0" t="0" r="0" b="8255"/>
            <wp:docPr id="30904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436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7671" cy="415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DA0AF" w14:textId="77777777" w:rsidR="00662F07" w:rsidRPr="006C30A0" w:rsidRDefault="00662F07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28A29BF" w14:textId="77777777" w:rsidR="00662F07" w:rsidRPr="006C30A0" w:rsidRDefault="00662F07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662F07" w:rsidRPr="006C30A0" w:rsidSect="001177B2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p w14:paraId="7F4A9258" w14:textId="6127F20C" w:rsidR="007C5AD2" w:rsidRPr="006C30A0" w:rsidRDefault="00B37C51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lastRenderedPageBreak/>
        <w:t>M</w:t>
      </w:r>
      <w:r w:rsidRPr="006C30A0">
        <w:rPr>
          <w:rFonts w:ascii="Arial" w:hAnsi="Arial" w:cs="Arial"/>
          <w:b/>
          <w:sz w:val="20"/>
          <w:szCs w:val="20"/>
        </w:rPr>
        <w:t>ẫ</w:t>
      </w:r>
      <w:r w:rsidRPr="006C30A0">
        <w:rPr>
          <w:rFonts w:ascii="Arial" w:hAnsi="Arial" w:cs="Arial"/>
          <w:b/>
          <w:sz w:val="20"/>
          <w:szCs w:val="20"/>
        </w:rPr>
        <w:t>u s</w:t>
      </w:r>
      <w:r w:rsidRPr="006C30A0">
        <w:rPr>
          <w:rFonts w:ascii="Arial" w:hAnsi="Arial" w:cs="Arial"/>
          <w:b/>
          <w:sz w:val="20"/>
          <w:szCs w:val="20"/>
        </w:rPr>
        <w:t>ố</w:t>
      </w:r>
      <w:r w:rsidRPr="006C30A0">
        <w:rPr>
          <w:rFonts w:ascii="Arial" w:hAnsi="Arial" w:cs="Arial"/>
          <w:b/>
          <w:sz w:val="20"/>
          <w:szCs w:val="20"/>
        </w:rPr>
        <w:t xml:space="preserve"> 03/C</w:t>
      </w:r>
      <w:r w:rsidRPr="006C30A0">
        <w:rPr>
          <w:rFonts w:ascii="Arial" w:hAnsi="Arial" w:cs="Arial"/>
          <w:b/>
          <w:sz w:val="20"/>
          <w:szCs w:val="20"/>
        </w:rPr>
        <w:t>LBĐ: Phi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u đo đ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c ch</w:t>
      </w:r>
      <w:r w:rsidRPr="006C30A0">
        <w:rPr>
          <w:rFonts w:ascii="Arial" w:hAnsi="Arial" w:cs="Arial"/>
          <w:b/>
          <w:sz w:val="20"/>
          <w:szCs w:val="20"/>
        </w:rPr>
        <w:t>ỉ</w:t>
      </w:r>
      <w:r w:rsidRPr="006C30A0">
        <w:rPr>
          <w:rFonts w:ascii="Arial" w:hAnsi="Arial" w:cs="Arial"/>
          <w:b/>
          <w:sz w:val="20"/>
          <w:szCs w:val="20"/>
        </w:rPr>
        <w:t>nh lý th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</w:t>
      </w:r>
    </w:p>
    <w:p w14:paraId="6751D186" w14:textId="77777777" w:rsidR="00662F07" w:rsidRPr="006C30A0" w:rsidRDefault="00662F07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DD36F2" w14:textId="6B38F823" w:rsidR="007C5AD2" w:rsidRPr="006C30A0" w:rsidRDefault="00B37C51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C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NG HÒA XÃ H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I CH</w:t>
      </w:r>
      <w:r w:rsidRPr="006C30A0">
        <w:rPr>
          <w:rFonts w:ascii="Arial" w:hAnsi="Arial" w:cs="Arial"/>
          <w:b/>
          <w:sz w:val="20"/>
          <w:szCs w:val="20"/>
        </w:rPr>
        <w:t>Ủ</w:t>
      </w:r>
      <w:r w:rsidRPr="006C30A0">
        <w:rPr>
          <w:rFonts w:ascii="Arial" w:hAnsi="Arial" w:cs="Arial"/>
          <w:b/>
          <w:sz w:val="20"/>
          <w:szCs w:val="20"/>
        </w:rPr>
        <w:t xml:space="preserve"> NGHĨA VI</w:t>
      </w:r>
      <w:r w:rsidRPr="006C30A0">
        <w:rPr>
          <w:rFonts w:ascii="Arial" w:hAnsi="Arial" w:cs="Arial"/>
          <w:b/>
          <w:sz w:val="20"/>
          <w:szCs w:val="20"/>
        </w:rPr>
        <w:t>Ệ</w:t>
      </w:r>
      <w:r w:rsidRPr="006C30A0">
        <w:rPr>
          <w:rFonts w:ascii="Arial" w:hAnsi="Arial" w:cs="Arial"/>
          <w:b/>
          <w:sz w:val="20"/>
          <w:szCs w:val="20"/>
        </w:rPr>
        <w:t xml:space="preserve">T NAM </w:t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>Đ</w:t>
      </w:r>
      <w:r w:rsidRPr="006C30A0">
        <w:rPr>
          <w:rFonts w:ascii="Arial" w:hAnsi="Arial" w:cs="Arial"/>
          <w:b/>
          <w:sz w:val="20"/>
          <w:szCs w:val="20"/>
        </w:rPr>
        <w:t>ộ</w:t>
      </w:r>
      <w:r w:rsidRPr="006C30A0">
        <w:rPr>
          <w:rFonts w:ascii="Arial" w:hAnsi="Arial" w:cs="Arial"/>
          <w:b/>
          <w:sz w:val="20"/>
          <w:szCs w:val="20"/>
        </w:rPr>
        <w:t>c l</w:t>
      </w:r>
      <w:r w:rsidRPr="006C30A0">
        <w:rPr>
          <w:rFonts w:ascii="Arial" w:hAnsi="Arial" w:cs="Arial"/>
          <w:b/>
          <w:sz w:val="20"/>
          <w:szCs w:val="20"/>
        </w:rPr>
        <w:t>ậ</w:t>
      </w:r>
      <w:r w:rsidRPr="006C30A0">
        <w:rPr>
          <w:rFonts w:ascii="Arial" w:hAnsi="Arial" w:cs="Arial"/>
          <w:b/>
          <w:sz w:val="20"/>
          <w:szCs w:val="20"/>
        </w:rPr>
        <w:t>p - T</w:t>
      </w:r>
      <w:r w:rsidRPr="006C30A0">
        <w:rPr>
          <w:rFonts w:ascii="Arial" w:hAnsi="Arial" w:cs="Arial"/>
          <w:b/>
          <w:sz w:val="20"/>
          <w:szCs w:val="20"/>
        </w:rPr>
        <w:t>ự</w:t>
      </w:r>
      <w:r w:rsidRPr="006C30A0">
        <w:rPr>
          <w:rFonts w:ascii="Arial" w:hAnsi="Arial" w:cs="Arial"/>
          <w:b/>
          <w:sz w:val="20"/>
          <w:szCs w:val="20"/>
        </w:rPr>
        <w:t xml:space="preserve"> do - H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 xml:space="preserve">nh phúc </w:t>
      </w:r>
      <w:r w:rsidR="00662F07" w:rsidRPr="006C30A0">
        <w:rPr>
          <w:rFonts w:ascii="Arial" w:hAnsi="Arial" w:cs="Arial"/>
          <w:b/>
          <w:sz w:val="20"/>
          <w:szCs w:val="20"/>
        </w:rPr>
        <w:br/>
      </w:r>
      <w:r w:rsidR="00662F07" w:rsidRPr="006C30A0">
        <w:rPr>
          <w:rFonts w:ascii="Arial" w:hAnsi="Arial" w:cs="Arial"/>
          <w:bCs/>
          <w:sz w:val="20"/>
          <w:szCs w:val="20"/>
          <w:vertAlign w:val="superscript"/>
        </w:rPr>
        <w:t>________________________</w:t>
      </w:r>
      <w:r w:rsidR="00662F07" w:rsidRPr="006C30A0">
        <w:rPr>
          <w:rFonts w:ascii="Arial" w:hAnsi="Arial" w:cs="Arial"/>
          <w:bCs/>
          <w:sz w:val="20"/>
          <w:szCs w:val="20"/>
          <w:vertAlign w:val="superscript"/>
        </w:rPr>
        <w:br/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i/>
          <w:sz w:val="20"/>
          <w:szCs w:val="20"/>
        </w:rPr>
        <w:t>(Đ</w:t>
      </w:r>
      <w:r w:rsidRPr="006C30A0">
        <w:rPr>
          <w:rFonts w:ascii="Arial" w:hAnsi="Arial" w:cs="Arial"/>
          <w:i/>
          <w:sz w:val="20"/>
          <w:szCs w:val="20"/>
        </w:rPr>
        <w:t>ị</w:t>
      </w:r>
      <w:r w:rsidRPr="006C30A0">
        <w:rPr>
          <w:rFonts w:ascii="Arial" w:hAnsi="Arial" w:cs="Arial"/>
          <w:i/>
          <w:sz w:val="20"/>
          <w:szCs w:val="20"/>
        </w:rPr>
        <w:t>a danh), ngày tháng năm ...</w:t>
      </w:r>
    </w:p>
    <w:p w14:paraId="68BB3673" w14:textId="77777777" w:rsidR="00662F07" w:rsidRPr="006C30A0" w:rsidRDefault="00662F07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91E138" w14:textId="03943B7F" w:rsidR="007C5AD2" w:rsidRPr="006C30A0" w:rsidRDefault="00B37C51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sz w:val="20"/>
          <w:szCs w:val="20"/>
        </w:rPr>
        <w:t>PHI</w:t>
      </w:r>
      <w:r w:rsidRPr="006C30A0">
        <w:rPr>
          <w:rFonts w:ascii="Arial" w:hAnsi="Arial" w:cs="Arial"/>
          <w:b/>
          <w:sz w:val="20"/>
          <w:szCs w:val="20"/>
        </w:rPr>
        <w:t>Ế</w:t>
      </w:r>
      <w:r w:rsidRPr="006C30A0">
        <w:rPr>
          <w:rFonts w:ascii="Arial" w:hAnsi="Arial" w:cs="Arial"/>
          <w:b/>
          <w:sz w:val="20"/>
          <w:szCs w:val="20"/>
        </w:rPr>
        <w:t>U ĐO Đ</w:t>
      </w:r>
      <w:r w:rsidRPr="006C30A0">
        <w:rPr>
          <w:rFonts w:ascii="Arial" w:hAnsi="Arial" w:cs="Arial"/>
          <w:b/>
          <w:sz w:val="20"/>
          <w:szCs w:val="20"/>
        </w:rPr>
        <w:t>Ạ</w:t>
      </w:r>
      <w:r w:rsidRPr="006C30A0">
        <w:rPr>
          <w:rFonts w:ascii="Arial" w:hAnsi="Arial" w:cs="Arial"/>
          <w:b/>
          <w:sz w:val="20"/>
          <w:szCs w:val="20"/>
        </w:rPr>
        <w:t>C CH</w:t>
      </w:r>
      <w:r w:rsidRPr="006C30A0">
        <w:rPr>
          <w:rFonts w:ascii="Arial" w:hAnsi="Arial" w:cs="Arial"/>
          <w:b/>
          <w:sz w:val="20"/>
          <w:szCs w:val="20"/>
        </w:rPr>
        <w:t>Ỉ</w:t>
      </w:r>
      <w:r w:rsidRPr="006C30A0">
        <w:rPr>
          <w:rFonts w:ascii="Arial" w:hAnsi="Arial" w:cs="Arial"/>
          <w:b/>
          <w:sz w:val="20"/>
          <w:szCs w:val="20"/>
        </w:rPr>
        <w:t>NH LÝ TH</w:t>
      </w:r>
      <w:r w:rsidRPr="006C30A0">
        <w:rPr>
          <w:rFonts w:ascii="Arial" w:hAnsi="Arial" w:cs="Arial"/>
          <w:b/>
          <w:sz w:val="20"/>
          <w:szCs w:val="20"/>
        </w:rPr>
        <w:t>Ử</w:t>
      </w:r>
      <w:r w:rsidRPr="006C30A0">
        <w:rPr>
          <w:rFonts w:ascii="Arial" w:hAnsi="Arial" w:cs="Arial"/>
          <w:b/>
          <w:sz w:val="20"/>
          <w:szCs w:val="20"/>
        </w:rPr>
        <w:t>A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 xml:space="preserve">T </w:t>
      </w:r>
    </w:p>
    <w:p w14:paraId="28E6D148" w14:textId="77777777" w:rsidR="00662F07" w:rsidRPr="006C30A0" w:rsidRDefault="00662F07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79EC32" w14:textId="2E24E138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1.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: </w:t>
      </w:r>
      <w:r w:rsidR="00662F07" w:rsidRPr="006C30A0">
        <w:rPr>
          <w:rFonts w:ascii="Arial" w:hAnsi="Arial" w:cs="Arial"/>
          <w:sz w:val="20"/>
          <w:szCs w:val="20"/>
        </w:rPr>
        <w:t>…….</w:t>
      </w:r>
      <w:r w:rsidRPr="006C30A0">
        <w:rPr>
          <w:rFonts w:ascii="Arial" w:hAnsi="Arial" w:cs="Arial"/>
          <w:sz w:val="20"/>
          <w:szCs w:val="20"/>
        </w:rPr>
        <w:t>;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 xml:space="preserve">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 xml:space="preserve">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: </w:t>
      </w:r>
      <w:r w:rsidR="00662F07" w:rsidRPr="006C30A0">
        <w:rPr>
          <w:rFonts w:ascii="Arial" w:hAnsi="Arial" w:cs="Arial"/>
          <w:sz w:val="20"/>
          <w:szCs w:val="20"/>
        </w:rPr>
        <w:t>……..</w:t>
      </w:r>
      <w:r w:rsidRPr="006C30A0">
        <w:rPr>
          <w:rFonts w:ascii="Arial" w:hAnsi="Arial" w:cs="Arial"/>
          <w:sz w:val="20"/>
          <w:szCs w:val="20"/>
        </w:rPr>
        <w:t>;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 xml:space="preserve">n tích: </w:t>
      </w:r>
      <w:r w:rsidR="00662F07" w:rsidRPr="006C30A0">
        <w:rPr>
          <w:rFonts w:ascii="Arial" w:hAnsi="Arial" w:cs="Arial"/>
          <w:sz w:val="20"/>
          <w:szCs w:val="20"/>
        </w:rPr>
        <w:t>……..</w:t>
      </w:r>
      <w:r w:rsidRPr="006C30A0">
        <w:rPr>
          <w:rFonts w:ascii="Arial" w:hAnsi="Arial" w:cs="Arial"/>
          <w:sz w:val="20"/>
          <w:szCs w:val="20"/>
        </w:rPr>
        <w:t>m</w:t>
      </w:r>
      <w:r w:rsidRPr="006C30A0">
        <w:rPr>
          <w:rFonts w:ascii="Arial" w:hAnsi="Arial" w:cs="Arial"/>
          <w:sz w:val="20"/>
          <w:szCs w:val="20"/>
          <w:vertAlign w:val="superscript"/>
        </w:rPr>
        <w:t>2</w:t>
      </w:r>
      <w:r w:rsidRPr="006C30A0">
        <w:rPr>
          <w:rFonts w:ascii="Arial" w:hAnsi="Arial" w:cs="Arial"/>
          <w:sz w:val="20"/>
          <w:szCs w:val="20"/>
        </w:rPr>
        <w:t xml:space="preserve">; </w:t>
      </w:r>
      <w:r w:rsidRPr="006C30A0">
        <w:rPr>
          <w:rFonts w:ascii="Arial" w:hAnsi="Arial" w:cs="Arial"/>
          <w:sz w:val="20"/>
          <w:szCs w:val="20"/>
        </w:rPr>
        <w:t>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…………………</w:t>
      </w:r>
    </w:p>
    <w:p w14:paraId="3667259D" w14:textId="53DB8367" w:rsidR="007C5AD2" w:rsidRPr="006C30A0" w:rsidRDefault="00662F07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…………………………..; hình thức sử dụng (chung, riêng): ……………………………….</w:t>
      </w:r>
    </w:p>
    <w:p w14:paraId="2E1ABDA5" w14:textId="3E775628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2.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(Th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 xml:space="preserve"> nhà, tên đư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ng, ph</w:t>
      </w:r>
      <w:r w:rsidRPr="006C30A0">
        <w:rPr>
          <w:rFonts w:ascii="Arial" w:hAnsi="Arial" w:cs="Arial"/>
          <w:sz w:val="20"/>
          <w:szCs w:val="20"/>
        </w:rPr>
        <w:t>ố</w:t>
      </w:r>
      <w:r w:rsidRPr="006C30A0">
        <w:rPr>
          <w:rFonts w:ascii="Arial" w:hAnsi="Arial" w:cs="Arial"/>
          <w:sz w:val="20"/>
          <w:szCs w:val="20"/>
        </w:rPr>
        <w:t>, tên x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 xml:space="preserve"> đ</w:t>
      </w:r>
      <w:r w:rsidRPr="006C30A0">
        <w:rPr>
          <w:rFonts w:ascii="Arial" w:hAnsi="Arial" w:cs="Arial"/>
          <w:sz w:val="20"/>
          <w:szCs w:val="20"/>
        </w:rPr>
        <w:t>ồ</w:t>
      </w:r>
      <w:r w:rsidRPr="006C30A0">
        <w:rPr>
          <w:rFonts w:ascii="Arial" w:hAnsi="Arial" w:cs="Arial"/>
          <w:sz w:val="20"/>
          <w:szCs w:val="20"/>
        </w:rPr>
        <w:t>ng (n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có)):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………….</w:t>
      </w:r>
    </w:p>
    <w:p w14:paraId="52EA32F7" w14:textId="7436F632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3. Tên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7DB20744" w14:textId="2E170F63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4.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a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 xml:space="preserve">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</w:t>
      </w:r>
      <w:r w:rsidRPr="006C30A0">
        <w:rPr>
          <w:rFonts w:ascii="Arial" w:hAnsi="Arial" w:cs="Arial"/>
          <w:sz w:val="20"/>
          <w:szCs w:val="20"/>
        </w:rPr>
        <w:t>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14:paraId="31CDBE3B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5.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ch</w:t>
      </w:r>
      <w:r w:rsidRPr="006C30A0">
        <w:rPr>
          <w:rFonts w:ascii="Arial" w:hAnsi="Arial" w:cs="Arial"/>
          <w:sz w:val="20"/>
          <w:szCs w:val="20"/>
        </w:rPr>
        <w:t>ứ</w:t>
      </w:r>
      <w:r w:rsidRPr="006C30A0">
        <w:rPr>
          <w:rFonts w:ascii="Arial" w:hAnsi="Arial" w:cs="Arial"/>
          <w:sz w:val="20"/>
          <w:szCs w:val="20"/>
        </w:rPr>
        <w:t>ng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quy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t đ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>nh giao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thuê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cho phép chuy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n m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c đích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ho</w:t>
      </w:r>
      <w:r w:rsidRPr="006C30A0">
        <w:rPr>
          <w:rFonts w:ascii="Arial" w:hAnsi="Arial" w:cs="Arial"/>
          <w:sz w:val="20"/>
          <w:szCs w:val="20"/>
        </w:rPr>
        <w:t>ặ</w:t>
      </w:r>
      <w:r w:rsidRPr="006C30A0">
        <w:rPr>
          <w:rFonts w:ascii="Arial" w:hAnsi="Arial" w:cs="Arial"/>
          <w:sz w:val="20"/>
          <w:szCs w:val="20"/>
        </w:rPr>
        <w:t>c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 xml:space="preserve">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quy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>n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(gi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):</w:t>
      </w:r>
    </w:p>
    <w:p w14:paraId="3D07A118" w14:textId="7EFB7EA3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-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…………………………………………………………………………………….</w:t>
      </w:r>
    </w:p>
    <w:p w14:paraId="68BBF061" w14:textId="6709257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-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 xml:space="preserve">: </w:t>
      </w:r>
      <w:r w:rsidR="00662F07" w:rsidRPr="006C30A0">
        <w:rPr>
          <w:rFonts w:ascii="Arial" w:hAnsi="Arial" w:cs="Arial"/>
          <w:sz w:val="20"/>
          <w:szCs w:val="20"/>
        </w:rPr>
        <w:t>………….</w:t>
      </w:r>
      <w:r w:rsidRPr="006C30A0">
        <w:rPr>
          <w:rFonts w:ascii="Arial" w:hAnsi="Arial" w:cs="Arial"/>
          <w:sz w:val="20"/>
          <w:szCs w:val="20"/>
        </w:rPr>
        <w:t>m</w:t>
      </w:r>
      <w:r w:rsidRPr="006C30A0">
        <w:rPr>
          <w:rFonts w:ascii="Arial" w:hAnsi="Arial" w:cs="Arial"/>
          <w:sz w:val="20"/>
          <w:szCs w:val="20"/>
          <w:vertAlign w:val="superscript"/>
        </w:rPr>
        <w:t>2</w:t>
      </w:r>
      <w:r w:rsidRPr="006C30A0">
        <w:rPr>
          <w:rFonts w:ascii="Arial" w:hAnsi="Arial" w:cs="Arial"/>
          <w:sz w:val="20"/>
          <w:szCs w:val="20"/>
        </w:rPr>
        <w:t>;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trên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……………………..…………..</w:t>
      </w:r>
    </w:p>
    <w:p w14:paraId="0D01B134" w14:textId="74EDD87F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6. Tình hình thay đ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>i ranh gi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so v</w:t>
      </w:r>
      <w:r w:rsidRPr="006C30A0">
        <w:rPr>
          <w:rFonts w:ascii="Arial" w:hAnsi="Arial" w:cs="Arial"/>
          <w:sz w:val="20"/>
          <w:szCs w:val="20"/>
        </w:rPr>
        <w:t>ớ</w:t>
      </w:r>
      <w:r w:rsidRPr="006C30A0">
        <w:rPr>
          <w:rFonts w:ascii="Arial" w:hAnsi="Arial" w:cs="Arial"/>
          <w:sz w:val="20"/>
          <w:szCs w:val="20"/>
        </w:rPr>
        <w:t>i khi có gi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y t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……………………..……….</w:t>
      </w:r>
    </w:p>
    <w:p w14:paraId="081A1C55" w14:textId="77777777" w:rsidR="00662F07" w:rsidRPr="006C30A0" w:rsidRDefault="00662F07" w:rsidP="00662F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4F7C3F4" w14:textId="42AB2364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7. Di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tích, lo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sau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lý:</w:t>
      </w:r>
      <w:r w:rsidR="00662F07" w:rsidRPr="006C30A0">
        <w:rPr>
          <w:rFonts w:ascii="Arial" w:hAnsi="Arial" w:cs="Arial"/>
          <w:sz w:val="20"/>
          <w:szCs w:val="20"/>
        </w:rPr>
        <w:t xml:space="preserve"> …………………………………………..………….</w:t>
      </w:r>
    </w:p>
    <w:p w14:paraId="3473CCC0" w14:textId="1B0AB8A2" w:rsidR="00662F07" w:rsidRPr="006C30A0" w:rsidRDefault="00662F07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62F07" w:rsidRPr="006C30A0" w14:paraId="05890857" w14:textId="77777777" w:rsidTr="00662F07">
        <w:tc>
          <w:tcPr>
            <w:tcW w:w="2500" w:type="pct"/>
          </w:tcPr>
          <w:p w14:paraId="6482A589" w14:textId="77777777" w:rsidR="00662F07" w:rsidRPr="006C30A0" w:rsidRDefault="00662F07" w:rsidP="00662F07">
            <w:pPr>
              <w:adjustRightInd w:val="0"/>
              <w:snapToGrid w:val="0"/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8. Sơ đồ thửa đất:</w:t>
            </w:r>
          </w:p>
          <w:p w14:paraId="5C19B96B" w14:textId="77777777" w:rsidR="00662F07" w:rsidRPr="006C30A0" w:rsidRDefault="00662F07" w:rsidP="00662F0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A7FDF1" wp14:editId="05BFB5C5">
                  <wp:extent cx="2286000" cy="1763322"/>
                  <wp:effectExtent l="0" t="0" r="0" b="0"/>
                  <wp:docPr id="918310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31062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013" cy="178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0DD95" w14:textId="4039914B" w:rsidR="00662F07" w:rsidRPr="006C30A0" w:rsidRDefault="00662F07" w:rsidP="00662F0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Đơn vị đo đạc </w:t>
            </w:r>
            <w:r w:rsidRPr="006C30A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(**)</w:t>
            </w:r>
          </w:p>
          <w:p w14:paraId="1A304369" w14:textId="02014131" w:rsidR="00662F07" w:rsidRPr="006C30A0" w:rsidRDefault="00662F07" w:rsidP="00662F0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30A0">
              <w:rPr>
                <w:rFonts w:ascii="Arial" w:hAnsi="Arial" w:cs="Arial"/>
                <w:i/>
                <w:iCs/>
                <w:sz w:val="20"/>
                <w:szCs w:val="20"/>
              </w:rPr>
              <w:t>(Ký, ghi rõ họ và tên, chức vụ, đóng dấu)</w:t>
            </w:r>
          </w:p>
          <w:p w14:paraId="78B77F76" w14:textId="7C987406" w:rsidR="00662F07" w:rsidRPr="006C30A0" w:rsidRDefault="00662F07" w:rsidP="00662F0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0C992D2" w14:textId="77777777" w:rsidR="00662F07" w:rsidRPr="006C30A0" w:rsidRDefault="00662F07" w:rsidP="00662F07">
            <w:pPr>
              <w:adjustRightInd w:val="0"/>
              <w:snapToGrid w:val="0"/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sz w:val="20"/>
                <w:szCs w:val="20"/>
              </w:rPr>
              <w:t>9. Tọa độ, kích thước cạnh: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47"/>
              <w:gridCol w:w="968"/>
              <w:gridCol w:w="968"/>
              <w:gridCol w:w="1604"/>
            </w:tblGrid>
            <w:tr w:rsidR="00662F07" w:rsidRPr="006C30A0" w14:paraId="7006BB03" w14:textId="77777777" w:rsidTr="008355C4">
              <w:trPr>
                <w:trHeight w:val="227"/>
              </w:trPr>
              <w:tc>
                <w:tcPr>
                  <w:tcW w:w="3129" w:type="pct"/>
                  <w:gridSpan w:val="3"/>
                  <w:vAlign w:val="center"/>
                </w:tcPr>
                <w:p w14:paraId="66F7B6E2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Tọa độ đỉnh thửa</w:t>
                  </w: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 xml:space="preserve"> (*)</w:t>
                  </w:r>
                </w:p>
              </w:tc>
              <w:tc>
                <w:tcPr>
                  <w:tcW w:w="1871" w:type="pct"/>
                  <w:vMerge w:val="restart"/>
                  <w:vAlign w:val="center"/>
                </w:tcPr>
                <w:p w14:paraId="482FE23B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Kích thước cạnh</w:t>
                  </w: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 xml:space="preserve"> (m)</w:t>
                  </w:r>
                </w:p>
              </w:tc>
            </w:tr>
            <w:tr w:rsidR="00662F07" w:rsidRPr="006C30A0" w14:paraId="251F2651" w14:textId="77777777" w:rsidTr="008355C4">
              <w:trPr>
                <w:trHeight w:val="227"/>
              </w:trPr>
              <w:tc>
                <w:tcPr>
                  <w:tcW w:w="871" w:type="pct"/>
                  <w:vAlign w:val="center"/>
                </w:tcPr>
                <w:p w14:paraId="4D414A2A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Đỉnh</w:t>
                  </w:r>
                </w:p>
              </w:tc>
              <w:tc>
                <w:tcPr>
                  <w:tcW w:w="1129" w:type="pct"/>
                  <w:vAlign w:val="center"/>
                </w:tcPr>
                <w:p w14:paraId="5CC712A2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X (m)</w:t>
                  </w:r>
                </w:p>
              </w:tc>
              <w:tc>
                <w:tcPr>
                  <w:tcW w:w="1129" w:type="pct"/>
                  <w:vAlign w:val="center"/>
                </w:tcPr>
                <w:p w14:paraId="5C22C7D6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Y (m)</w:t>
                  </w:r>
                </w:p>
              </w:tc>
              <w:tc>
                <w:tcPr>
                  <w:tcW w:w="1871" w:type="pct"/>
                  <w:vMerge/>
                  <w:vAlign w:val="center"/>
                </w:tcPr>
                <w:p w14:paraId="3D5947AA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2F07" w:rsidRPr="006C30A0" w14:paraId="5BC69003" w14:textId="77777777" w:rsidTr="008355C4">
              <w:trPr>
                <w:trHeight w:val="227"/>
              </w:trPr>
              <w:tc>
                <w:tcPr>
                  <w:tcW w:w="871" w:type="pct"/>
                  <w:vAlign w:val="center"/>
                </w:tcPr>
                <w:p w14:paraId="370DB7EF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9" w:type="pct"/>
                  <w:vAlign w:val="center"/>
                </w:tcPr>
                <w:p w14:paraId="245622BE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vAlign w:val="center"/>
                </w:tcPr>
                <w:p w14:paraId="177FA17A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1" w:type="pct"/>
                  <w:vAlign w:val="center"/>
                </w:tcPr>
                <w:p w14:paraId="16627F9E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2F07" w:rsidRPr="006C30A0" w14:paraId="5E3957A7" w14:textId="77777777" w:rsidTr="008355C4">
              <w:trPr>
                <w:trHeight w:val="227"/>
              </w:trPr>
              <w:tc>
                <w:tcPr>
                  <w:tcW w:w="871" w:type="pct"/>
                  <w:vAlign w:val="center"/>
                </w:tcPr>
                <w:p w14:paraId="6B8FA518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9" w:type="pct"/>
                  <w:vAlign w:val="center"/>
                </w:tcPr>
                <w:p w14:paraId="00BD7A0A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vAlign w:val="center"/>
                </w:tcPr>
                <w:p w14:paraId="7FFF8FE5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1" w:type="pct"/>
                  <w:vAlign w:val="center"/>
                </w:tcPr>
                <w:p w14:paraId="0A40423A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2F07" w:rsidRPr="006C30A0" w14:paraId="044F413A" w14:textId="77777777" w:rsidTr="008355C4">
              <w:trPr>
                <w:trHeight w:val="227"/>
              </w:trPr>
              <w:tc>
                <w:tcPr>
                  <w:tcW w:w="871" w:type="pct"/>
                  <w:vAlign w:val="center"/>
                </w:tcPr>
                <w:p w14:paraId="58E47E6E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29" w:type="pct"/>
                  <w:vAlign w:val="center"/>
                </w:tcPr>
                <w:p w14:paraId="50D316DB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vAlign w:val="center"/>
                </w:tcPr>
                <w:p w14:paraId="4D20A1AE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1" w:type="pct"/>
                  <w:vAlign w:val="center"/>
                </w:tcPr>
                <w:p w14:paraId="77E76D0B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2F07" w:rsidRPr="006C30A0" w14:paraId="016487B7" w14:textId="77777777" w:rsidTr="008355C4">
              <w:trPr>
                <w:trHeight w:val="227"/>
              </w:trPr>
              <w:tc>
                <w:tcPr>
                  <w:tcW w:w="871" w:type="pct"/>
                  <w:vAlign w:val="center"/>
                </w:tcPr>
                <w:p w14:paraId="6F85F5DB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29" w:type="pct"/>
                  <w:vAlign w:val="center"/>
                </w:tcPr>
                <w:p w14:paraId="0135BDB6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vAlign w:val="center"/>
                </w:tcPr>
                <w:p w14:paraId="05BB9902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1" w:type="pct"/>
                  <w:vAlign w:val="center"/>
                </w:tcPr>
                <w:p w14:paraId="08E98373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2F07" w:rsidRPr="006C30A0" w14:paraId="3A1D4320" w14:textId="77777777" w:rsidTr="008355C4">
              <w:trPr>
                <w:trHeight w:val="227"/>
              </w:trPr>
              <w:tc>
                <w:tcPr>
                  <w:tcW w:w="871" w:type="pct"/>
                  <w:vAlign w:val="center"/>
                </w:tcPr>
                <w:p w14:paraId="08B71CC8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29" w:type="pct"/>
                  <w:vAlign w:val="center"/>
                </w:tcPr>
                <w:p w14:paraId="73D7CB26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vAlign w:val="center"/>
                </w:tcPr>
                <w:p w14:paraId="38996BEE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1" w:type="pct"/>
                  <w:vAlign w:val="center"/>
                </w:tcPr>
                <w:p w14:paraId="70CE6C4A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2F07" w:rsidRPr="006C30A0" w14:paraId="12A60C0B" w14:textId="77777777" w:rsidTr="008355C4">
              <w:trPr>
                <w:trHeight w:val="227"/>
              </w:trPr>
              <w:tc>
                <w:tcPr>
                  <w:tcW w:w="871" w:type="pct"/>
                  <w:vAlign w:val="center"/>
                </w:tcPr>
                <w:p w14:paraId="0FA5005D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9" w:type="pct"/>
                  <w:vAlign w:val="center"/>
                </w:tcPr>
                <w:p w14:paraId="480BAC2D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vAlign w:val="center"/>
                </w:tcPr>
                <w:p w14:paraId="02D923A0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1" w:type="pct"/>
                  <w:vAlign w:val="center"/>
                </w:tcPr>
                <w:p w14:paraId="5F386C77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2F07" w:rsidRPr="006C30A0" w14:paraId="418CE032" w14:textId="77777777" w:rsidTr="008355C4">
              <w:trPr>
                <w:trHeight w:val="227"/>
              </w:trPr>
              <w:tc>
                <w:tcPr>
                  <w:tcW w:w="5000" w:type="pct"/>
                  <w:gridSpan w:val="4"/>
                  <w:vAlign w:val="center"/>
                </w:tcPr>
                <w:p w14:paraId="0728C150" w14:textId="77777777" w:rsidR="00662F07" w:rsidRPr="006C30A0" w:rsidRDefault="00662F07" w:rsidP="00662F07">
                  <w:pPr>
                    <w:adjustRightInd w:val="0"/>
                    <w:snapToGrid w:val="0"/>
                    <w:spacing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6C30A0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(*) Chỉ thực hiện khi chỉnh lý BĐĐC/trích đo BĐĐC ở hệ VN-2000</w:t>
                  </w:r>
                </w:p>
              </w:tc>
            </w:tr>
          </w:tbl>
          <w:p w14:paraId="6F9A7CD6" w14:textId="77777777" w:rsidR="00662F07" w:rsidRPr="006C30A0" w:rsidRDefault="00662F07" w:rsidP="00662F0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1D584" w14:textId="395A4BB6" w:rsidR="00662F07" w:rsidRPr="006C30A0" w:rsidRDefault="00662F07" w:rsidP="00662F07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0A0">
              <w:rPr>
                <w:rFonts w:ascii="Arial" w:hAnsi="Arial" w:cs="Arial"/>
                <w:b/>
                <w:bCs/>
                <w:sz w:val="20"/>
                <w:szCs w:val="20"/>
              </w:rPr>
              <w:t>Người sử dụng, quản lý đất</w:t>
            </w:r>
            <w:r w:rsidRPr="006C30A0">
              <w:rPr>
                <w:rFonts w:ascii="Arial" w:hAnsi="Arial" w:cs="Arial"/>
                <w:sz w:val="20"/>
                <w:szCs w:val="20"/>
              </w:rPr>
              <w:t xml:space="preserve"> ( *** ) </w:t>
            </w:r>
            <w:r w:rsidRPr="006C30A0">
              <w:rPr>
                <w:rFonts w:ascii="Arial" w:hAnsi="Arial" w:cs="Arial"/>
                <w:sz w:val="20"/>
                <w:szCs w:val="20"/>
              </w:rPr>
              <w:br/>
              <w:t>Tôi ký tên dưới đây xác nhận các thông tin về</w:t>
            </w:r>
            <w:r w:rsidRPr="006C30A0">
              <w:rPr>
                <w:rFonts w:ascii="Arial" w:hAnsi="Arial" w:cs="Arial"/>
                <w:sz w:val="20"/>
                <w:szCs w:val="20"/>
              </w:rPr>
              <w:br/>
              <w:t xml:space="preserve">thửa đất nêu ở Phiếu này là đúng với hiện </w:t>
            </w:r>
            <w:r w:rsidRPr="006C30A0">
              <w:rPr>
                <w:rFonts w:ascii="Arial" w:hAnsi="Arial" w:cs="Arial"/>
                <w:sz w:val="20"/>
                <w:szCs w:val="20"/>
              </w:rPr>
              <w:br/>
              <w:t xml:space="preserve">trạng sử dụng, quản lý đất </w:t>
            </w:r>
            <w:r w:rsidRPr="006C30A0">
              <w:rPr>
                <w:rFonts w:ascii="Arial" w:hAnsi="Arial" w:cs="Arial"/>
                <w:sz w:val="20"/>
                <w:szCs w:val="20"/>
              </w:rPr>
              <w:br/>
            </w:r>
            <w:r w:rsidRPr="006C30A0">
              <w:rPr>
                <w:rFonts w:ascii="Arial" w:hAnsi="Arial" w:cs="Arial"/>
                <w:i/>
                <w:iCs/>
                <w:sz w:val="20"/>
                <w:szCs w:val="20"/>
              </w:rPr>
              <w:t>(Ký, ghi rõ họ và tên)</w:t>
            </w:r>
          </w:p>
        </w:tc>
      </w:tr>
    </w:tbl>
    <w:p w14:paraId="7DFCB08D" w14:textId="77777777" w:rsidR="00662F07" w:rsidRPr="006C30A0" w:rsidRDefault="00662F07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00ED4C" w14:textId="09F01E24" w:rsidR="007C5AD2" w:rsidRPr="006C30A0" w:rsidRDefault="00B37C51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b/>
          <w:iCs/>
          <w:sz w:val="20"/>
          <w:szCs w:val="20"/>
        </w:rPr>
        <w:t>Cơ quan có ch</w:t>
      </w:r>
      <w:r w:rsidRPr="006C30A0">
        <w:rPr>
          <w:rFonts w:ascii="Arial" w:hAnsi="Arial" w:cs="Arial"/>
          <w:b/>
          <w:iCs/>
          <w:sz w:val="20"/>
          <w:szCs w:val="20"/>
        </w:rPr>
        <w:t>ứ</w:t>
      </w:r>
      <w:r w:rsidRPr="006C30A0">
        <w:rPr>
          <w:rFonts w:ascii="Arial" w:hAnsi="Arial" w:cs="Arial"/>
          <w:b/>
          <w:iCs/>
          <w:sz w:val="20"/>
          <w:szCs w:val="20"/>
        </w:rPr>
        <w:t>c</w:t>
      </w:r>
      <w:r w:rsidRPr="006C30A0">
        <w:rPr>
          <w:rFonts w:ascii="Arial" w:hAnsi="Arial" w:cs="Arial"/>
          <w:b/>
          <w:sz w:val="20"/>
          <w:szCs w:val="20"/>
        </w:rPr>
        <w:t xml:space="preserve"> năng qu</w:t>
      </w:r>
      <w:r w:rsidRPr="006C30A0">
        <w:rPr>
          <w:rFonts w:ascii="Arial" w:hAnsi="Arial" w:cs="Arial"/>
          <w:b/>
          <w:sz w:val="20"/>
          <w:szCs w:val="20"/>
        </w:rPr>
        <w:t>ả</w:t>
      </w:r>
      <w:r w:rsidRPr="006C30A0">
        <w:rPr>
          <w:rFonts w:ascii="Arial" w:hAnsi="Arial" w:cs="Arial"/>
          <w:b/>
          <w:sz w:val="20"/>
          <w:szCs w:val="20"/>
        </w:rPr>
        <w:t>n lý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 c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p xã/</w:t>
      </w:r>
      <w:r w:rsidR="00662F07" w:rsidRPr="006C30A0">
        <w:rPr>
          <w:rFonts w:ascii="Arial" w:hAnsi="Arial" w:cs="Arial"/>
          <w:sz w:val="20"/>
          <w:szCs w:val="20"/>
        </w:rPr>
        <w:t xml:space="preserve"> </w:t>
      </w:r>
      <w:r w:rsidR="00662F07"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>Văn phòng đăng ký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 ho</w:t>
      </w:r>
      <w:r w:rsidRPr="006C30A0">
        <w:rPr>
          <w:rFonts w:ascii="Arial" w:hAnsi="Arial" w:cs="Arial"/>
          <w:b/>
          <w:sz w:val="20"/>
          <w:szCs w:val="20"/>
        </w:rPr>
        <w:t>ặ</w:t>
      </w:r>
      <w:r w:rsidRPr="006C30A0">
        <w:rPr>
          <w:rFonts w:ascii="Arial" w:hAnsi="Arial" w:cs="Arial"/>
          <w:b/>
          <w:sz w:val="20"/>
          <w:szCs w:val="20"/>
        </w:rPr>
        <w:t xml:space="preserve">c </w:t>
      </w:r>
      <w:r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b/>
          <w:sz w:val="20"/>
          <w:szCs w:val="20"/>
        </w:rPr>
        <w:t>Chi nhánh Văn phòng đăng ký đ</w:t>
      </w:r>
      <w:r w:rsidRPr="006C30A0">
        <w:rPr>
          <w:rFonts w:ascii="Arial" w:hAnsi="Arial" w:cs="Arial"/>
          <w:b/>
          <w:sz w:val="20"/>
          <w:szCs w:val="20"/>
        </w:rPr>
        <w:t>ấ</w:t>
      </w:r>
      <w:r w:rsidRPr="006C30A0">
        <w:rPr>
          <w:rFonts w:ascii="Arial" w:hAnsi="Arial" w:cs="Arial"/>
          <w:b/>
          <w:sz w:val="20"/>
          <w:szCs w:val="20"/>
        </w:rPr>
        <w:t>t đai</w:t>
      </w:r>
      <w:r w:rsidR="00662F07"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sz w:val="20"/>
          <w:szCs w:val="20"/>
        </w:rPr>
        <w:t>(theo phân c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p)</w:t>
      </w:r>
      <w:r w:rsidR="00662F07" w:rsidRPr="006C30A0">
        <w:rPr>
          <w:rFonts w:ascii="Arial" w:hAnsi="Arial" w:cs="Arial"/>
          <w:sz w:val="20"/>
          <w:szCs w:val="20"/>
        </w:rPr>
        <w:br/>
      </w:r>
      <w:r w:rsidRPr="006C30A0">
        <w:rPr>
          <w:rFonts w:ascii="Arial" w:hAnsi="Arial" w:cs="Arial"/>
          <w:i/>
          <w:sz w:val="20"/>
          <w:szCs w:val="20"/>
        </w:rPr>
        <w:t>(Ký, ghi rõ h</w:t>
      </w:r>
      <w:r w:rsidRPr="006C30A0">
        <w:rPr>
          <w:rFonts w:ascii="Arial" w:hAnsi="Arial" w:cs="Arial"/>
          <w:i/>
          <w:sz w:val="20"/>
          <w:szCs w:val="20"/>
        </w:rPr>
        <w:t>ọ</w:t>
      </w:r>
      <w:r w:rsidRPr="006C30A0">
        <w:rPr>
          <w:rFonts w:ascii="Arial" w:hAnsi="Arial" w:cs="Arial"/>
          <w:i/>
          <w:sz w:val="20"/>
          <w:szCs w:val="20"/>
        </w:rPr>
        <w:t xml:space="preserve"> và tên, ch</w:t>
      </w:r>
      <w:r w:rsidRPr="006C30A0">
        <w:rPr>
          <w:rFonts w:ascii="Arial" w:hAnsi="Arial" w:cs="Arial"/>
          <w:i/>
          <w:sz w:val="20"/>
          <w:szCs w:val="20"/>
        </w:rPr>
        <w:t>ứ</w:t>
      </w:r>
      <w:r w:rsidRPr="006C30A0">
        <w:rPr>
          <w:rFonts w:ascii="Arial" w:hAnsi="Arial" w:cs="Arial"/>
          <w:i/>
          <w:sz w:val="20"/>
          <w:szCs w:val="20"/>
        </w:rPr>
        <w:t>c v</w:t>
      </w:r>
      <w:r w:rsidRPr="006C30A0">
        <w:rPr>
          <w:rFonts w:ascii="Arial" w:hAnsi="Arial" w:cs="Arial"/>
          <w:i/>
          <w:sz w:val="20"/>
          <w:szCs w:val="20"/>
        </w:rPr>
        <w:t>ụ</w:t>
      </w:r>
      <w:r w:rsidRPr="006C30A0">
        <w:rPr>
          <w:rFonts w:ascii="Arial" w:hAnsi="Arial" w:cs="Arial"/>
          <w:i/>
          <w:sz w:val="20"/>
          <w:szCs w:val="20"/>
        </w:rPr>
        <w:t>, đóng d</w:t>
      </w:r>
      <w:r w:rsidRPr="006C30A0">
        <w:rPr>
          <w:rFonts w:ascii="Arial" w:hAnsi="Arial" w:cs="Arial"/>
          <w:i/>
          <w:sz w:val="20"/>
          <w:szCs w:val="20"/>
        </w:rPr>
        <w:t>ấ</w:t>
      </w:r>
      <w:r w:rsidRPr="006C30A0">
        <w:rPr>
          <w:rFonts w:ascii="Arial" w:hAnsi="Arial" w:cs="Arial"/>
          <w:i/>
          <w:sz w:val="20"/>
          <w:szCs w:val="20"/>
        </w:rPr>
        <w:t>u)</w:t>
      </w:r>
    </w:p>
    <w:p w14:paraId="7922B8A3" w14:textId="77777777" w:rsidR="00662F07" w:rsidRPr="006C30A0" w:rsidRDefault="00662F07" w:rsidP="00662F0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9C4A75" w14:textId="77777777" w:rsidR="007C5AD2" w:rsidRPr="006C30A0" w:rsidRDefault="00B37C51" w:rsidP="006038A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30A0">
        <w:rPr>
          <w:rFonts w:ascii="Arial" w:hAnsi="Arial" w:cs="Arial"/>
          <w:sz w:val="20"/>
          <w:szCs w:val="20"/>
        </w:rPr>
        <w:lastRenderedPageBreak/>
        <w:t xml:space="preserve"> (***)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qu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 lý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 các thông tin v</w:t>
      </w:r>
      <w:r w:rsidRPr="006C30A0">
        <w:rPr>
          <w:rFonts w:ascii="Arial" w:hAnsi="Arial" w:cs="Arial"/>
          <w:sz w:val="20"/>
          <w:szCs w:val="20"/>
        </w:rPr>
        <w:t>ề</w:t>
      </w:r>
      <w:r w:rsidRPr="006C30A0">
        <w:rPr>
          <w:rFonts w:ascii="Arial" w:hAnsi="Arial" w:cs="Arial"/>
          <w:sz w:val="20"/>
          <w:szCs w:val="20"/>
        </w:rPr>
        <w:t xml:space="preserve"> th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trên đây n</w:t>
      </w:r>
      <w:r w:rsidRPr="006C30A0">
        <w:rPr>
          <w:rFonts w:ascii="Arial" w:hAnsi="Arial" w:cs="Arial"/>
          <w:sz w:val="20"/>
          <w:szCs w:val="20"/>
        </w:rPr>
        <w:t>ế</w:t>
      </w:r>
      <w:r w:rsidRPr="006C30A0">
        <w:rPr>
          <w:rFonts w:ascii="Arial" w:hAnsi="Arial" w:cs="Arial"/>
          <w:sz w:val="20"/>
          <w:szCs w:val="20"/>
        </w:rPr>
        <w:t>u phát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có sai sót thì báo ngay cho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 đ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 xml:space="preserve"> ki</w:t>
      </w:r>
      <w:r w:rsidRPr="006C30A0">
        <w:rPr>
          <w:rFonts w:ascii="Arial" w:hAnsi="Arial" w:cs="Arial"/>
          <w:sz w:val="20"/>
          <w:szCs w:val="20"/>
        </w:rPr>
        <w:t>ể</w:t>
      </w:r>
      <w:r w:rsidRPr="006C30A0">
        <w:rPr>
          <w:rFonts w:ascii="Arial" w:hAnsi="Arial" w:cs="Arial"/>
          <w:sz w:val="20"/>
          <w:szCs w:val="20"/>
        </w:rPr>
        <w:t>m tra, ch</w:t>
      </w:r>
      <w:r w:rsidRPr="006C30A0">
        <w:rPr>
          <w:rFonts w:ascii="Arial" w:hAnsi="Arial" w:cs="Arial"/>
          <w:sz w:val="20"/>
          <w:szCs w:val="20"/>
        </w:rPr>
        <w:t>ỉ</w:t>
      </w:r>
      <w:r w:rsidRPr="006C30A0">
        <w:rPr>
          <w:rFonts w:ascii="Arial" w:hAnsi="Arial" w:cs="Arial"/>
          <w:sz w:val="20"/>
          <w:szCs w:val="20"/>
        </w:rPr>
        <w:t>nh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a, b</w:t>
      </w:r>
      <w:r w:rsidRPr="006C30A0">
        <w:rPr>
          <w:rFonts w:ascii="Arial" w:hAnsi="Arial" w:cs="Arial"/>
          <w:sz w:val="20"/>
          <w:szCs w:val="20"/>
        </w:rPr>
        <w:t>ổ</w:t>
      </w:r>
      <w:r w:rsidRPr="006C30A0">
        <w:rPr>
          <w:rFonts w:ascii="Arial" w:hAnsi="Arial" w:cs="Arial"/>
          <w:sz w:val="20"/>
          <w:szCs w:val="20"/>
        </w:rPr>
        <w:t xml:space="preserve"> sung; trư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ng h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p không phát hi</w:t>
      </w:r>
      <w:r w:rsidRPr="006C30A0">
        <w:rPr>
          <w:rFonts w:ascii="Arial" w:hAnsi="Arial" w:cs="Arial"/>
          <w:sz w:val="20"/>
          <w:szCs w:val="20"/>
        </w:rPr>
        <w:t>ệ</w:t>
      </w:r>
      <w:r w:rsidRPr="006C30A0">
        <w:rPr>
          <w:rFonts w:ascii="Arial" w:hAnsi="Arial" w:cs="Arial"/>
          <w:sz w:val="20"/>
          <w:szCs w:val="20"/>
        </w:rPr>
        <w:t>n sai sót thì ký xác nh</w:t>
      </w:r>
      <w:r w:rsidRPr="006C30A0">
        <w:rPr>
          <w:rFonts w:ascii="Arial" w:hAnsi="Arial" w:cs="Arial"/>
          <w:sz w:val="20"/>
          <w:szCs w:val="20"/>
        </w:rPr>
        <w:t>ậ</w:t>
      </w:r>
      <w:r w:rsidRPr="006C30A0">
        <w:rPr>
          <w:rFonts w:ascii="Arial" w:hAnsi="Arial" w:cs="Arial"/>
          <w:sz w:val="20"/>
          <w:szCs w:val="20"/>
        </w:rPr>
        <w:t>n và g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>i l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i cho đơn v</w:t>
      </w:r>
      <w:r w:rsidRPr="006C30A0">
        <w:rPr>
          <w:rFonts w:ascii="Arial" w:hAnsi="Arial" w:cs="Arial"/>
          <w:sz w:val="20"/>
          <w:szCs w:val="20"/>
        </w:rPr>
        <w:t>ị</w:t>
      </w:r>
      <w:r w:rsidRPr="006C30A0">
        <w:rPr>
          <w:rFonts w:ascii="Arial" w:hAnsi="Arial" w:cs="Arial"/>
          <w:sz w:val="20"/>
          <w:szCs w:val="20"/>
        </w:rPr>
        <w:t xml:space="preserve"> đo đ</w:t>
      </w:r>
      <w:r w:rsidRPr="006C30A0">
        <w:rPr>
          <w:rFonts w:ascii="Arial" w:hAnsi="Arial" w:cs="Arial"/>
          <w:sz w:val="20"/>
          <w:szCs w:val="20"/>
        </w:rPr>
        <w:t>ạ</w:t>
      </w:r>
      <w:r w:rsidRPr="006C30A0">
        <w:rPr>
          <w:rFonts w:ascii="Arial" w:hAnsi="Arial" w:cs="Arial"/>
          <w:sz w:val="20"/>
          <w:szCs w:val="20"/>
        </w:rPr>
        <w:t>c</w:t>
      </w:r>
      <w:r w:rsidRPr="006C30A0">
        <w:rPr>
          <w:rFonts w:ascii="Arial" w:hAnsi="Arial" w:cs="Arial"/>
          <w:sz w:val="20"/>
          <w:szCs w:val="20"/>
        </w:rPr>
        <w:t xml:space="preserve"> 01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n, ngư</w:t>
      </w:r>
      <w:r w:rsidRPr="006C30A0">
        <w:rPr>
          <w:rFonts w:ascii="Arial" w:hAnsi="Arial" w:cs="Arial"/>
          <w:sz w:val="20"/>
          <w:szCs w:val="20"/>
        </w:rPr>
        <w:t>ờ</w:t>
      </w:r>
      <w:r w:rsidRPr="006C30A0">
        <w:rPr>
          <w:rFonts w:ascii="Arial" w:hAnsi="Arial" w:cs="Arial"/>
          <w:sz w:val="20"/>
          <w:szCs w:val="20"/>
        </w:rPr>
        <w:t>i s</w:t>
      </w:r>
      <w:r w:rsidRPr="006C30A0">
        <w:rPr>
          <w:rFonts w:ascii="Arial" w:hAnsi="Arial" w:cs="Arial"/>
          <w:sz w:val="20"/>
          <w:szCs w:val="20"/>
        </w:rPr>
        <w:t>ử</w:t>
      </w:r>
      <w:r w:rsidRPr="006C30A0">
        <w:rPr>
          <w:rFonts w:ascii="Arial" w:hAnsi="Arial" w:cs="Arial"/>
          <w:sz w:val="20"/>
          <w:szCs w:val="20"/>
        </w:rPr>
        <w:t xml:space="preserve"> d</w:t>
      </w:r>
      <w:r w:rsidRPr="006C30A0">
        <w:rPr>
          <w:rFonts w:ascii="Arial" w:hAnsi="Arial" w:cs="Arial"/>
          <w:sz w:val="20"/>
          <w:szCs w:val="20"/>
        </w:rPr>
        <w:t>ụ</w:t>
      </w:r>
      <w:r w:rsidRPr="006C30A0">
        <w:rPr>
          <w:rFonts w:ascii="Arial" w:hAnsi="Arial" w:cs="Arial"/>
          <w:sz w:val="20"/>
          <w:szCs w:val="20"/>
        </w:rPr>
        <w:t>ng đ</w:t>
      </w:r>
      <w:r w:rsidRPr="006C30A0">
        <w:rPr>
          <w:rFonts w:ascii="Arial" w:hAnsi="Arial" w:cs="Arial"/>
          <w:sz w:val="20"/>
          <w:szCs w:val="20"/>
        </w:rPr>
        <w:t>ấ</w:t>
      </w:r>
      <w:r w:rsidRPr="006C30A0">
        <w:rPr>
          <w:rFonts w:ascii="Arial" w:hAnsi="Arial" w:cs="Arial"/>
          <w:sz w:val="20"/>
          <w:szCs w:val="20"/>
        </w:rPr>
        <w:t>t đư</w:t>
      </w:r>
      <w:r w:rsidRPr="006C30A0">
        <w:rPr>
          <w:rFonts w:ascii="Arial" w:hAnsi="Arial" w:cs="Arial"/>
          <w:sz w:val="20"/>
          <w:szCs w:val="20"/>
        </w:rPr>
        <w:t>ợ</w:t>
      </w:r>
      <w:r w:rsidRPr="006C30A0">
        <w:rPr>
          <w:rFonts w:ascii="Arial" w:hAnsi="Arial" w:cs="Arial"/>
          <w:sz w:val="20"/>
          <w:szCs w:val="20"/>
        </w:rPr>
        <w:t>c gi</w:t>
      </w:r>
      <w:r w:rsidRPr="006C30A0">
        <w:rPr>
          <w:rFonts w:ascii="Arial" w:hAnsi="Arial" w:cs="Arial"/>
          <w:sz w:val="20"/>
          <w:szCs w:val="20"/>
        </w:rPr>
        <w:t>ữ</w:t>
      </w:r>
      <w:r w:rsidRPr="006C30A0">
        <w:rPr>
          <w:rFonts w:ascii="Arial" w:hAnsi="Arial" w:cs="Arial"/>
          <w:sz w:val="20"/>
          <w:szCs w:val="20"/>
        </w:rPr>
        <w:t xml:space="preserve"> 01 b</w:t>
      </w:r>
      <w:r w:rsidRPr="006C30A0">
        <w:rPr>
          <w:rFonts w:ascii="Arial" w:hAnsi="Arial" w:cs="Arial"/>
          <w:sz w:val="20"/>
          <w:szCs w:val="20"/>
        </w:rPr>
        <w:t>ả</w:t>
      </w:r>
      <w:r w:rsidRPr="006C30A0">
        <w:rPr>
          <w:rFonts w:ascii="Arial" w:hAnsi="Arial" w:cs="Arial"/>
          <w:sz w:val="20"/>
          <w:szCs w:val="20"/>
        </w:rPr>
        <w:t>n.</w:t>
      </w:r>
    </w:p>
    <w:sectPr w:rsidR="007C5AD2" w:rsidRPr="006C30A0" w:rsidSect="006038A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5086" w14:textId="77777777" w:rsidR="00B37C51" w:rsidRDefault="00B37C51">
      <w:pPr>
        <w:spacing w:after="0" w:line="240" w:lineRule="auto"/>
      </w:pPr>
      <w:r>
        <w:separator/>
      </w:r>
    </w:p>
  </w:endnote>
  <w:endnote w:type="continuationSeparator" w:id="0">
    <w:p w14:paraId="5B771DF9" w14:textId="77777777" w:rsidR="00B37C51" w:rsidRDefault="00B3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D163" w14:textId="77777777" w:rsidR="00B37C51" w:rsidRDefault="00B37C51">
      <w:pPr>
        <w:spacing w:after="0" w:line="240" w:lineRule="auto"/>
      </w:pPr>
      <w:r>
        <w:separator/>
      </w:r>
    </w:p>
  </w:footnote>
  <w:footnote w:type="continuationSeparator" w:id="0">
    <w:p w14:paraId="0E5E753B" w14:textId="77777777" w:rsidR="00B37C51" w:rsidRDefault="00B37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D2"/>
    <w:rsid w:val="001177B2"/>
    <w:rsid w:val="002E152F"/>
    <w:rsid w:val="00303213"/>
    <w:rsid w:val="005E6F5F"/>
    <w:rsid w:val="006038A7"/>
    <w:rsid w:val="00662F07"/>
    <w:rsid w:val="006C30A0"/>
    <w:rsid w:val="007C5AD2"/>
    <w:rsid w:val="00854225"/>
    <w:rsid w:val="00943520"/>
    <w:rsid w:val="009E627E"/>
    <w:rsid w:val="00B37C51"/>
    <w:rsid w:val="00D1132E"/>
    <w:rsid w:val="00DB4E58"/>
    <w:rsid w:val="00E4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D489"/>
  <w15:docId w15:val="{CC6816B3-4D99-4FD3-993B-31569B0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8A7"/>
  </w:style>
  <w:style w:type="paragraph" w:styleId="Footer">
    <w:name w:val="footer"/>
    <w:basedOn w:val="Normal"/>
    <w:link w:val="FooterChar"/>
    <w:uiPriority w:val="99"/>
    <w:unhideWhenUsed/>
    <w:rsid w:val="0060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8A7"/>
  </w:style>
  <w:style w:type="table" w:styleId="TableGrid">
    <w:name w:val="Table Grid"/>
    <w:basedOn w:val="TableNormal"/>
    <w:uiPriority w:val="39"/>
    <w:rsid w:val="0060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11650</Words>
  <Characters>66405</Characters>
  <Application>Microsoft Office Word</Application>
  <DocSecurity>0</DocSecurity>
  <Lines>553</Lines>
  <Paragraphs>155</Paragraphs>
  <ScaleCrop>false</ScaleCrop>
  <Company/>
  <LinksUpToDate>false</LinksUpToDate>
  <CharactersWithSpaces>77900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2026-02-01T15:02:00Z</dcterms:created>
  <dcterms:modified xsi:type="dcterms:W3CDTF">2026-02-02T02:09:00Z</dcterms:modified>
</cp:coreProperties>
</file>