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E1082" w:rsidRPr="00A13C91" w14:paraId="4ECBA769" w14:textId="77777777" w:rsidTr="00E743C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40A5" w14:textId="17A7D509" w:rsidR="006E1082" w:rsidRPr="00A13C91" w:rsidRDefault="006E1082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BỘ TÀI CHÍNH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359D128" w14:textId="763759F8" w:rsidR="006E1082" w:rsidRPr="00A13C91" w:rsidRDefault="006E1082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6E1082">
              <w:rPr>
                <w:rFonts w:ascii="Arial" w:hAnsi="Arial" w:cs="Arial"/>
                <w:color w:val="000000"/>
                <w:sz w:val="20"/>
                <w:szCs w:val="20"/>
              </w:rPr>
              <w:t>69/2026/TT-BTC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D5DA" w14:textId="77777777" w:rsidR="006E1082" w:rsidRPr="00A13C91" w:rsidRDefault="006E1082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5F4E02BB" w14:textId="438AFF6F" w:rsidR="006E1082" w:rsidRPr="00D30F81" w:rsidRDefault="00D30F81" w:rsidP="00D30F81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Nội, ngày 22 tháng 6 năm 2026</w:t>
            </w:r>
          </w:p>
        </w:tc>
      </w:tr>
    </w:tbl>
    <w:p w14:paraId="4013DE3A" w14:textId="77777777" w:rsidR="006E1082" w:rsidRDefault="006E1082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56D6234F" w14:textId="77777777" w:rsidR="00D30F81" w:rsidRDefault="00D30F81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6BE19142" w14:textId="77777777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478E917A" w14:textId="77777777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Hư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ẫ</w:t>
      </w:r>
      <w:r>
        <w:rPr>
          <w:rFonts w:ascii="Arial" w:hAnsi="Arial"/>
          <w:b/>
          <w:sz w:val="20"/>
        </w:rPr>
        <w:t>n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chi,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chi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thù trong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i dung chi ngân </w:t>
      </w:r>
      <w:r>
        <w:br/>
      </w:r>
      <w:r>
        <w:rPr>
          <w:rFonts w:ascii="Arial" w:hAnsi="Arial"/>
          <w:b/>
          <w:sz w:val="20"/>
        </w:rPr>
        <w:t>sách cho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</w:t>
      </w:r>
      <w:r>
        <w:br/>
      </w:r>
      <w:r>
        <w:rPr>
          <w:rFonts w:ascii="Arial" w:hAnsi="Arial"/>
          <w:b/>
          <w:sz w:val="20"/>
        </w:rPr>
        <w:t>200/2025/NĐ-CP ngày 09 tháng 7 năm 2025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chi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t </w:t>
      </w:r>
      <w:r>
        <w:br/>
      </w: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39B3A12B" w14:textId="77777777" w:rsidR="00D30F81" w:rsidRDefault="00D30F81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436FE2F1" w14:textId="46760BE8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89/2025/QH15;</w:t>
      </w:r>
    </w:p>
    <w:p w14:paraId="3662076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Phòng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dân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18/2023/QH15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11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quân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,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phòng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98/2025/QH15;</w:t>
      </w:r>
    </w:p>
    <w:p w14:paraId="69C3AC33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200/2025/NĐ-CP ngày 09 tháng 7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Phòng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d</w:t>
      </w:r>
      <w:r>
        <w:rPr>
          <w:rFonts w:ascii="Arial" w:hAnsi="Arial"/>
          <w:i/>
          <w:sz w:val="20"/>
        </w:rPr>
        <w:t>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;</w:t>
      </w:r>
    </w:p>
    <w:p w14:paraId="12B204EF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166/2025/NĐ-CP;</w:t>
      </w:r>
    </w:p>
    <w:p w14:paraId="5274079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 xml:space="preserve">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c phòng, an </w:t>
      </w:r>
      <w:r>
        <w:rPr>
          <w:rFonts w:ascii="Arial" w:hAnsi="Arial"/>
          <w:i/>
          <w:sz w:val="20"/>
        </w:rPr>
        <w:t>ninh, đ</w:t>
      </w:r>
      <w:r>
        <w:rPr>
          <w:rFonts w:ascii="Arial" w:hAnsi="Arial"/>
          <w:i/>
          <w:sz w:val="20"/>
        </w:rPr>
        <w:t>ặ</w:t>
      </w:r>
      <w:r>
        <w:rPr>
          <w:rFonts w:ascii="Arial" w:hAnsi="Arial"/>
          <w:i/>
          <w:sz w:val="20"/>
        </w:rPr>
        <w:t>c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t;</w:t>
      </w:r>
    </w:p>
    <w:p w14:paraId="4853D943" w14:textId="77777777" w:rsidR="00AD1181" w:rsidRDefault="00665184" w:rsidP="00D30F8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n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dung chi, m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chi đ</w:t>
      </w:r>
      <w:r>
        <w:rPr>
          <w:rFonts w:ascii="Arial" w:hAnsi="Arial"/>
          <w:i/>
          <w:sz w:val="20"/>
        </w:rPr>
        <w:t>ặ</w:t>
      </w:r>
      <w:r>
        <w:rPr>
          <w:rFonts w:ascii="Arial" w:hAnsi="Arial"/>
          <w:i/>
          <w:sz w:val="20"/>
        </w:rPr>
        <w:t>c thù trong n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dung chi ngân sách cho 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phòng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dân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i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41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200/2025/NĐ-CP ngày 09 tháng 7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</w:t>
      </w:r>
      <w:r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Phòng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dân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.</w:t>
      </w:r>
    </w:p>
    <w:p w14:paraId="017C7BF0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4DF7C25B" w14:textId="77777777" w:rsidR="00D30F81" w:rsidRDefault="00665184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 </w:t>
      </w:r>
    </w:p>
    <w:p w14:paraId="53C2BC06" w14:textId="4D3D9130" w:rsidR="00AD1181" w:rsidRDefault="00665184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0984F87D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70B4267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4A349FD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Thông tư này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chi,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trong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chi ngân sách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200/2025/NĐ-CP ngày 09 tháng 7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5FE4B14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6371D725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Thông tư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là công dân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đang</w:t>
      </w:r>
      <w:r>
        <w:rPr>
          <w:rFonts w:ascii="Arial" w:hAnsi="Arial"/>
          <w:sz w:val="20"/>
        </w:rPr>
        <w:t xml:space="preserve"> cư trú,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tham gia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trên lãnh th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215784EE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kinh phí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359353D0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Ngân sách trung 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kinh phí cho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các t</w:t>
      </w:r>
      <w:r>
        <w:rPr>
          <w:rFonts w:ascii="Arial" w:hAnsi="Arial"/>
          <w:sz w:val="20"/>
        </w:rPr>
        <w:t>ổ</w:t>
      </w:r>
    </w:p>
    <w:p w14:paraId="700312A0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40EE699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Ngân sách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kinh phí cho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15552A82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Trung ương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7F4C8B99" w14:textId="77777777" w:rsidR="00AD1181" w:rsidRDefault="00665184" w:rsidP="00D30F8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4.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kinh phí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ó).</w:t>
      </w:r>
    </w:p>
    <w:p w14:paraId="4056D9FB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36946CA3" w14:textId="77777777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77186D06" w14:textId="77777777" w:rsidR="00AD1181" w:rsidRDefault="00665184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CHI THƯ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XUYÊN</w:t>
      </w:r>
    </w:p>
    <w:p w14:paraId="00F150B2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  <w:bookmarkStart w:id="1" w:name="_GoBack"/>
      <w:bookmarkEnd w:id="1"/>
    </w:p>
    <w:p w14:paraId="7F1B67C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Chi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xuyên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Ban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gia, cơ quan,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giao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thư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Ban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huy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b</w:t>
      </w:r>
      <w:r>
        <w:rPr>
          <w:rFonts w:ascii="Arial" w:hAnsi="Arial"/>
          <w:b/>
          <w:sz w:val="20"/>
        </w:rPr>
        <w:t>ộ</w:t>
      </w:r>
    </w:p>
    <w:p w14:paraId="59692D03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chi:</w:t>
      </w:r>
    </w:p>
    <w:p w14:paraId="32F09F5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tư, văn phòng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liên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và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khác;</w:t>
      </w:r>
    </w:p>
    <w:p w14:paraId="541D7883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kiêm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m;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chuyên gia,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</w:t>
      </w:r>
    </w:p>
    <w:p w14:paraId="09A5245E" w14:textId="1517ABC1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làm thêm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, công tác phí và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sách có liên quan cho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tham gia công tác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ban,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tham gia các đoàn công tác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1F70D768" w14:textId="4824B79F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Chi phí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tin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(C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Thông tin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đài 112;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quan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báo chuyên dùng;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theo dõi, giám sát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công trình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thông tin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;...).</w:t>
      </w:r>
    </w:p>
    <w:p w14:paraId="47047F88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</w:t>
      </w:r>
    </w:p>
    <w:p w14:paraId="129D5A9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kiêm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204/2004/NĐ-CP ngày 14 tháng 12 năm 2004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vũ trang và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78/2005/TT-BNV ngày 10 tháng 8 năm 2005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kiêm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kiêm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khác;</w:t>
      </w:r>
    </w:p>
    <w:p w14:paraId="39A88EE5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Chi thuê chuyên gia: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7/2026/TT-BNV ngày 05 tháng 5 năm 2026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chuyên gia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làm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giá gói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</w:t>
      </w:r>
    </w:p>
    <w:p w14:paraId="127ECAB3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theo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theo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lương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ngân sách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2532F0E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làm thêm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: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thêm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và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làm thêm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98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55,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56,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57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145/2020/NĐ-CP ngày 14 tháng 12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</w:t>
      </w:r>
    </w:p>
    <w:p w14:paraId="2E50600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Chi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ng, thuê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cung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tin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45/2026/NĐ-CP ngày 26 tháng 01 năm 2026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tư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hành;</w:t>
      </w:r>
    </w:p>
    <w:p w14:paraId="5C81AAE9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chưa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chi: Theo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giao.</w:t>
      </w:r>
    </w:p>
    <w:p w14:paraId="7586A4D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Chi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công,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chính sách, các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p, các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đóng góp theo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công</w:t>
      </w:r>
    </w:p>
    <w:p w14:paraId="496E405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chính sách,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đóng góp theo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vũ trang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5A7360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</w:t>
      </w:r>
      <w:r>
        <w:rPr>
          <w:rFonts w:ascii="Arial" w:hAnsi="Arial"/>
          <w:b/>
          <w:sz w:val="20"/>
        </w:rPr>
        <w:t xml:space="preserve"> Chi duy trì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phương ti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n, trang thi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1AD07E0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duy trì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đăng ký, đăng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giá do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theo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4B7F204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Chi t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hu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n, hu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 luy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n, di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; chi đào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o, nghiên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 khoa h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c</w:t>
      </w:r>
    </w:p>
    <w:p w14:paraId="6705AF1C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Chi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chi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100/2025/TT-BTC ngày 28 tháng 10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toán kinh phí </w:t>
      </w:r>
      <w:r>
        <w:rPr>
          <w:rFonts w:ascii="Arial" w:hAnsi="Arial"/>
          <w:sz w:val="20"/>
        </w:rPr>
        <w:t>dành cho công tác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03/2023/TT-BTC ngày 10 tháng 01 năm 2023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601BC04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kinh phí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chung vào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tài chính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3AC4E58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Chi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mua s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tư, trang thi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xuyên và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chuyên môn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244644B0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tư,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chuyên môn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mua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thanh toán theo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phát sinh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36C5C8B0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Chi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5CB0DCFB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công trình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kho tàng, thao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công trình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c):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65/2021/TT-BTC ngày 29 tháng 7 năm 2021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công.</w:t>
      </w:r>
    </w:p>
    <w:p w14:paraId="081A693F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Chi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tác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; thông tin, tuyên truy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n; công tác phí;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; thanh tra,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tra, sơ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t, khen thư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phòng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7844441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công tác phí; chi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đoàn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 chi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sơ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40/2017/TT-BTC ngày 28 tháng 4 năm 2017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tác phí,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12/2025/TT-BTC ngày 19 tháng 3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chính;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35/2026/TT-BTC ngày 31 tháng 3 năm 2026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khác</w:t>
      </w:r>
      <w:r>
        <w:rPr>
          <w:rFonts w:ascii="Arial" w:hAnsi="Arial"/>
          <w:sz w:val="20"/>
        </w:rPr>
        <w:t>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vào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khách trong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140/2025/TT-BTC ngày 30 tháng 12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tác phí đi công tác ng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do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kinh phí.</w:t>
      </w:r>
    </w:p>
    <w:p w14:paraId="6DF60F82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 thông tin,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56/2023/TT-BTC ngày 18 tháng 8 năm 2023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m cho công </w:t>
      </w:r>
      <w:r>
        <w:rPr>
          <w:rFonts w:ascii="Arial" w:hAnsi="Arial"/>
          <w:sz w:val="20"/>
        </w:rPr>
        <w:t>tác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hòa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.</w:t>
      </w:r>
    </w:p>
    <w:p w14:paraId="13BDDB8D" w14:textId="43A5248E" w:rsidR="00AD1181" w:rsidRDefault="00665184" w:rsidP="00D30F8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Chi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đua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06/2022/QH15,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06/2026/QH16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152</w:t>
      </w:r>
      <w:r>
        <w:rPr>
          <w:rFonts w:ascii="Arial" w:hAnsi="Arial"/>
          <w:sz w:val="20"/>
        </w:rPr>
        <w:t>/2025/NĐ-CP ngày 14 tháng 06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phân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đua,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đua,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ng.</w:t>
      </w:r>
    </w:p>
    <w:p w14:paraId="525B0B58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759C644B" w14:textId="77777777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0BC09AAB" w14:textId="1BBBFD9E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CHI THANH TOÁN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</w:t>
      </w:r>
      <w:r w:rsidR="00D30F81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PHÁT SINH TRONG NĂM CHO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NG PHÒNG </w:t>
      </w:r>
      <w:r w:rsidR="00D30F81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6675002A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76FA4AB0" w14:textId="09CF0810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Chi phí nguyên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nhiên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trang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cung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cho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7B104775" w14:textId="3433465F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xăng,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than,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thép, xi măng,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đá, s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i, g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, phên, </w:t>
      </w:r>
      <w:r w:rsidR="00C90818">
        <w:rPr>
          <w:rFonts w:ascii="Arial" w:hAnsi="Arial"/>
          <w:sz w:val="20"/>
        </w:rPr>
        <w:t xml:space="preserve">tre,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bao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hóa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men và các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3A9247B8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bên ngoài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</w:t>
      </w:r>
      <w:r>
        <w:rPr>
          <w:rFonts w:ascii="Arial" w:hAnsi="Arial"/>
          <w:sz w:val="20"/>
        </w:rPr>
        <w:t>nh toán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thông qua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giá do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có giá do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thì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giá mua bán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thanh toán.</w:t>
      </w:r>
    </w:p>
    <w:p w14:paraId="18D62D32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Chi phí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ăn thêm, b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>ng cho các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tham gia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6B909859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thêm tính theo ngày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01 ngày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Dân quân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25318F9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tăng cư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(bao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đài 112)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cơ quan tham mưu, giúp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cho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thêm tính theo ngày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cơ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01 ngày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Dân quân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</w:t>
      </w:r>
    </w:p>
    <w:p w14:paraId="795E2DB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nào thì do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D0C45C8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hi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cho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trong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ngày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ngày công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Dân quân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không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đi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khi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trên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4ADDD901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13. Chi phí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u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n,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y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cho các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tham gia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3BDAE2EA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tai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toán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than</w:t>
      </w:r>
      <w:r>
        <w:rPr>
          <w:rFonts w:ascii="Arial" w:hAnsi="Arial"/>
          <w:sz w:val="20"/>
        </w:rPr>
        <w:t>h toán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sau khi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do cơ quan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574005E5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ngoài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khám,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còn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ngày công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như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Dân quân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Dân quân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Dân quân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.</w:t>
      </w:r>
    </w:p>
    <w:p w14:paraId="4E2F08B1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chi mua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 nhân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(qu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áo, nhu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m),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ăn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nơi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. Trong tr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nơi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thanh toán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40/2017/TT-BTC ngày 28 tháng 4 n</w:t>
      </w:r>
      <w:r>
        <w:rPr>
          <w:rFonts w:ascii="Arial" w:hAnsi="Arial"/>
          <w:sz w:val="20"/>
        </w:rPr>
        <w:t>ăm 2017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tác phí,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12/2025/TT-BTC ngày 19 tháng 3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chính.</w:t>
      </w:r>
    </w:p>
    <w:p w14:paraId="7D6D5AB8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Chi thuê,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a, đ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bù phương ti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tham gia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theo l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 huy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ng,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có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</w:t>
      </w:r>
    </w:p>
    <w:p w14:paraId="673E3EA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cho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là các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khi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không và các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59F75A2C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Chi phí thuê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toán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phí thuê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khi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thông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khi phát sinh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14B365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Chi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quan, đơn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trong quá trình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mà làm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thì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thanh toán chi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ban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thanh toán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toán cho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phát sinh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lý,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sau khi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do cơ quan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3D702762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Chi phí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bù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trong quá trình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mà làm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(đ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c)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bù.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bù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thì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bù theo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2A39F8A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Chi phí khác có liên quan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2A2C3445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khác có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tương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 Tham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chi có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tương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theo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giao.</w:t>
      </w:r>
    </w:p>
    <w:p w14:paraId="7CDE0B50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và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thanh toán kinh phí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cho các cá nhân,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huy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6D64EA81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“Quy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ng”.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nhưng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trong vòng 05 (năm)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).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này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kéo dài nhưng không quá 10 (mư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i) ngày.</w:t>
      </w:r>
    </w:p>
    <w:p w14:paraId="53854D2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</w:t>
      </w:r>
      <w:r>
        <w:rPr>
          <w:rFonts w:ascii="Arial" w:hAnsi="Arial"/>
          <w:sz w:val="20"/>
        </w:rPr>
        <w:t>ng vòng 15 (mư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lăm)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các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tham gia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chi phí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3BEE89FE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các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chi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này;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chi phí có liên </w:t>
      </w:r>
      <w:r>
        <w:rPr>
          <w:rFonts w:ascii="Arial" w:hAnsi="Arial"/>
          <w:sz w:val="20"/>
        </w:rPr>
        <w:t>quan cho các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tham gia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trong vòng 30 (ba mươi)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thanh toán.</w:t>
      </w:r>
    </w:p>
    <w:p w14:paraId="4930BC86" w14:textId="19589944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 w:rsidR="00916B32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toán:</w:t>
      </w:r>
    </w:p>
    <w:p w14:paraId="6DBD460E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phí nguyên l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: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toán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(i)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(ii)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kê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giá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11357E13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phí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ăn thêm,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cho các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tham gia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toán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(i)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(ii)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kê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4C326376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phí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cho các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tham gia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: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toán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(i)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(ii)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kê xá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chi phí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chi phí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tai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 (iii) Hóa</w:t>
      </w:r>
      <w:r>
        <w:rPr>
          <w:rFonts w:ascii="Arial" w:hAnsi="Arial"/>
          <w:sz w:val="20"/>
        </w:rPr>
        <w:t xml:space="preserve">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toán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toán chi mua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 nhân và thuê phòng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441E876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chi phí thuê,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bù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n: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toán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(i)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  <w:r>
        <w:rPr>
          <w:rFonts w:ascii="Arial" w:hAnsi="Arial"/>
          <w:sz w:val="20"/>
        </w:rPr>
        <w:t xml:space="preserve"> (ii)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(iii)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kê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Ban </w:t>
      </w:r>
      <w:r>
        <w:rPr>
          <w:rFonts w:ascii="Arial" w:hAnsi="Arial"/>
          <w:sz w:val="20"/>
        </w:rPr>
        <w:lastRenderedPageBreak/>
        <w:t>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ng; (iv)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toán chi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(v)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toán các chi phí phát sinh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huy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623E271A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toán,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toán,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qua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347/2025/NĐ-CP ngày 29 tháng </w:t>
      </w:r>
      <w:r>
        <w:rPr>
          <w:rFonts w:ascii="Arial" w:hAnsi="Arial"/>
          <w:sz w:val="20"/>
        </w:rPr>
        <w:t>12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056F0DBB" w14:textId="064E2E9A" w:rsidR="00AD1181" w:rsidRDefault="00665184" w:rsidP="00D30F8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thanh toán ngay các chi phí cho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tham gia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khi chưa hoàn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</w:t>
      </w:r>
      <w:r>
        <w:rPr>
          <w:rFonts w:ascii="Arial" w:hAnsi="Arial"/>
          <w:sz w:val="20"/>
        </w:rPr>
        <w:t>toán,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 </w:t>
      </w:r>
      <w:r w:rsidR="00C90818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nơi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kinh phí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34328394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106E6706" w14:textId="77777777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76730B79" w14:textId="7603FCA0" w:rsidR="00AD1181" w:rsidRDefault="00665184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TOÁN, PHÂN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VÀ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OÁN KINH PHÍ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O </w:t>
      </w:r>
      <w:r w:rsidR="00D30F81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CHO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PHÒNG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DÂN S</w:t>
      </w:r>
      <w:r>
        <w:rPr>
          <w:rFonts w:ascii="Arial" w:hAnsi="Arial"/>
          <w:b/>
          <w:sz w:val="20"/>
        </w:rPr>
        <w:t>Ự</w:t>
      </w:r>
    </w:p>
    <w:p w14:paraId="2B870628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368C06EF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p, phân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toán kinh phí</w:t>
      </w:r>
    </w:p>
    <w:p w14:paraId="34F2E0E8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hàng năm,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mình,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xem xét,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chung vào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tài chính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Riêng chi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chung.</w:t>
      </w:r>
    </w:p>
    <w:p w14:paraId="64AAF53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hàng năm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giao,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trung ương và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và giao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0D8DAC54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trong năm phát sinh cá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 liên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báo cáo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cân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0F18BD3A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toán kinh phí</w:t>
      </w:r>
    </w:p>
    <w:p w14:paraId="43202214" w14:textId="2E4E8B16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năm tài chính,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báo cáo tài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có báo cáo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chung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chi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</w:t>
      </w:r>
      <w:r w:rsidR="00D30F8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42C82219" w14:textId="5E90E210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</w:t>
      </w:r>
      <w:r w:rsidR="00D30F8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kinh phí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đã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chung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hành.</w:t>
      </w:r>
    </w:p>
    <w:p w14:paraId="12D0E1D7" w14:textId="0BAD1EEA" w:rsidR="00AD1181" w:rsidRDefault="00665184" w:rsidP="00D30F8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cơ </w:t>
      </w:r>
      <w:r>
        <w:rPr>
          <w:rFonts w:ascii="Arial" w:hAnsi="Arial"/>
          <w:sz w:val="20"/>
        </w:rPr>
        <w:t>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</w:t>
      </w:r>
      <w:r w:rsidR="00D30F8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các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13D0EAAE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7274B6E4" w14:textId="77777777" w:rsidR="00AD1181" w:rsidRDefault="00665184" w:rsidP="00D30F81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</w:t>
      </w:r>
    </w:p>
    <w:p w14:paraId="0299351B" w14:textId="77777777" w:rsidR="00AD1181" w:rsidRDefault="00665184" w:rsidP="00D30F81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1DE05D4A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</w:pPr>
    </w:p>
    <w:p w14:paraId="4A96EC0E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1AEAA51D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đã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Thông tư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nhưng chưa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toán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36CD13B7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c thi hành </w:t>
      </w:r>
      <w:r>
        <w:rPr>
          <w:rFonts w:ascii="Arial" w:hAnsi="Arial"/>
          <w:b/>
          <w:sz w:val="20"/>
        </w:rPr>
        <w:t>và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</w:t>
      </w:r>
    </w:p>
    <w:p w14:paraId="747A2693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06 tháng 8 năm 2026.</w:t>
      </w:r>
    </w:p>
    <w:p w14:paraId="0D26C01B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này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92/2009/TT-BTC ngày 12 tháng 5 năm 2009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toán kinh phí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cho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tìm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phó thiên tai,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và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85/2020/TT-BTC ngày 01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phí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thiên tai và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thiên tai và tìm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22A47219" w14:textId="77777777" w:rsidR="00AD1181" w:rsidRDefault="00665184" w:rsidP="00D30F81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đó.</w:t>
      </w:r>
    </w:p>
    <w:p w14:paraId="19B9FBF5" w14:textId="77777777" w:rsidR="00AD1181" w:rsidRDefault="00665184" w:rsidP="00D30F81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4. Tron</w:t>
      </w:r>
      <w:r>
        <w:rPr>
          <w:rFonts w:ascii="Arial" w:hAnsi="Arial"/>
          <w:sz w:val="20"/>
        </w:rPr>
        <w:t>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phát sinh khó khăn,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sung.</w:t>
      </w:r>
    </w:p>
    <w:p w14:paraId="0EC63433" w14:textId="77777777" w:rsidR="00D30F81" w:rsidRDefault="00D30F81" w:rsidP="00D30F81">
      <w:pPr>
        <w:adjustRightInd w:val="0"/>
        <w:snapToGrid w:val="0"/>
        <w:spacing w:after="0" w:line="240" w:lineRule="auto"/>
        <w:ind w:firstLine="720"/>
        <w:jc w:val="both"/>
        <w:rPr>
          <w:noProof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782"/>
      </w:tblGrid>
      <w:tr w:rsidR="00D30F81" w:rsidRPr="00904D3E" w14:paraId="07631F6A" w14:textId="77777777" w:rsidTr="00D30F81">
        <w:trPr>
          <w:tblCellSpacing w:w="0" w:type="dxa"/>
        </w:trPr>
        <w:tc>
          <w:tcPr>
            <w:tcW w:w="29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F103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 w:rsidRPr="00904D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904D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10ECDA15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697710DF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Đảng và các Ban của Đảng;</w:t>
            </w:r>
          </w:p>
          <w:p w14:paraId="17CF3286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02D20DA8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4F62AABD" w14:textId="7116CC86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173D0429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1AD547CD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03305214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6FC96B21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1D1FD517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Bộ;</w:t>
            </w:r>
          </w:p>
          <w:p w14:paraId="693EA6C0" w14:textId="3C632811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238FF3F6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đoàn thể;</w:t>
            </w:r>
          </w:p>
          <w:p w14:paraId="648EE088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phố;</w:t>
            </w:r>
          </w:p>
          <w:p w14:paraId="5848BC23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Sở Tài chính các tỉnh, thành phố;</w:t>
            </w:r>
          </w:p>
          <w:p w14:paraId="796678C8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Kho bạc Nhà nước các khu vực;</w:t>
            </w:r>
          </w:p>
          <w:p w14:paraId="6B348A56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Cục Kiểm tra văn bản và Tổ chức thi hành pháp luật, Bộ Tư pháp;</w:t>
            </w:r>
          </w:p>
          <w:p w14:paraId="59AC04D8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Công báo;</w:t>
            </w:r>
          </w:p>
          <w:p w14:paraId="3742B932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sở dữ liệu quốc gia về pháp luật;</w:t>
            </w:r>
          </w:p>
          <w:p w14:paraId="15C78E21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thông tin điện tử Chính phủ;</w:t>
            </w:r>
          </w:p>
          <w:p w14:paraId="23A44F19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thông tin điện tử Bộ Tài chính;</w:t>
            </w:r>
          </w:p>
          <w:p w14:paraId="717B3404" w14:textId="77777777" w:rsid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đơn vị thuộc và trực thuộc Bộ Tài chính;</w:t>
            </w:r>
          </w:p>
          <w:p w14:paraId="6CBD76EC" w14:textId="6D030A7E" w:rsidR="00D30F81" w:rsidRPr="00D30F81" w:rsidRDefault="00D30F81" w:rsidP="00D30F81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VT. VI (10 bản).</w:t>
            </w:r>
          </w:p>
          <w:p w14:paraId="3B882AA1" w14:textId="77777777" w:rsidR="00D30F81" w:rsidRPr="00904D3E" w:rsidRDefault="00D30F81" w:rsidP="00D30F8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35BB" w14:textId="77777777" w:rsidR="00D30F81" w:rsidRPr="00904D3E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D3E">
              <w:rPr>
                <w:rFonts w:ascii="Arial" w:hAnsi="Arial" w:cs="Arial"/>
                <w:b/>
                <w:bCs/>
                <w:sz w:val="20"/>
                <w:szCs w:val="20"/>
              </w:rPr>
              <w:t>KT. BỘ TRƯỞNG</w:t>
            </w:r>
          </w:p>
          <w:p w14:paraId="0E923F92" w14:textId="77777777" w:rsidR="00D30F81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D3E">
              <w:rPr>
                <w:rFonts w:ascii="Arial" w:hAnsi="Arial" w:cs="Arial"/>
                <w:b/>
                <w:bCs/>
                <w:sz w:val="20"/>
                <w:szCs w:val="20"/>
              </w:rPr>
              <w:t>THỨ TRƯỞNG</w:t>
            </w:r>
          </w:p>
          <w:p w14:paraId="2A7B75CC" w14:textId="77777777" w:rsidR="00D30F81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1C939" w14:textId="77777777" w:rsidR="00D30F81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EF5718" w14:textId="77777777" w:rsidR="00D30F81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EC329D" w14:textId="0644460F" w:rsidR="00D30F81" w:rsidRPr="00904D3E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Trần Quốc Phương</w:t>
            </w:r>
          </w:p>
          <w:p w14:paraId="1B9D889A" w14:textId="77777777" w:rsidR="00D30F81" w:rsidRPr="00904D3E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E3724" w14:textId="77777777" w:rsidR="00D30F81" w:rsidRPr="00904D3E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E62696" w14:textId="77777777" w:rsidR="00D30F81" w:rsidRPr="00904D3E" w:rsidRDefault="00D30F81" w:rsidP="00D30F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9AC300" w14:textId="77777777" w:rsidR="00D30F81" w:rsidRDefault="00D30F81" w:rsidP="00D30F81">
      <w:pPr>
        <w:adjustRightInd w:val="0"/>
        <w:snapToGrid w:val="0"/>
        <w:spacing w:after="120" w:line="240" w:lineRule="auto"/>
        <w:ind w:firstLine="720"/>
        <w:jc w:val="both"/>
        <w:rPr>
          <w:noProof/>
        </w:rPr>
      </w:pPr>
    </w:p>
    <w:sectPr w:rsidR="00D30F81" w:rsidSect="00D30F8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21C3" w14:textId="77777777" w:rsidR="00665184" w:rsidRDefault="00665184">
      <w:pPr>
        <w:spacing w:after="0" w:line="240" w:lineRule="auto"/>
      </w:pPr>
      <w:r>
        <w:separator/>
      </w:r>
    </w:p>
  </w:endnote>
  <w:endnote w:type="continuationSeparator" w:id="0">
    <w:p w14:paraId="5ADD1DC6" w14:textId="77777777" w:rsidR="00665184" w:rsidRDefault="0066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7D200" w14:textId="77777777" w:rsidR="00665184" w:rsidRDefault="00665184">
      <w:pPr>
        <w:spacing w:after="0" w:line="240" w:lineRule="auto"/>
      </w:pPr>
      <w:r>
        <w:separator/>
      </w:r>
    </w:p>
  </w:footnote>
  <w:footnote w:type="continuationSeparator" w:id="0">
    <w:p w14:paraId="59C3618E" w14:textId="77777777" w:rsidR="00665184" w:rsidRDefault="00665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81"/>
    <w:rsid w:val="004B3315"/>
    <w:rsid w:val="005C418E"/>
    <w:rsid w:val="00665184"/>
    <w:rsid w:val="006E1082"/>
    <w:rsid w:val="007D7CA7"/>
    <w:rsid w:val="00916B32"/>
    <w:rsid w:val="00AD1181"/>
    <w:rsid w:val="00C90818"/>
    <w:rsid w:val="00D30F81"/>
    <w:rsid w:val="00EA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73B8"/>
  <w15:docId w15:val="{AB2BCBF1-765B-41FA-9B7F-8C9799A9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81"/>
  </w:style>
  <w:style w:type="paragraph" w:styleId="Footer">
    <w:name w:val="footer"/>
    <w:basedOn w:val="Normal"/>
    <w:link w:val="FooterChar"/>
    <w:uiPriority w:val="99"/>
    <w:unhideWhenUsed/>
    <w:rsid w:val="00D3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3735</Words>
  <Characters>21295</Characters>
  <Application>Microsoft Office Word</Application>
  <DocSecurity>0</DocSecurity>
  <Lines>177</Lines>
  <Paragraphs>49</Paragraphs>
  <ScaleCrop>false</ScaleCrop>
  <Company/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2026-06-25T09:37:00Z</dcterms:created>
  <dcterms:modified xsi:type="dcterms:W3CDTF">2026-06-26T01:27:00Z</dcterms:modified>
</cp:coreProperties>
</file>