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F6786B" w14:paraId="0F2C26DD" w14:textId="77777777">
        <w:tc>
          <w:tcPr>
            <w:tcW w:w="1645" w:type="pct"/>
          </w:tcPr>
          <w:p w14:paraId="46F727D1" w14:textId="77777777" w:rsidR="00F77CC3" w:rsidRDefault="00A47920" w:rsidP="00F77CC3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  <w:r>
              <w:br/>
            </w:r>
          </w:p>
          <w:p w14:paraId="1317BB85" w14:textId="6CDBCA92" w:rsidR="00F6786B" w:rsidRDefault="00A47920" w:rsidP="00F77CC3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217/2025/NĐ-CP</w:t>
            </w:r>
          </w:p>
        </w:tc>
        <w:tc>
          <w:tcPr>
            <w:tcW w:w="3355" w:type="pct"/>
          </w:tcPr>
          <w:p w14:paraId="10819C09" w14:textId="77777777" w:rsidR="00F6786B" w:rsidRDefault="00A47920" w:rsidP="00F77CC3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574BBA05" w14:textId="77777777" w:rsidR="00F6786B" w:rsidRDefault="00A47920" w:rsidP="00F77CC3">
            <w:pPr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</w:t>
            </w:r>
            <w:r>
              <w:rPr>
                <w:rFonts w:ascii="Arial" w:hAnsi="Arial"/>
                <w:i/>
                <w:sz w:val="20"/>
              </w:rPr>
              <w:t>ộ</w:t>
            </w:r>
            <w:r>
              <w:rPr>
                <w:rFonts w:ascii="Arial" w:hAnsi="Arial"/>
                <w:i/>
                <w:sz w:val="20"/>
              </w:rPr>
              <w:t>i, ngày 05 tháng 8 năm 2025</w:t>
            </w:r>
          </w:p>
        </w:tc>
      </w:tr>
    </w:tbl>
    <w:p w14:paraId="11D6CF75" w14:textId="77777777" w:rsidR="00A2690A" w:rsidRDefault="00A2690A" w:rsidP="00F77CC3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CF53322" w14:textId="77777777" w:rsidR="00A2690A" w:rsidRDefault="00A2690A" w:rsidP="00F77CC3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BDBA5FB" w14:textId="78E1793E" w:rsidR="00F6786B" w:rsidRDefault="00A47920" w:rsidP="00F77CC3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247B62C8" w14:textId="77777777" w:rsidR="00F6786B" w:rsidRDefault="00A47920" w:rsidP="00F77CC3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52034A3A" w14:textId="77777777" w:rsidR="00A2690A" w:rsidRDefault="00A2690A" w:rsidP="00F77CC3">
      <w:pPr>
        <w:spacing w:after="0" w:line="240" w:lineRule="auto"/>
        <w:jc w:val="center"/>
      </w:pPr>
    </w:p>
    <w:p w14:paraId="2C8948E8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29BEB33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Thanh tra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84/2025/QH15;</w:t>
      </w:r>
    </w:p>
    <w:p w14:paraId="13EF0587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ng Thanh tra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;</w:t>
      </w:r>
    </w:p>
    <w:p w14:paraId="53B3C1C4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ho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ki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tra chuyên ngành.</w:t>
      </w:r>
    </w:p>
    <w:p w14:paraId="6FC55ADA" w14:textId="77777777" w:rsidR="00F77CC3" w:rsidRDefault="00F77CC3" w:rsidP="005023F7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21D5F1C" w14:textId="326F3808" w:rsidR="00F6786B" w:rsidRDefault="00A47920" w:rsidP="005023F7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Chương I</w:t>
      </w:r>
      <w:r>
        <w:br/>
      </w:r>
      <w:r>
        <w:rPr>
          <w:rFonts w:ascii="Arial" w:hAnsi="Arial"/>
          <w:b/>
          <w:sz w:val="20"/>
        </w:rPr>
        <w:t>NH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NG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4FC0CC6C" w14:textId="77777777" w:rsidR="00F77CC3" w:rsidRDefault="00F77CC3" w:rsidP="005023F7">
      <w:pPr>
        <w:spacing w:after="0" w:line="240" w:lineRule="auto"/>
        <w:jc w:val="center"/>
      </w:pPr>
    </w:p>
    <w:p w14:paraId="2BD68605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5FE04747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tra chuyên </w:t>
      </w:r>
      <w:r>
        <w:rPr>
          <w:rFonts w:ascii="Arial" w:hAnsi="Arial"/>
          <w:sz w:val="20"/>
        </w:rPr>
        <w:t>ngành.</w:t>
      </w:r>
    </w:p>
    <w:p w14:paraId="3A1B6A5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48CBC654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đoàn, thành viên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cá nhân l</w:t>
      </w:r>
      <w:r>
        <w:rPr>
          <w:rFonts w:ascii="Arial" w:hAnsi="Arial"/>
          <w:sz w:val="20"/>
        </w:rPr>
        <w:t>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khác có liên quan.</w:t>
      </w:r>
    </w:p>
    <w:p w14:paraId="4C8450DE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đích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0B1F3203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xem xét, đánh giá,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</w:t>
      </w:r>
      <w:r>
        <w:rPr>
          <w:rFonts w:ascii="Arial" w:hAnsi="Arial"/>
          <w:sz w:val="20"/>
        </w:rPr>
        <w:t>yên ngành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nhân)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</w:t>
      </w:r>
    </w:p>
    <w:p w14:paraId="46CE5D01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nâng cao ý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ngành;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a,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ng</w:t>
      </w:r>
      <w:r>
        <w:rPr>
          <w:rFonts w:ascii="Arial" w:hAnsi="Arial"/>
          <w:sz w:val="20"/>
        </w:rPr>
        <w:t>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và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m; góp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nâng cao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 Qua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t</w:t>
      </w:r>
      <w:r>
        <w:rPr>
          <w:rFonts w:ascii="Arial" w:hAnsi="Arial"/>
          <w:sz w:val="20"/>
        </w:rPr>
        <w:t>hanh tra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khi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thì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5D2C6E0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</w:t>
      </w:r>
      <w:r>
        <w:rPr>
          <w:rFonts w:ascii="Arial" w:hAnsi="Arial"/>
          <w:b/>
          <w:sz w:val="20"/>
        </w:rPr>
        <w:t xml:space="preserve"> 4.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32248593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Tuân theo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khách quan,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chính xác.</w:t>
      </w:r>
    </w:p>
    <w:p w14:paraId="3E25182B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không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khác.</w:t>
      </w:r>
    </w:p>
    <w:p w14:paraId="301CF334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 liên quan; không gây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bình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</w:t>
      </w:r>
    </w:p>
    <w:p w14:paraId="61AAD39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theo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bàn, lãnh th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.</w:t>
      </w:r>
    </w:p>
    <w:p w14:paraId="7184A03F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Ưu tiên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xa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080480E9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kinh doanh, cá nh</w:t>
      </w:r>
      <w:r>
        <w:rPr>
          <w:rFonts w:ascii="Arial" w:hAnsi="Arial"/>
          <w:sz w:val="20"/>
        </w:rPr>
        <w:t>ân kinh doanh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FD20D0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Các hành vi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nghiêm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284AFA6C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</w:t>
      </w:r>
      <w:bookmarkStart w:id="0" w:name="_GoBack"/>
      <w:bookmarkEnd w:id="0"/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</w:t>
      </w:r>
    </w:p>
    <w:p w14:paraId="5F75C724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sách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u, gây phi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hà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c, cá nhân </w:t>
      </w:r>
      <w:r>
        <w:rPr>
          <w:rFonts w:ascii="Arial" w:hAnsi="Arial"/>
          <w:sz w:val="20"/>
        </w:rPr>
        <w:t>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44659BF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Can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091D8EE1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quà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tinh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nào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4DFF0509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ng trái pháp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quá trình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4B71060E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sai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</w:t>
      </w:r>
    </w:p>
    <w:p w14:paraId="4A02347B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Các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nghiêm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51A43404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</w:t>
      </w:r>
      <w:r>
        <w:rPr>
          <w:rFonts w:ascii="Arial" w:hAnsi="Arial"/>
          <w:sz w:val="20"/>
        </w:rPr>
        <w:t xml:space="preserve"> nhân có liên quan</w:t>
      </w:r>
    </w:p>
    <w:p w14:paraId="236C556C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đe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a, uy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quá trình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0E15CD28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Không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756C1E7E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Che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4FDAB2FF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Không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không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không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chính xác cho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1411B7C8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Đưa 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môi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tác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06C430A7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Các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nghiêm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148EB781" w14:textId="77777777" w:rsidR="005023F7" w:rsidRDefault="005023F7" w:rsidP="005023F7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F8B249A" w14:textId="6B4D6E56" w:rsidR="00F6786B" w:rsidRDefault="00A47920" w:rsidP="005023F7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0807E8B0" w14:textId="77777777" w:rsidR="00F6786B" w:rsidRDefault="00A47920" w:rsidP="005023F7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NGÀNH;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 </w:t>
      </w:r>
    </w:p>
    <w:p w14:paraId="5224DD5F" w14:textId="77777777" w:rsidR="005023F7" w:rsidRDefault="005023F7" w:rsidP="005023F7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2765904" w14:textId="7605A8AD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0141C752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</w:t>
      </w:r>
      <w:r>
        <w:rPr>
          <w:rFonts w:ascii="Arial" w:hAnsi="Arial"/>
          <w:sz w:val="20"/>
        </w:rPr>
        <w:t>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3885899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30BBCE2F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và tương đư</w:t>
      </w:r>
      <w:r>
        <w:rPr>
          <w:rFonts w:ascii="Arial" w:hAnsi="Arial"/>
          <w:sz w:val="20"/>
        </w:rPr>
        <w:t>ơng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2FE1B5E5" w14:textId="71EA95F2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010BDD59" w14:textId="11DE767B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các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giao tham mưu, giúp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3F3759ED" w14:textId="66254BD0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và tương đương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4981B49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cơ quan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ngành;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đơn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0FF9BB7B" w14:textId="379B05C2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</w:t>
      </w:r>
    </w:p>
    <w:p w14:paraId="7A9A211E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</w:t>
      </w:r>
    </w:p>
    <w:p w14:paraId="05F5680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tra;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</w:t>
      </w:r>
      <w:r>
        <w:rPr>
          <w:rFonts w:ascii="Arial" w:hAnsi="Arial"/>
          <w:sz w:val="20"/>
        </w:rPr>
        <w:t xml:space="preserve"> cơ quan khác theo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thì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32A465D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thanh tra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có 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p,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ngành,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khi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67E43475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38BD6BA8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báo cáo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55D7EF3C" w14:textId="06E0B3D4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</w:t>
      </w:r>
    </w:p>
    <w:p w14:paraId="5801BD84" w14:textId="6BDE941D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</w:t>
      </w:r>
      <w:r>
        <w:rPr>
          <w:rFonts w:ascii="Arial" w:hAnsi="Arial"/>
          <w:sz w:val="20"/>
        </w:rPr>
        <w:t xml:space="preserve"> ngành khi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giao.</w:t>
      </w:r>
    </w:p>
    <w:p w14:paraId="55D0604C" w14:textId="74DCCCC8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thì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trình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cơ quan </w:t>
      </w:r>
      <w:r>
        <w:rPr>
          <w:rFonts w:ascii="Arial" w:hAnsi="Arial"/>
          <w:sz w:val="20"/>
        </w:rPr>
        <w:t>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 ban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ch.</w:t>
      </w:r>
    </w:p>
    <w:p w14:paraId="360B1A4D" w14:textId="5380A302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cơ quan thanh tra có liên quan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p.</w:t>
      </w:r>
    </w:p>
    <w:p w14:paraId="62FCDBE1" w14:textId="662734A6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Thanh tra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cơ quan thanh tra có liên quan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p;</w:t>
      </w:r>
    </w:p>
    <w:p w14:paraId="198C33C3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Tham mưu,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tra;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tron</w:t>
      </w:r>
      <w:r>
        <w:rPr>
          <w:rFonts w:ascii="Arial" w:hAnsi="Arial"/>
          <w:sz w:val="20"/>
        </w:rPr>
        <w:t>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khác;</w:t>
      </w:r>
    </w:p>
    <w:p w14:paraId="32AA7E55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heo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thì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thông tin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xem xét,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51BD491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qua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thì k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cho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p;</w:t>
      </w:r>
    </w:p>
    <w:p w14:paraId="65A9B26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mà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tra </w:t>
      </w:r>
      <w:r>
        <w:rPr>
          <w:rFonts w:ascii="Arial" w:hAnsi="Arial"/>
          <w:sz w:val="20"/>
        </w:rPr>
        <w:t>không còn,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thanh tra, đã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3A2DD1F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Ra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các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sau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tra chuyên ngành;</w:t>
      </w:r>
    </w:p>
    <w:p w14:paraId="0ADDB613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báo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769E9E3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đoàn, thành viên Đoàn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3E2971D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</w:t>
      </w:r>
      <w:r>
        <w:rPr>
          <w:rFonts w:ascii="Arial" w:hAnsi="Arial"/>
          <w:sz w:val="20"/>
        </w:rPr>
        <w:t>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tra;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làm rõ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có liên quan.</w:t>
      </w:r>
    </w:p>
    <w:p w14:paraId="5701EDBF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ngành,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áp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</w:t>
      </w:r>
    </w:p>
    <w:p w14:paraId="000A96A7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chính,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chính.</w:t>
      </w:r>
    </w:p>
    <w:p w14:paraId="3142251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</w:t>
      </w:r>
    </w:p>
    <w:p w14:paraId="519695F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903F05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Qu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n,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</w:t>
      </w:r>
    </w:p>
    <w:p w14:paraId="4727D148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</w:t>
      </w:r>
    </w:p>
    <w:p w14:paraId="5D94A047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29D5BDEE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kinh doanh,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cá nhân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7E409C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không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525831F2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C80E729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830C5FF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</w:t>
      </w:r>
    </w:p>
    <w:p w14:paraId="222880A9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 không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gây khó khăn cho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trong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06DC8FA4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y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các thông tin,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khi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pháp, chính xác,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thông tin,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ã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p;</w:t>
      </w:r>
    </w:p>
    <w:p w14:paraId="567F3B8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</w:t>
      </w:r>
    </w:p>
    <w:p w14:paraId="6A1C7A2B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các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cá nhân có liên quan</w:t>
      </w:r>
    </w:p>
    <w:p w14:paraId="6187BDA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F8491EE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DC56A2B" w14:textId="77777777" w:rsidR="005023F7" w:rsidRDefault="005023F7" w:rsidP="005023F7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BDF2983" w14:textId="71B5FD5A" w:rsidR="00F6786B" w:rsidRDefault="00A47920" w:rsidP="005023F7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III</w:t>
      </w:r>
    </w:p>
    <w:p w14:paraId="0B483619" w14:textId="77777777" w:rsidR="00F6786B" w:rsidRDefault="00A47920" w:rsidP="005023F7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5453F04D" w14:textId="77777777" w:rsidR="005023F7" w:rsidRDefault="005023F7" w:rsidP="005023F7">
      <w:pPr>
        <w:spacing w:after="0" w:line="240" w:lineRule="auto"/>
        <w:jc w:val="center"/>
      </w:pPr>
    </w:p>
    <w:p w14:paraId="6C5016B3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m tra </w:t>
      </w:r>
      <w:r>
        <w:rPr>
          <w:rFonts w:ascii="Arial" w:hAnsi="Arial"/>
          <w:b/>
          <w:sz w:val="20"/>
        </w:rPr>
        <w:t>chuyên ngành</w:t>
      </w:r>
    </w:p>
    <w:p w14:paraId="5783C504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</w:t>
      </w:r>
    </w:p>
    <w:p w14:paraId="752A0B2F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ngành:</w:t>
      </w:r>
    </w:p>
    <w:p w14:paraId="68FBF705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ngành;</w:t>
      </w:r>
    </w:p>
    <w:p w14:paraId="254058D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Theo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309D7B7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249636A9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</w:t>
      </w:r>
    </w:p>
    <w:p w14:paraId="31BBAE3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a) Căn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0818208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20A4574C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5BB5D54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</w:t>
      </w:r>
    </w:p>
    <w:p w14:paraId="69C4CAE1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</w:t>
      </w:r>
    </w:p>
    <w:p w14:paraId="3DA806C2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khi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tang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72182554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Đoàn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235CF417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</w:t>
      </w:r>
      <w:r>
        <w:rPr>
          <w:rFonts w:ascii="Arial" w:hAnsi="Arial"/>
          <w:sz w:val="20"/>
        </w:rPr>
        <w:t>huyên ngành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và các thành viên.</w:t>
      </w:r>
    </w:p>
    <w:p w14:paraId="400CD179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đoàn, thành viên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am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có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c, chuyên môn phù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 không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xem xét,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xung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46CCF4DC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</w:t>
      </w:r>
      <w:r>
        <w:rPr>
          <w:rFonts w:ascii="Arial" w:hAnsi="Arial"/>
          <w:sz w:val="20"/>
        </w:rPr>
        <w:t xml:space="preserve"> ngành.</w:t>
      </w:r>
    </w:p>
    <w:p w14:paraId="3FDA76F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m,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3B128971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 xml:space="preserve">1. </w:t>
      </w:r>
      <w:r>
        <w:rPr>
          <w:rFonts w:ascii="Arial" w:hAnsi="Arial"/>
          <w:sz w:val="20"/>
        </w:rPr>
        <w:t>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nơi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cá nhân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xác minh th</w:t>
      </w:r>
      <w:r>
        <w:rPr>
          <w:rFonts w:ascii="Arial" w:hAnsi="Arial"/>
          <w:sz w:val="20"/>
        </w:rPr>
        <w:t>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tra.</w:t>
      </w:r>
    </w:p>
    <w:p w14:paraId="512F983B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 xml:space="preserve">2.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</w:t>
      </w:r>
    </w:p>
    <w:p w14:paraId="29EFE3A8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không quá 15 ngày,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khó khăn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không quá 07 ngày;</w:t>
      </w:r>
    </w:p>
    <w:p w14:paraId="72FD5DCC" w14:textId="04803841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không quá 10 ngày,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khó khăn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không quá 05 ngày;</w:t>
      </w:r>
    </w:p>
    <w:p w14:paraId="7D045D08" w14:textId="40CD8B5B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không quá 07 ngày,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khó khăn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không quá 03 ngày;</w:t>
      </w:r>
    </w:p>
    <w:p w14:paraId="2B71FAE9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tra.</w:t>
      </w:r>
    </w:p>
    <w:p w14:paraId="4EB391F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hành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59F46C7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làm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trình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p</w:t>
      </w:r>
      <w:r>
        <w:rPr>
          <w:rFonts w:ascii="Arial" w:hAnsi="Arial"/>
          <w:sz w:val="20"/>
        </w:rPr>
        <w:t>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10F26ECC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có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phân công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các thành viên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a chuyên ngành.</w:t>
      </w:r>
    </w:p>
    <w:p w14:paraId="3F913FDB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hành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và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</w:t>
      </w:r>
    </w:p>
    <w:p w14:paraId="424B93CB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</w:t>
      </w:r>
    </w:p>
    <w:p w14:paraId="6871A76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thông báo chương trình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6B30711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</w:t>
      </w:r>
      <w:r>
        <w:rPr>
          <w:rFonts w:ascii="Arial" w:hAnsi="Arial"/>
          <w:sz w:val="20"/>
        </w:rPr>
        <w:t>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tang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C6F4231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xem xét, đánh giá thông tin,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có liên quan.</w:t>
      </w:r>
    </w:p>
    <w:p w14:paraId="134B2C8B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</w:t>
      </w:r>
    </w:p>
    <w:p w14:paraId="45F882B3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nêu rõ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xác minh,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có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không ký vào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thì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không ký vào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n;</w:t>
      </w:r>
    </w:p>
    <w:p w14:paraId="69BADB53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thì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</w:t>
      </w:r>
      <w:r>
        <w:rPr>
          <w:rFonts w:ascii="Arial" w:hAnsi="Arial"/>
          <w:sz w:val="20"/>
        </w:rPr>
        <w:t>nh chính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07CF83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qua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mà chưa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xem xét, đánh giá, làm rõ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</w:t>
      </w:r>
      <w:r>
        <w:rPr>
          <w:rFonts w:ascii="Arial" w:hAnsi="Arial"/>
          <w:sz w:val="20"/>
        </w:rPr>
        <w:t>thanh tra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tra;</w:t>
      </w:r>
    </w:p>
    <w:p w14:paraId="154C0405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xem xét,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042EEB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đ)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các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sau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trình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</w:t>
      </w:r>
    </w:p>
    <w:p w14:paraId="42CC8D1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xa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3C4E78F0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tra chuyên ngành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ngành;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xa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gian, chi phí,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,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29825C24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</w:t>
      </w:r>
    </w:p>
    <w:p w14:paraId="09159976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the</w:t>
      </w:r>
      <w:r>
        <w:rPr>
          <w:rFonts w:ascii="Arial" w:hAnsi="Arial"/>
          <w:sz w:val="20"/>
        </w:rPr>
        <w:t>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chính, các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sau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</w:t>
      </w:r>
      <w:r>
        <w:rPr>
          <w:rFonts w:ascii="Arial" w:hAnsi="Arial"/>
          <w:sz w:val="20"/>
        </w:rPr>
        <w:t>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có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</w:t>
      </w:r>
    </w:p>
    <w:p w14:paraId="1CAD092E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nghiêm túc,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</w:t>
      </w:r>
    </w:p>
    <w:p w14:paraId="6730CDFE" w14:textId="77777777" w:rsidR="005023F7" w:rsidRDefault="005023F7" w:rsidP="005023F7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545DDDD" w14:textId="02EA0790" w:rsidR="00F6786B" w:rsidRDefault="00A47920" w:rsidP="005023F7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IV</w:t>
      </w:r>
    </w:p>
    <w:p w14:paraId="545D2AF2" w14:textId="77777777" w:rsidR="00F6786B" w:rsidRDefault="00A47920" w:rsidP="005023F7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VÀ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0BE4CD7B" w14:textId="77777777" w:rsidR="005023F7" w:rsidRDefault="005023F7" w:rsidP="005023F7">
      <w:pPr>
        <w:spacing w:after="0" w:line="240" w:lineRule="auto"/>
        <w:jc w:val="center"/>
      </w:pPr>
    </w:p>
    <w:p w14:paraId="31248895" w14:textId="77777777" w:rsidR="00603336" w:rsidRDefault="00603336" w:rsidP="0060333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Điều 17. Xử lý vi phạm</w:t>
      </w:r>
    </w:p>
    <w:p w14:paraId="2196DF5D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này thì tùy theo tính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403C535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và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thì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gây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1988422" w14:textId="08B007D4" w:rsidR="00603336" w:rsidRDefault="00603336" w:rsidP="0060333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Điều 18. Hiệu lực và trách nhiệm thi hành</w:t>
      </w:r>
    </w:p>
    <w:p w14:paraId="0FB1549A" w14:textId="563164C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ký ban hành.</w:t>
      </w:r>
    </w:p>
    <w:p w14:paraId="21076353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thi hành</w:t>
      </w:r>
    </w:p>
    <w:p w14:paraId="337A36A7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728F73CA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ban hành quy trình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</w:t>
      </w:r>
    </w:p>
    <w:p w14:paraId="045A0565" w14:textId="51A78A31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F77CC3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và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cá nhân có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C8DB4A8" w14:textId="77777777" w:rsidR="00F6786B" w:rsidRDefault="00A47920" w:rsidP="00F77CC3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33585704" w14:textId="77777777" w:rsidR="00F6786B" w:rsidRDefault="00A47920" w:rsidP="00F77CC3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Các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ban </w:t>
      </w:r>
      <w:r>
        <w:rPr>
          <w:rFonts w:ascii="Arial" w:hAnsi="Arial"/>
          <w:sz w:val="20"/>
        </w:rPr>
        <w:t>hành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4CCB386" w14:textId="77777777" w:rsidR="005023F7" w:rsidRDefault="005023F7" w:rsidP="005023F7">
      <w:pPr>
        <w:spacing w:after="0" w:line="240" w:lineRule="auto"/>
        <w:jc w:val="both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851"/>
        <w:gridCol w:w="4175"/>
      </w:tblGrid>
      <w:tr w:rsidR="00F6786B" w14:paraId="32BA4223" w14:textId="77777777" w:rsidTr="005023F7">
        <w:tc>
          <w:tcPr>
            <w:tcW w:w="2687" w:type="pct"/>
          </w:tcPr>
          <w:p w14:paraId="5F0F00F4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5DA47BF0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0A33843A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756456F8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25696740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HĐND, UBND các </w:t>
            </w: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</w:t>
            </w:r>
          </w:p>
          <w:p w14:paraId="0678790C" w14:textId="77777777" w:rsidR="005023F7" w:rsidRDefault="00A47920" w:rsidP="005023F7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Văn phòng Trung ương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 xml:space="preserve">ng; </w:t>
            </w:r>
          </w:p>
          <w:p w14:paraId="57AABF2A" w14:textId="56C862B4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</w:t>
            </w:r>
            <w:r w:rsidR="005023F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4C74A1F2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3175AC23" w14:textId="3FA64EFB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lastRenderedPageBreak/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 và các </w:t>
            </w:r>
            <w:r w:rsidR="00F77CC3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0A5991C9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293A820B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Tòa án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449BB869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 xml:space="preserve">m sát nhân dân </w:t>
            </w: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24FE7AE0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51BC97F9" w14:textId="6EF69CAD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 w:rsidR="00F77CC3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4B1F18ED" w14:textId="606EB809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Cơ quan trung 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 chính tr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- xã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030C2467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VPCP: BTCN, các PCN, 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TTg, TGĐ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TTĐT, các V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,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c,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c, Công báo;</w:t>
            </w:r>
          </w:p>
          <w:p w14:paraId="03DD30E7" w14:textId="77777777" w:rsidR="00F6786B" w:rsidRDefault="00A47920" w:rsidP="005023F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Lưu: VT, V.I (2).</w:t>
            </w:r>
          </w:p>
        </w:tc>
        <w:tc>
          <w:tcPr>
            <w:tcW w:w="2313" w:type="pct"/>
          </w:tcPr>
          <w:p w14:paraId="57A9CB36" w14:textId="77777777" w:rsidR="00F6786B" w:rsidRDefault="00A47920" w:rsidP="005023F7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lastRenderedPageBreak/>
              <w:t>TM. CHÍNH</w:t>
            </w:r>
            <w:r>
              <w:rPr>
                <w:rFonts w:ascii="Arial" w:hAnsi="Arial"/>
                <w:b/>
                <w:sz w:val="20"/>
              </w:rPr>
              <w:t xml:space="preserve">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KT.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</w:p>
          <w:p w14:paraId="27E5B76B" w14:textId="77777777" w:rsidR="00F6786B" w:rsidRDefault="00A47920" w:rsidP="005023F7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PHÓ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Nguy</w:t>
            </w:r>
            <w:r>
              <w:rPr>
                <w:rFonts w:ascii="Arial" w:hAnsi="Arial"/>
                <w:b/>
                <w:sz w:val="20"/>
              </w:rPr>
              <w:t>ễ</w:t>
            </w:r>
            <w:r>
              <w:rPr>
                <w:rFonts w:ascii="Arial" w:hAnsi="Arial"/>
                <w:b/>
                <w:sz w:val="20"/>
              </w:rPr>
              <w:t>n Hòa Bình</w:t>
            </w:r>
          </w:p>
        </w:tc>
      </w:tr>
    </w:tbl>
    <w:p w14:paraId="2E881062" w14:textId="77777777" w:rsidR="003867BE" w:rsidRDefault="003867BE" w:rsidP="00F77CC3">
      <w:pPr>
        <w:spacing w:after="120" w:line="240" w:lineRule="auto"/>
        <w:ind w:firstLine="720"/>
        <w:jc w:val="both"/>
      </w:pPr>
    </w:p>
    <w:sectPr w:rsidR="003867BE" w:rsidSect="005023F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73AA6" w14:textId="77777777" w:rsidR="00A47920" w:rsidRDefault="00A47920">
      <w:pPr>
        <w:spacing w:after="0" w:line="240" w:lineRule="auto"/>
      </w:pPr>
      <w:r>
        <w:separator/>
      </w:r>
    </w:p>
  </w:endnote>
  <w:endnote w:type="continuationSeparator" w:id="0">
    <w:p w14:paraId="3B3B0114" w14:textId="77777777" w:rsidR="00A47920" w:rsidRDefault="00A4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BBB15" w14:textId="77777777" w:rsidR="00A47920" w:rsidRDefault="00A47920">
      <w:pPr>
        <w:spacing w:after="0" w:line="240" w:lineRule="auto"/>
      </w:pPr>
      <w:r>
        <w:separator/>
      </w:r>
    </w:p>
  </w:footnote>
  <w:footnote w:type="continuationSeparator" w:id="0">
    <w:p w14:paraId="00458DC3" w14:textId="77777777" w:rsidR="00A47920" w:rsidRDefault="00A47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6B"/>
    <w:rsid w:val="00236EEA"/>
    <w:rsid w:val="00262D8B"/>
    <w:rsid w:val="003867BE"/>
    <w:rsid w:val="005023F7"/>
    <w:rsid w:val="005C7186"/>
    <w:rsid w:val="00603336"/>
    <w:rsid w:val="00766013"/>
    <w:rsid w:val="007F25A1"/>
    <w:rsid w:val="00A2690A"/>
    <w:rsid w:val="00A47920"/>
    <w:rsid w:val="00BE4AB0"/>
    <w:rsid w:val="00F115F5"/>
    <w:rsid w:val="00F176C5"/>
    <w:rsid w:val="00F6786B"/>
    <w:rsid w:val="00F7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5299"/>
  <w15:docId w15:val="{06B357B4-296E-4C65-AB8D-6C05D141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3F7"/>
  </w:style>
  <w:style w:type="paragraph" w:styleId="Footer">
    <w:name w:val="footer"/>
    <w:basedOn w:val="Normal"/>
    <w:link w:val="FooterChar"/>
    <w:uiPriority w:val="99"/>
    <w:unhideWhenUsed/>
    <w:rsid w:val="00502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2889</Words>
  <Characters>16468</Characters>
  <Application>Microsoft Office Word</Application>
  <DocSecurity>0</DocSecurity>
  <Lines>137</Lines>
  <Paragraphs>38</Paragraphs>
  <ScaleCrop>false</ScaleCrop>
  <Company/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2025-08-06T03:22:00Z</dcterms:created>
  <dcterms:modified xsi:type="dcterms:W3CDTF">2025-08-07T01:19:00Z</dcterms:modified>
</cp:coreProperties>
</file>