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7"/>
        <w:gridCol w:w="5600"/>
      </w:tblGrid>
      <w:tr w:rsidR="00036C1A" w:rsidRPr="00607059" w:rsidTr="0046137C">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036C1A" w:rsidRPr="00607059" w:rsidRDefault="00036C1A" w:rsidP="00C25523">
            <w:pPr>
              <w:pStyle w:val="Bodytext20"/>
              <w:ind w:firstLine="0"/>
              <w:jc w:val="center"/>
              <w:rPr>
                <w:rFonts w:ascii="Arial" w:hAnsi="Arial" w:cs="Arial"/>
                <w:color w:val="auto"/>
              </w:rPr>
            </w:pPr>
            <w:r w:rsidRPr="00607059">
              <w:rPr>
                <w:rFonts w:ascii="Arial" w:hAnsi="Arial" w:cs="Arial"/>
                <w:b/>
                <w:bCs/>
                <w:color w:val="auto"/>
              </w:rPr>
              <w:t>NGÂN HÀNG NHÀ NƯỚC</w:t>
            </w:r>
          </w:p>
          <w:p w:rsidR="00036C1A" w:rsidRPr="00607059" w:rsidRDefault="00036C1A" w:rsidP="00C25523">
            <w:pPr>
              <w:pStyle w:val="Bodytext20"/>
              <w:ind w:firstLine="0"/>
              <w:jc w:val="center"/>
              <w:rPr>
                <w:rFonts w:ascii="Arial" w:hAnsi="Arial" w:cs="Arial"/>
                <w:color w:val="auto"/>
                <w:vertAlign w:val="superscript"/>
              </w:rPr>
            </w:pPr>
            <w:r w:rsidRPr="00607059">
              <w:rPr>
                <w:rFonts w:ascii="Arial" w:hAnsi="Arial" w:cs="Arial"/>
                <w:b/>
                <w:bCs/>
                <w:color w:val="auto"/>
              </w:rPr>
              <w:t>VIỆT NAM</w:t>
            </w:r>
            <w:r w:rsidRPr="00607059">
              <w:rPr>
                <w:rFonts w:ascii="Arial" w:hAnsi="Arial" w:cs="Arial"/>
                <w:b/>
                <w:bCs/>
                <w:color w:val="auto"/>
              </w:rPr>
              <w:br/>
            </w:r>
            <w:r w:rsidRPr="00607059">
              <w:rPr>
                <w:rFonts w:ascii="Arial" w:hAnsi="Arial" w:cs="Arial"/>
                <w:bCs/>
                <w:color w:val="auto"/>
                <w:vertAlign w:val="superscript"/>
              </w:rPr>
              <w:t>________</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036C1A" w:rsidRPr="00607059" w:rsidRDefault="00036C1A" w:rsidP="00C25523">
            <w:pPr>
              <w:spacing w:before="0" w:after="0" w:line="240" w:lineRule="auto"/>
              <w:jc w:val="center"/>
              <w:rPr>
                <w:rFonts w:ascii="Arial" w:hAnsi="Arial" w:cs="Arial"/>
                <w:sz w:val="20"/>
                <w:szCs w:val="20"/>
              </w:rPr>
            </w:pPr>
            <w:r w:rsidRPr="00607059">
              <w:rPr>
                <w:rFonts w:ascii="Arial" w:hAnsi="Arial" w:cs="Arial"/>
                <w:b/>
                <w:bCs/>
                <w:sz w:val="20"/>
                <w:szCs w:val="20"/>
              </w:rPr>
              <w:t>CỘNG HÒA XÃ HỘI CHỦ NGHĨA VIỆT NAM</w:t>
            </w:r>
            <w:r w:rsidRPr="00607059">
              <w:rPr>
                <w:rFonts w:ascii="Arial" w:hAnsi="Arial" w:cs="Arial"/>
                <w:b/>
                <w:bCs/>
                <w:sz w:val="20"/>
                <w:szCs w:val="20"/>
              </w:rPr>
              <w:br/>
              <w:t xml:space="preserve">Độc lập - Tự do - Hạnh phúc </w:t>
            </w:r>
            <w:r w:rsidRPr="00607059">
              <w:rPr>
                <w:rFonts w:ascii="Arial" w:hAnsi="Arial" w:cs="Arial"/>
                <w:b/>
                <w:bCs/>
                <w:sz w:val="20"/>
                <w:szCs w:val="20"/>
              </w:rPr>
              <w:br/>
            </w:r>
            <w:r w:rsidRPr="00607059">
              <w:rPr>
                <w:rFonts w:ascii="Arial" w:hAnsi="Arial" w:cs="Arial"/>
                <w:bCs/>
                <w:sz w:val="20"/>
                <w:szCs w:val="20"/>
                <w:vertAlign w:val="superscript"/>
              </w:rPr>
              <w:t>________________</w:t>
            </w:r>
          </w:p>
        </w:tc>
      </w:tr>
      <w:tr w:rsidR="00036C1A" w:rsidRPr="00607059" w:rsidTr="0046137C">
        <w:tblPrEx>
          <w:tblBorders>
            <w:top w:val="none" w:sz="0" w:space="0" w:color="auto"/>
            <w:bottom w:val="none" w:sz="0" w:space="0" w:color="auto"/>
            <w:insideH w:val="none" w:sz="0" w:space="0" w:color="auto"/>
            <w:insideV w:val="none" w:sz="0" w:space="0" w:color="auto"/>
          </w:tblBorders>
        </w:tblPrEx>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036C1A" w:rsidRPr="00607059" w:rsidRDefault="00036C1A" w:rsidP="00C25523">
            <w:pPr>
              <w:spacing w:before="0" w:after="0" w:line="240" w:lineRule="auto"/>
              <w:jc w:val="center"/>
              <w:rPr>
                <w:rFonts w:ascii="Arial" w:hAnsi="Arial" w:cs="Arial"/>
                <w:sz w:val="20"/>
                <w:szCs w:val="20"/>
              </w:rPr>
            </w:pPr>
            <w:r w:rsidRPr="00607059">
              <w:rPr>
                <w:rFonts w:ascii="Arial" w:hAnsi="Arial" w:cs="Arial"/>
                <w:sz w:val="20"/>
                <w:szCs w:val="20"/>
              </w:rPr>
              <w:t xml:space="preserve">Số: </w:t>
            </w:r>
            <w:r w:rsidRPr="00607059">
              <w:rPr>
                <w:rFonts w:ascii="Arial" w:hAnsi="Arial" w:cs="Arial"/>
                <w:sz w:val="20"/>
                <w:szCs w:val="20"/>
                <w:lang w:val="en-SG"/>
              </w:rPr>
              <w:t>14</w:t>
            </w:r>
            <w:r w:rsidRPr="00607059">
              <w:rPr>
                <w:rFonts w:ascii="Arial" w:hAnsi="Arial" w:cs="Arial"/>
                <w:sz w:val="20"/>
                <w:szCs w:val="20"/>
              </w:rPr>
              <w:t>/2024/TT-NHNN</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036C1A" w:rsidRPr="00607059" w:rsidRDefault="00036C1A" w:rsidP="00C25523">
            <w:pPr>
              <w:spacing w:before="0" w:after="0" w:line="240" w:lineRule="auto"/>
              <w:jc w:val="center"/>
              <w:rPr>
                <w:rFonts w:ascii="Arial" w:hAnsi="Arial" w:cs="Arial"/>
                <w:sz w:val="20"/>
                <w:szCs w:val="20"/>
              </w:rPr>
            </w:pPr>
            <w:r w:rsidRPr="00607059">
              <w:rPr>
                <w:rFonts w:ascii="Arial" w:hAnsi="Arial" w:cs="Arial"/>
                <w:i/>
                <w:iCs/>
                <w:sz w:val="20"/>
                <w:szCs w:val="20"/>
              </w:rPr>
              <w:t xml:space="preserve">Hà Nội, ngày </w:t>
            </w:r>
            <w:r w:rsidRPr="00607059">
              <w:rPr>
                <w:rFonts w:ascii="Arial" w:hAnsi="Arial" w:cs="Arial"/>
                <w:i/>
                <w:iCs/>
                <w:sz w:val="20"/>
                <w:szCs w:val="20"/>
                <w:lang w:val="en-SG"/>
              </w:rPr>
              <w:t>28</w:t>
            </w:r>
            <w:r w:rsidRPr="00607059">
              <w:rPr>
                <w:rFonts w:ascii="Arial" w:hAnsi="Arial" w:cs="Arial"/>
                <w:i/>
                <w:iCs/>
                <w:sz w:val="20"/>
                <w:szCs w:val="20"/>
              </w:rPr>
              <w:t xml:space="preserve"> tháng 6 năm 2024</w:t>
            </w:r>
          </w:p>
        </w:tc>
      </w:tr>
    </w:tbl>
    <w:p w:rsidR="00036C1A" w:rsidRPr="00607059" w:rsidRDefault="00036C1A" w:rsidP="00C25523">
      <w:pPr>
        <w:spacing w:before="0" w:after="0" w:line="240" w:lineRule="auto"/>
        <w:jc w:val="center"/>
        <w:rPr>
          <w:rFonts w:ascii="Arial" w:eastAsia="Times New Roman" w:hAnsi="Arial" w:cs="Arial"/>
          <w:b/>
          <w:bCs/>
          <w:sz w:val="20"/>
          <w:szCs w:val="20"/>
          <w:lang w:eastAsia="vi-VN"/>
        </w:rPr>
      </w:pPr>
    </w:p>
    <w:p w:rsidR="00036C1A" w:rsidRPr="00607059" w:rsidRDefault="00036C1A" w:rsidP="00C25523">
      <w:pPr>
        <w:spacing w:before="0" w:after="0" w:line="240" w:lineRule="auto"/>
        <w:jc w:val="center"/>
        <w:rPr>
          <w:rFonts w:ascii="Arial" w:eastAsia="Times New Roman" w:hAnsi="Arial" w:cs="Arial"/>
          <w:b/>
          <w:bCs/>
          <w:sz w:val="20"/>
          <w:szCs w:val="20"/>
          <w:lang w:eastAsia="vi-VN"/>
        </w:rPr>
      </w:pPr>
    </w:p>
    <w:p w:rsidR="00D626AC" w:rsidRPr="00607059" w:rsidRDefault="00D626AC" w:rsidP="00C25523">
      <w:pPr>
        <w:spacing w:before="0" w:after="0" w:line="240" w:lineRule="auto"/>
        <w:jc w:val="center"/>
        <w:rPr>
          <w:rFonts w:ascii="Arial" w:eastAsia="Times New Roman" w:hAnsi="Arial" w:cs="Arial"/>
          <w:sz w:val="20"/>
          <w:szCs w:val="20"/>
          <w:lang w:eastAsia="vi-VN"/>
        </w:rPr>
      </w:pPr>
      <w:r w:rsidRPr="00607059">
        <w:rPr>
          <w:rFonts w:ascii="Arial" w:eastAsia="Times New Roman" w:hAnsi="Arial" w:cs="Arial"/>
          <w:b/>
          <w:bCs/>
          <w:sz w:val="20"/>
          <w:szCs w:val="20"/>
          <w:lang w:eastAsia="vi-VN"/>
        </w:rPr>
        <w:t>THÔNG TƯ</w:t>
      </w:r>
    </w:p>
    <w:p w:rsidR="00D626AC" w:rsidRPr="00607059" w:rsidRDefault="00D626AC" w:rsidP="00C25523">
      <w:pPr>
        <w:spacing w:before="0" w:after="0" w:line="240" w:lineRule="auto"/>
        <w:jc w:val="center"/>
        <w:rPr>
          <w:rFonts w:ascii="Arial" w:eastAsia="Times New Roman" w:hAnsi="Arial" w:cs="Arial"/>
          <w:sz w:val="20"/>
          <w:szCs w:val="20"/>
          <w:lang w:val="en-US" w:eastAsia="vi-VN"/>
        </w:rPr>
      </w:pPr>
      <w:r w:rsidRPr="00607059">
        <w:rPr>
          <w:rFonts w:ascii="Arial" w:eastAsia="Times New Roman" w:hAnsi="Arial" w:cs="Arial"/>
          <w:b/>
          <w:bCs/>
          <w:sz w:val="20"/>
          <w:szCs w:val="20"/>
          <w:lang w:eastAsia="vi-VN"/>
        </w:rPr>
        <w:t xml:space="preserve">Quy định về phân loại tài sản có </w:t>
      </w:r>
      <w:r w:rsidRPr="00607059">
        <w:rPr>
          <w:rFonts w:ascii="Arial" w:eastAsia="Times New Roman" w:hAnsi="Arial" w:cs="Arial"/>
          <w:b/>
          <w:bCs/>
          <w:sz w:val="20"/>
          <w:szCs w:val="20"/>
          <w:lang w:val="en-US" w:eastAsia="vi-VN"/>
        </w:rPr>
        <w:t>của tổ chức tài chính vi mô</w:t>
      </w:r>
    </w:p>
    <w:p w:rsidR="00D626AC" w:rsidRPr="00607059" w:rsidRDefault="00036C1A" w:rsidP="00C25523">
      <w:pPr>
        <w:spacing w:before="0" w:after="0" w:line="240" w:lineRule="auto"/>
        <w:jc w:val="center"/>
        <w:rPr>
          <w:rFonts w:ascii="Arial" w:eastAsia="Times New Roman" w:hAnsi="Arial" w:cs="Arial"/>
          <w:sz w:val="20"/>
          <w:szCs w:val="20"/>
          <w:vertAlign w:val="superscript"/>
          <w:lang w:val="en-SG" w:eastAsia="vi-VN"/>
        </w:rPr>
      </w:pPr>
      <w:r w:rsidRPr="00607059">
        <w:rPr>
          <w:rFonts w:ascii="Arial" w:eastAsia="Times New Roman" w:hAnsi="Arial" w:cs="Arial"/>
          <w:sz w:val="20"/>
          <w:szCs w:val="20"/>
          <w:vertAlign w:val="superscript"/>
          <w:lang w:val="en-SG" w:eastAsia="vi-VN"/>
        </w:rPr>
        <w:t>____________________</w:t>
      </w:r>
    </w:p>
    <w:p w:rsidR="00036C1A" w:rsidRPr="00607059" w:rsidRDefault="00036C1A" w:rsidP="00C25523">
      <w:pPr>
        <w:spacing w:before="0" w:after="0" w:line="240" w:lineRule="auto"/>
        <w:jc w:val="center"/>
        <w:rPr>
          <w:rFonts w:ascii="Arial" w:eastAsia="Times New Roman" w:hAnsi="Arial" w:cs="Arial"/>
          <w:sz w:val="20"/>
          <w:szCs w:val="20"/>
          <w:lang w:eastAsia="vi-VN"/>
        </w:rPr>
      </w:pPr>
    </w:p>
    <w:p w:rsidR="00D626AC" w:rsidRPr="00607059" w:rsidRDefault="00D626AC" w:rsidP="00036C1A">
      <w:pPr>
        <w:spacing w:before="0" w:line="240" w:lineRule="auto"/>
        <w:ind w:firstLine="720"/>
        <w:rPr>
          <w:rFonts w:ascii="Arial" w:eastAsia="Times New Roman" w:hAnsi="Arial" w:cs="Arial"/>
          <w:sz w:val="20"/>
          <w:szCs w:val="20"/>
          <w:lang w:eastAsia="vi-VN"/>
        </w:rPr>
      </w:pPr>
      <w:r w:rsidRPr="00607059">
        <w:rPr>
          <w:rFonts w:ascii="Arial" w:eastAsia="Times New Roman" w:hAnsi="Arial" w:cs="Arial"/>
          <w:i/>
          <w:iCs/>
          <w:sz w:val="20"/>
          <w:szCs w:val="20"/>
          <w:lang w:eastAsia="vi-VN"/>
        </w:rPr>
        <w:t>Căn cứ Luật Ngân hàng Nhà nước Việt Nam ngày 16 tháng 6 năm 2010;</w:t>
      </w:r>
    </w:p>
    <w:p w:rsidR="00D626AC" w:rsidRPr="00607059" w:rsidRDefault="00D626AC" w:rsidP="00036C1A">
      <w:pPr>
        <w:spacing w:before="0" w:line="240" w:lineRule="auto"/>
        <w:ind w:firstLine="720"/>
        <w:rPr>
          <w:rFonts w:ascii="Arial" w:eastAsia="Times New Roman" w:hAnsi="Arial" w:cs="Arial"/>
          <w:sz w:val="20"/>
          <w:szCs w:val="20"/>
          <w:lang w:eastAsia="vi-VN"/>
        </w:rPr>
      </w:pPr>
      <w:r w:rsidRPr="00607059">
        <w:rPr>
          <w:rFonts w:ascii="Arial" w:eastAsia="Times New Roman" w:hAnsi="Arial" w:cs="Arial"/>
          <w:i/>
          <w:iCs/>
          <w:sz w:val="20"/>
          <w:szCs w:val="20"/>
          <w:lang w:eastAsia="vi-VN"/>
        </w:rPr>
        <w:t>Căn cứ Luật Các tổ chức tín dụng ngày</w:t>
      </w:r>
      <w:r w:rsidRPr="00607059">
        <w:rPr>
          <w:rFonts w:ascii="Arial" w:eastAsia="Times New Roman" w:hAnsi="Arial" w:cs="Arial"/>
          <w:i/>
          <w:iCs/>
          <w:sz w:val="20"/>
          <w:szCs w:val="20"/>
          <w:lang w:val="en-US" w:eastAsia="vi-VN"/>
        </w:rPr>
        <w:t xml:space="preserve"> 18 </w:t>
      </w:r>
      <w:r w:rsidRPr="00607059">
        <w:rPr>
          <w:rFonts w:ascii="Arial" w:eastAsia="Times New Roman" w:hAnsi="Arial" w:cs="Arial"/>
          <w:i/>
          <w:iCs/>
          <w:sz w:val="20"/>
          <w:szCs w:val="20"/>
          <w:lang w:eastAsia="vi-VN"/>
        </w:rPr>
        <w:t xml:space="preserve"> tháng</w:t>
      </w:r>
      <w:r w:rsidRPr="00607059">
        <w:rPr>
          <w:rFonts w:ascii="Arial" w:eastAsia="Times New Roman" w:hAnsi="Arial" w:cs="Arial"/>
          <w:i/>
          <w:iCs/>
          <w:sz w:val="20"/>
          <w:szCs w:val="20"/>
          <w:lang w:val="en-US" w:eastAsia="vi-VN"/>
        </w:rPr>
        <w:t xml:space="preserve"> 01 </w:t>
      </w:r>
      <w:r w:rsidRPr="00607059">
        <w:rPr>
          <w:rFonts w:ascii="Arial" w:eastAsia="Times New Roman" w:hAnsi="Arial" w:cs="Arial"/>
          <w:i/>
          <w:iCs/>
          <w:sz w:val="20"/>
          <w:szCs w:val="20"/>
          <w:lang w:eastAsia="vi-VN"/>
        </w:rPr>
        <w:t>nă</w:t>
      </w:r>
      <w:r w:rsidRPr="00607059">
        <w:rPr>
          <w:rFonts w:ascii="Arial" w:eastAsia="Times New Roman" w:hAnsi="Arial" w:cs="Arial"/>
          <w:i/>
          <w:iCs/>
          <w:sz w:val="20"/>
          <w:szCs w:val="20"/>
          <w:lang w:val="en-US" w:eastAsia="vi-VN"/>
        </w:rPr>
        <w:t>m 2024</w:t>
      </w:r>
      <w:r w:rsidRPr="00607059">
        <w:rPr>
          <w:rFonts w:ascii="Arial" w:eastAsia="Times New Roman" w:hAnsi="Arial" w:cs="Arial"/>
          <w:i/>
          <w:iCs/>
          <w:sz w:val="20"/>
          <w:szCs w:val="20"/>
          <w:lang w:eastAsia="vi-VN"/>
        </w:rPr>
        <w:t xml:space="preserve">; </w:t>
      </w:r>
    </w:p>
    <w:p w:rsidR="00D626AC" w:rsidRPr="00607059" w:rsidRDefault="00D626AC" w:rsidP="00036C1A">
      <w:pPr>
        <w:spacing w:before="0" w:line="240" w:lineRule="auto"/>
        <w:ind w:firstLine="720"/>
        <w:rPr>
          <w:rFonts w:ascii="Arial" w:eastAsia="Times New Roman" w:hAnsi="Arial" w:cs="Arial"/>
          <w:sz w:val="20"/>
          <w:szCs w:val="20"/>
          <w:lang w:eastAsia="vi-VN"/>
        </w:rPr>
      </w:pPr>
      <w:r w:rsidRPr="00607059">
        <w:rPr>
          <w:rFonts w:ascii="Arial" w:eastAsia="Times New Roman" w:hAnsi="Arial" w:cs="Arial"/>
          <w:i/>
          <w:iCs/>
          <w:sz w:val="20"/>
          <w:szCs w:val="20"/>
          <w:lang w:eastAsia="vi-VN"/>
        </w:rPr>
        <w:t xml:space="preserve">Căn cứ Nghị định số </w:t>
      </w:r>
      <w:r w:rsidRPr="00607059">
        <w:rPr>
          <w:rFonts w:ascii="Arial" w:eastAsia="Times New Roman" w:hAnsi="Arial" w:cs="Arial"/>
          <w:i/>
          <w:iCs/>
          <w:sz w:val="20"/>
          <w:szCs w:val="20"/>
          <w:lang w:val="en-US" w:eastAsia="vi-VN"/>
        </w:rPr>
        <w:t>102</w:t>
      </w:r>
      <w:r w:rsidRPr="00607059">
        <w:rPr>
          <w:rFonts w:ascii="Arial" w:eastAsia="Times New Roman" w:hAnsi="Arial" w:cs="Arial"/>
          <w:i/>
          <w:iCs/>
          <w:sz w:val="20"/>
          <w:szCs w:val="20"/>
          <w:lang w:eastAsia="vi-VN"/>
        </w:rPr>
        <w:t>/</w:t>
      </w:r>
      <w:r w:rsidRPr="00607059">
        <w:rPr>
          <w:rFonts w:ascii="Arial" w:eastAsia="Times New Roman" w:hAnsi="Arial" w:cs="Arial"/>
          <w:i/>
          <w:iCs/>
          <w:sz w:val="20"/>
          <w:szCs w:val="20"/>
          <w:lang w:val="en-US" w:eastAsia="vi-VN"/>
        </w:rPr>
        <w:t>2022</w:t>
      </w:r>
      <w:r w:rsidRPr="00607059">
        <w:rPr>
          <w:rFonts w:ascii="Arial" w:eastAsia="Times New Roman" w:hAnsi="Arial" w:cs="Arial"/>
          <w:i/>
          <w:iCs/>
          <w:sz w:val="20"/>
          <w:szCs w:val="20"/>
          <w:lang w:eastAsia="vi-VN"/>
        </w:rPr>
        <w:t xml:space="preserve">/NĐ-CP ngày </w:t>
      </w:r>
      <w:r w:rsidRPr="00607059">
        <w:rPr>
          <w:rFonts w:ascii="Arial" w:eastAsia="Times New Roman" w:hAnsi="Arial" w:cs="Arial"/>
          <w:i/>
          <w:iCs/>
          <w:sz w:val="20"/>
          <w:szCs w:val="20"/>
          <w:lang w:val="en-US" w:eastAsia="vi-VN"/>
        </w:rPr>
        <w:t xml:space="preserve">12 </w:t>
      </w:r>
      <w:r w:rsidRPr="00607059">
        <w:rPr>
          <w:rFonts w:ascii="Arial" w:eastAsia="Times New Roman" w:hAnsi="Arial" w:cs="Arial"/>
          <w:i/>
          <w:iCs/>
          <w:sz w:val="20"/>
          <w:szCs w:val="20"/>
          <w:lang w:eastAsia="vi-VN"/>
        </w:rPr>
        <w:t>tháng</w:t>
      </w:r>
      <w:r w:rsidRPr="00607059">
        <w:rPr>
          <w:rFonts w:ascii="Arial" w:eastAsia="Times New Roman" w:hAnsi="Arial" w:cs="Arial"/>
          <w:i/>
          <w:iCs/>
          <w:sz w:val="20"/>
          <w:szCs w:val="20"/>
          <w:lang w:val="en-US" w:eastAsia="vi-VN"/>
        </w:rPr>
        <w:t xml:space="preserve"> 12</w:t>
      </w:r>
      <w:r w:rsidRPr="00607059">
        <w:rPr>
          <w:rFonts w:ascii="Arial" w:eastAsia="Times New Roman" w:hAnsi="Arial" w:cs="Arial"/>
          <w:i/>
          <w:iCs/>
          <w:sz w:val="20"/>
          <w:szCs w:val="20"/>
          <w:lang w:eastAsia="vi-VN"/>
        </w:rPr>
        <w:t xml:space="preserve"> năm</w:t>
      </w:r>
      <w:r w:rsidRPr="00607059">
        <w:rPr>
          <w:rFonts w:ascii="Arial" w:eastAsia="Times New Roman" w:hAnsi="Arial" w:cs="Arial"/>
          <w:i/>
          <w:iCs/>
          <w:sz w:val="20"/>
          <w:szCs w:val="20"/>
          <w:lang w:val="en-US" w:eastAsia="vi-VN"/>
        </w:rPr>
        <w:t xml:space="preserve"> 2022 </w:t>
      </w:r>
      <w:r w:rsidRPr="00607059">
        <w:rPr>
          <w:rFonts w:ascii="Arial" w:eastAsia="Times New Roman" w:hAnsi="Arial" w:cs="Arial"/>
          <w:i/>
          <w:iCs/>
          <w:sz w:val="20"/>
          <w:szCs w:val="20"/>
          <w:lang w:eastAsia="vi-VN"/>
        </w:rPr>
        <w:t>của Chính phủ quy định chức năng, nhiệm vụ, quyền hạn và cơ cấu tổ chức của Ngân hàng Nhà nước Việt Nam;</w:t>
      </w:r>
    </w:p>
    <w:p w:rsidR="00D626AC" w:rsidRPr="00607059" w:rsidRDefault="00D626AC" w:rsidP="00036C1A">
      <w:pPr>
        <w:spacing w:before="0" w:line="240" w:lineRule="auto"/>
        <w:ind w:firstLine="720"/>
        <w:rPr>
          <w:rFonts w:ascii="Arial" w:eastAsia="Times New Roman" w:hAnsi="Arial" w:cs="Arial"/>
          <w:sz w:val="20"/>
          <w:szCs w:val="20"/>
          <w:lang w:eastAsia="vi-VN"/>
        </w:rPr>
      </w:pPr>
      <w:r w:rsidRPr="00607059">
        <w:rPr>
          <w:rFonts w:ascii="Arial" w:eastAsia="Times New Roman" w:hAnsi="Arial" w:cs="Arial"/>
          <w:i/>
          <w:iCs/>
          <w:sz w:val="20"/>
          <w:szCs w:val="20"/>
          <w:lang w:eastAsia="vi-VN"/>
        </w:rPr>
        <w:t>Theo đề nghị của Chánh Thanh tra, giám sát ngân hàng;</w:t>
      </w:r>
    </w:p>
    <w:p w:rsidR="00D626AC" w:rsidRPr="00607059" w:rsidRDefault="00D626AC" w:rsidP="00036C1A">
      <w:pPr>
        <w:spacing w:before="0" w:line="240" w:lineRule="auto"/>
        <w:ind w:firstLine="720"/>
        <w:rPr>
          <w:rFonts w:ascii="Arial" w:eastAsia="Times New Roman" w:hAnsi="Arial" w:cs="Arial"/>
          <w:sz w:val="20"/>
          <w:szCs w:val="20"/>
          <w:lang w:eastAsia="vi-VN"/>
        </w:rPr>
      </w:pPr>
      <w:r w:rsidRPr="00607059">
        <w:rPr>
          <w:rFonts w:ascii="Arial" w:eastAsia="Times New Roman" w:hAnsi="Arial" w:cs="Arial"/>
          <w:i/>
          <w:iCs/>
          <w:sz w:val="20"/>
          <w:szCs w:val="20"/>
          <w:lang w:eastAsia="vi-VN"/>
        </w:rPr>
        <w:t xml:space="preserve">Thống đốc Ngân hàng Nhà nước Việt Nam ban hành Thông tư quy định về phân loại tài sản có của </w:t>
      </w:r>
      <w:bookmarkStart w:id="0" w:name="bookmark=id.gjdgxs"/>
      <w:bookmarkEnd w:id="0"/>
      <w:r w:rsidRPr="00607059">
        <w:rPr>
          <w:rFonts w:ascii="Arial" w:eastAsia="Times New Roman" w:hAnsi="Arial" w:cs="Arial"/>
          <w:i/>
          <w:iCs/>
          <w:sz w:val="20"/>
          <w:szCs w:val="20"/>
          <w:lang w:eastAsia="vi-VN"/>
        </w:rPr>
        <w:t xml:space="preserve">tổ chức </w:t>
      </w:r>
      <w:r w:rsidRPr="00607059">
        <w:rPr>
          <w:rFonts w:ascii="Arial" w:eastAsia="Times New Roman" w:hAnsi="Arial" w:cs="Arial"/>
          <w:i/>
          <w:iCs/>
          <w:sz w:val="20"/>
          <w:szCs w:val="20"/>
          <w:lang w:val="en-US" w:eastAsia="vi-VN"/>
        </w:rPr>
        <w:t>tài chính vi mô</w:t>
      </w:r>
      <w:r w:rsidRPr="00607059">
        <w:rPr>
          <w:rFonts w:ascii="Arial" w:eastAsia="Times New Roman" w:hAnsi="Arial" w:cs="Arial"/>
          <w:i/>
          <w:iCs/>
          <w:sz w:val="20"/>
          <w:szCs w:val="20"/>
          <w:lang w:eastAsia="vi-VN"/>
        </w:rPr>
        <w:t>.</w:t>
      </w:r>
    </w:p>
    <w:p w:rsidR="00C25523" w:rsidRPr="00607059" w:rsidRDefault="00C25523" w:rsidP="00C25523">
      <w:pPr>
        <w:pStyle w:val="Heading1"/>
        <w:spacing w:before="0" w:after="0" w:line="240" w:lineRule="auto"/>
        <w:rPr>
          <w:rFonts w:ascii="Arial" w:hAnsi="Arial" w:cs="Arial"/>
          <w:sz w:val="20"/>
          <w:szCs w:val="20"/>
          <w:lang w:eastAsia="vi-VN"/>
        </w:rPr>
      </w:pPr>
    </w:p>
    <w:p w:rsidR="00C25523" w:rsidRPr="00607059" w:rsidRDefault="00C25523" w:rsidP="00C25523">
      <w:pPr>
        <w:pStyle w:val="Heading1"/>
        <w:spacing w:before="0" w:after="0" w:line="240" w:lineRule="auto"/>
        <w:rPr>
          <w:rFonts w:ascii="Arial" w:hAnsi="Arial" w:cs="Arial"/>
          <w:sz w:val="20"/>
          <w:szCs w:val="20"/>
          <w:lang w:eastAsia="vi-VN"/>
        </w:rPr>
      </w:pPr>
      <w:r w:rsidRPr="00607059">
        <w:rPr>
          <w:rFonts w:ascii="Arial" w:hAnsi="Arial" w:cs="Arial"/>
          <w:sz w:val="20"/>
          <w:szCs w:val="20"/>
          <w:lang w:eastAsia="vi-VN"/>
        </w:rPr>
        <w:t>Chương I</w:t>
      </w:r>
    </w:p>
    <w:p w:rsidR="00C25523" w:rsidRPr="00607059" w:rsidRDefault="00D626AC" w:rsidP="00C25523">
      <w:pPr>
        <w:pStyle w:val="Heading1"/>
        <w:spacing w:before="0" w:after="0" w:line="240" w:lineRule="auto"/>
        <w:rPr>
          <w:rFonts w:ascii="Arial" w:hAnsi="Arial" w:cs="Arial"/>
          <w:sz w:val="20"/>
          <w:szCs w:val="20"/>
          <w:lang w:eastAsia="vi-VN"/>
        </w:rPr>
      </w:pPr>
      <w:r w:rsidRPr="00607059">
        <w:rPr>
          <w:rFonts w:ascii="Arial" w:hAnsi="Arial" w:cs="Arial"/>
          <w:sz w:val="20"/>
          <w:szCs w:val="20"/>
          <w:lang w:eastAsia="vi-VN"/>
        </w:rPr>
        <w:t>QUY ĐỊNH CHUNG</w:t>
      </w:r>
    </w:p>
    <w:p w:rsidR="00C25523" w:rsidRPr="00607059" w:rsidRDefault="00C25523" w:rsidP="00C25523">
      <w:pPr>
        <w:pStyle w:val="Heading2"/>
        <w:spacing w:line="240" w:lineRule="auto"/>
        <w:rPr>
          <w:rFonts w:ascii="Arial" w:hAnsi="Arial" w:cs="Arial"/>
          <w:sz w:val="20"/>
          <w:szCs w:val="20"/>
          <w:lang w:eastAsia="vi-VN"/>
        </w:rPr>
      </w:pPr>
    </w:p>
    <w:p w:rsidR="00D626AC" w:rsidRPr="00607059" w:rsidRDefault="00D626AC" w:rsidP="00036C1A">
      <w:pPr>
        <w:pStyle w:val="Heading2"/>
        <w:spacing w:after="120" w:line="240" w:lineRule="auto"/>
        <w:ind w:firstLine="720"/>
        <w:rPr>
          <w:rFonts w:ascii="Arial" w:hAnsi="Arial" w:cs="Arial"/>
          <w:sz w:val="20"/>
          <w:szCs w:val="20"/>
          <w:lang w:val="en-US" w:eastAsia="vi-VN"/>
        </w:rPr>
      </w:pPr>
      <w:r w:rsidRPr="00607059">
        <w:rPr>
          <w:rFonts w:ascii="Arial" w:hAnsi="Arial" w:cs="Arial"/>
          <w:sz w:val="20"/>
          <w:szCs w:val="20"/>
          <w:lang w:eastAsia="vi-VN"/>
        </w:rPr>
        <w:t>Điều 1. Phạm vi điều chỉnh</w:t>
      </w:r>
      <w:r w:rsidRPr="00607059">
        <w:rPr>
          <w:rFonts w:ascii="Arial" w:hAnsi="Arial" w:cs="Arial"/>
          <w:sz w:val="20"/>
          <w:szCs w:val="20"/>
          <w:lang w:val="en-US" w:eastAsia="vi-VN"/>
        </w:rPr>
        <w:t xml:space="preserve"> và đối tượng áp dụng</w:t>
      </w:r>
    </w:p>
    <w:p w:rsidR="009B6966" w:rsidRPr="00607059" w:rsidRDefault="009B6966" w:rsidP="00036C1A">
      <w:pPr>
        <w:spacing w:before="0" w:line="240" w:lineRule="auto"/>
        <w:ind w:firstLine="720"/>
        <w:rPr>
          <w:rFonts w:ascii="Arial" w:hAnsi="Arial" w:cs="Arial"/>
          <w:sz w:val="20"/>
          <w:szCs w:val="20"/>
          <w:lang w:val="en-US"/>
        </w:rPr>
      </w:pPr>
      <w:r w:rsidRPr="00607059">
        <w:rPr>
          <w:rFonts w:ascii="Arial" w:hAnsi="Arial" w:cs="Arial"/>
          <w:sz w:val="20"/>
          <w:szCs w:val="20"/>
          <w:lang w:val="en-US"/>
        </w:rPr>
        <w:t>1. Phạm vi điều chỉnh:</w:t>
      </w:r>
    </w:p>
    <w:p w:rsidR="00D626AC" w:rsidRPr="00607059" w:rsidRDefault="00D626AC" w:rsidP="00036C1A">
      <w:pPr>
        <w:spacing w:before="0" w:line="240" w:lineRule="auto"/>
        <w:ind w:firstLine="720"/>
        <w:rPr>
          <w:rFonts w:ascii="Arial" w:hAnsi="Arial" w:cs="Arial"/>
          <w:sz w:val="20"/>
          <w:szCs w:val="20"/>
        </w:rPr>
      </w:pPr>
      <w:r w:rsidRPr="00607059">
        <w:rPr>
          <w:rFonts w:ascii="Arial" w:hAnsi="Arial" w:cs="Arial"/>
          <w:sz w:val="20"/>
          <w:szCs w:val="20"/>
        </w:rPr>
        <w:t>Thông tư này quy định về việc phân loại đối với các tài sản có (sau đây gọi tắt là nợ) phát sinh từ các hoạt động sau của tổ chức tài chính vi mô:</w:t>
      </w:r>
    </w:p>
    <w:p w:rsidR="00D626AC" w:rsidRPr="00607059" w:rsidRDefault="00D626AC" w:rsidP="00036C1A">
      <w:pPr>
        <w:spacing w:before="0" w:line="240" w:lineRule="auto"/>
        <w:ind w:firstLine="720"/>
        <w:rPr>
          <w:rFonts w:ascii="Arial" w:hAnsi="Arial" w:cs="Arial"/>
          <w:sz w:val="20"/>
          <w:szCs w:val="20"/>
        </w:rPr>
      </w:pPr>
      <w:r w:rsidRPr="00607059">
        <w:rPr>
          <w:rFonts w:ascii="Arial" w:hAnsi="Arial" w:cs="Arial"/>
          <w:sz w:val="20"/>
          <w:szCs w:val="20"/>
          <w:lang w:val="en-US"/>
        </w:rPr>
        <w:t>a)</w:t>
      </w:r>
      <w:r w:rsidRPr="00607059">
        <w:rPr>
          <w:rFonts w:ascii="Arial" w:hAnsi="Arial" w:cs="Arial"/>
          <w:sz w:val="20"/>
          <w:szCs w:val="20"/>
        </w:rPr>
        <w:t xml:space="preserve"> Cho vay</w:t>
      </w:r>
      <w:r w:rsidR="00157D75" w:rsidRPr="00607059">
        <w:rPr>
          <w:rFonts w:ascii="Arial" w:hAnsi="Arial" w:cs="Arial"/>
          <w:sz w:val="20"/>
          <w:szCs w:val="20"/>
          <w:lang w:val="en-US"/>
        </w:rPr>
        <w:t>;</w:t>
      </w:r>
    </w:p>
    <w:p w:rsidR="00D626AC" w:rsidRPr="00607059" w:rsidRDefault="00D626AC" w:rsidP="00036C1A">
      <w:pPr>
        <w:spacing w:before="0" w:line="240" w:lineRule="auto"/>
        <w:ind w:firstLine="720"/>
        <w:rPr>
          <w:rFonts w:ascii="Arial" w:hAnsi="Arial" w:cs="Arial"/>
          <w:sz w:val="20"/>
          <w:szCs w:val="20"/>
        </w:rPr>
      </w:pPr>
      <w:r w:rsidRPr="00607059">
        <w:rPr>
          <w:rFonts w:ascii="Arial" w:hAnsi="Arial" w:cs="Arial"/>
          <w:sz w:val="20"/>
          <w:szCs w:val="20"/>
          <w:lang w:val="en-US"/>
        </w:rPr>
        <w:t>b)</w:t>
      </w:r>
      <w:r w:rsidRPr="00607059">
        <w:rPr>
          <w:rFonts w:ascii="Arial" w:hAnsi="Arial" w:cs="Arial"/>
          <w:sz w:val="20"/>
          <w:szCs w:val="20"/>
        </w:rPr>
        <w:t xml:space="preserve"> Ủy thác cho vay</w:t>
      </w:r>
      <w:r w:rsidR="00157D75" w:rsidRPr="00607059">
        <w:rPr>
          <w:rFonts w:ascii="Arial" w:hAnsi="Arial" w:cs="Arial"/>
          <w:sz w:val="20"/>
          <w:szCs w:val="20"/>
          <w:lang w:val="en-US"/>
        </w:rPr>
        <w:t>;</w:t>
      </w:r>
    </w:p>
    <w:p w:rsidR="00D626AC" w:rsidRPr="00607059" w:rsidRDefault="00D626AC" w:rsidP="00036C1A">
      <w:pPr>
        <w:spacing w:before="0" w:line="240" w:lineRule="auto"/>
        <w:ind w:firstLine="720"/>
        <w:rPr>
          <w:rFonts w:ascii="Arial" w:hAnsi="Arial" w:cs="Arial"/>
          <w:sz w:val="20"/>
          <w:szCs w:val="20"/>
        </w:rPr>
      </w:pPr>
      <w:r w:rsidRPr="00607059">
        <w:rPr>
          <w:rFonts w:ascii="Arial" w:hAnsi="Arial" w:cs="Arial"/>
          <w:sz w:val="20"/>
          <w:szCs w:val="20"/>
          <w:lang w:val="en-US"/>
        </w:rPr>
        <w:t>c)</w:t>
      </w:r>
      <w:r w:rsidRPr="00607059">
        <w:rPr>
          <w:rFonts w:ascii="Arial" w:hAnsi="Arial" w:cs="Arial"/>
          <w:sz w:val="20"/>
          <w:szCs w:val="20"/>
        </w:rPr>
        <w:t xml:space="preserve"> Gửi tiền (trừ tiền gửi thanh toán) tại tổ chức tín dụng, chi nhánh ngân hàng nước ngoài theo quy định của pháp luật.</w:t>
      </w:r>
    </w:p>
    <w:p w:rsidR="009B6966" w:rsidRPr="00607059" w:rsidRDefault="009B6966" w:rsidP="00036C1A">
      <w:pPr>
        <w:spacing w:before="0" w:line="240" w:lineRule="auto"/>
        <w:ind w:firstLine="720"/>
        <w:rPr>
          <w:rFonts w:ascii="Arial" w:hAnsi="Arial" w:cs="Arial"/>
          <w:sz w:val="20"/>
          <w:szCs w:val="20"/>
          <w:lang w:val="en-US"/>
        </w:rPr>
      </w:pPr>
      <w:r w:rsidRPr="00607059">
        <w:rPr>
          <w:rFonts w:ascii="Arial" w:hAnsi="Arial" w:cs="Arial"/>
          <w:sz w:val="20"/>
          <w:szCs w:val="20"/>
          <w:lang w:val="en-US"/>
        </w:rPr>
        <w:t>2. Đối tượng áp dụng:</w:t>
      </w:r>
    </w:p>
    <w:p w:rsidR="009B6966" w:rsidRPr="00607059" w:rsidRDefault="009B6966" w:rsidP="00036C1A">
      <w:pPr>
        <w:spacing w:before="0" w:line="240" w:lineRule="auto"/>
        <w:ind w:firstLine="720"/>
        <w:rPr>
          <w:rFonts w:ascii="Arial" w:hAnsi="Arial" w:cs="Arial"/>
          <w:sz w:val="20"/>
          <w:szCs w:val="20"/>
          <w:lang w:val="en-US"/>
        </w:rPr>
      </w:pPr>
      <w:r w:rsidRPr="00607059">
        <w:rPr>
          <w:rFonts w:ascii="Arial" w:hAnsi="Arial" w:cs="Arial"/>
          <w:sz w:val="20"/>
          <w:szCs w:val="20"/>
          <w:lang w:val="en-US"/>
        </w:rPr>
        <w:t>a) Tổ chức tài chính vi mô;</w:t>
      </w:r>
    </w:p>
    <w:p w:rsidR="009B6966" w:rsidRPr="00607059" w:rsidRDefault="009B6966" w:rsidP="00036C1A">
      <w:pPr>
        <w:spacing w:before="0" w:line="240" w:lineRule="auto"/>
        <w:ind w:firstLine="720"/>
        <w:rPr>
          <w:rFonts w:ascii="Arial" w:hAnsi="Arial" w:cs="Arial"/>
          <w:sz w:val="20"/>
          <w:szCs w:val="20"/>
          <w:lang w:val="en-US"/>
        </w:rPr>
      </w:pPr>
      <w:r w:rsidRPr="00607059">
        <w:rPr>
          <w:rFonts w:ascii="Arial" w:hAnsi="Arial" w:cs="Arial"/>
          <w:sz w:val="20"/>
          <w:szCs w:val="20"/>
          <w:lang w:val="en-US"/>
        </w:rPr>
        <w:t>b) Tổ chức, cá nhân khác có liên quan đến việc phân loại nợ của tổ chức tài chính vi mô.</w:t>
      </w:r>
    </w:p>
    <w:p w:rsidR="00D626AC" w:rsidRPr="00607059" w:rsidRDefault="00D626AC" w:rsidP="00036C1A">
      <w:pPr>
        <w:pStyle w:val="Heading2"/>
        <w:spacing w:after="120" w:line="240" w:lineRule="auto"/>
        <w:ind w:firstLine="720"/>
        <w:rPr>
          <w:rFonts w:ascii="Arial" w:hAnsi="Arial" w:cs="Arial"/>
          <w:sz w:val="20"/>
          <w:szCs w:val="20"/>
        </w:rPr>
      </w:pPr>
      <w:r w:rsidRPr="00607059">
        <w:rPr>
          <w:rFonts w:ascii="Arial" w:hAnsi="Arial" w:cs="Arial"/>
          <w:sz w:val="20"/>
          <w:szCs w:val="20"/>
        </w:rPr>
        <w:t>Điều 2. Giải thích từ ngữ</w:t>
      </w:r>
    </w:p>
    <w:p w:rsidR="00D626AC" w:rsidRPr="00607059" w:rsidRDefault="00D626AC" w:rsidP="00036C1A">
      <w:pPr>
        <w:spacing w:before="0" w:line="240" w:lineRule="auto"/>
        <w:ind w:firstLine="720"/>
        <w:rPr>
          <w:rFonts w:ascii="Arial" w:hAnsi="Arial" w:cs="Arial"/>
          <w:sz w:val="20"/>
          <w:szCs w:val="20"/>
        </w:rPr>
      </w:pPr>
      <w:r w:rsidRPr="00607059">
        <w:rPr>
          <w:rFonts w:ascii="Arial" w:hAnsi="Arial" w:cs="Arial"/>
          <w:sz w:val="20"/>
          <w:szCs w:val="20"/>
        </w:rPr>
        <w:t>Trong Thông tư này, các từ ngữ dưới đây được hiểu như sau:</w:t>
      </w:r>
    </w:p>
    <w:p w:rsidR="00D626AC" w:rsidRPr="00607059" w:rsidRDefault="00D626AC" w:rsidP="00036C1A">
      <w:pPr>
        <w:spacing w:before="0" w:line="240" w:lineRule="auto"/>
        <w:ind w:firstLine="720"/>
        <w:rPr>
          <w:rFonts w:ascii="Arial" w:hAnsi="Arial" w:cs="Arial"/>
          <w:sz w:val="20"/>
          <w:szCs w:val="20"/>
        </w:rPr>
      </w:pPr>
      <w:r w:rsidRPr="00607059">
        <w:rPr>
          <w:rFonts w:ascii="Arial" w:hAnsi="Arial" w:cs="Arial"/>
          <w:sz w:val="20"/>
          <w:szCs w:val="20"/>
        </w:rPr>
        <w:t>1. </w:t>
      </w:r>
      <w:r w:rsidRPr="00607059">
        <w:rPr>
          <w:rFonts w:ascii="Arial" w:hAnsi="Arial" w:cs="Arial"/>
          <w:iCs/>
          <w:sz w:val="20"/>
          <w:szCs w:val="20"/>
        </w:rPr>
        <w:t>Phân loại nợ</w:t>
      </w:r>
      <w:r w:rsidRPr="00607059">
        <w:rPr>
          <w:rFonts w:ascii="Arial" w:hAnsi="Arial" w:cs="Arial"/>
          <w:i/>
          <w:iCs/>
          <w:sz w:val="20"/>
          <w:szCs w:val="20"/>
        </w:rPr>
        <w:t> </w:t>
      </w:r>
      <w:r w:rsidRPr="00607059">
        <w:rPr>
          <w:rFonts w:ascii="Arial" w:hAnsi="Arial" w:cs="Arial"/>
          <w:sz w:val="20"/>
          <w:szCs w:val="20"/>
        </w:rPr>
        <w:t xml:space="preserve">là việc sắp xếp các khoản nợ gốc vào các nhóm nợ quy định tại Điều </w:t>
      </w:r>
      <w:r w:rsidRPr="00607059">
        <w:rPr>
          <w:rFonts w:ascii="Arial" w:hAnsi="Arial" w:cs="Arial"/>
          <w:sz w:val="20"/>
          <w:szCs w:val="20"/>
          <w:lang w:val="en-US"/>
        </w:rPr>
        <w:t>5</w:t>
      </w:r>
      <w:r w:rsidRPr="00607059">
        <w:rPr>
          <w:rFonts w:ascii="Arial" w:hAnsi="Arial" w:cs="Arial"/>
          <w:sz w:val="20"/>
          <w:szCs w:val="20"/>
        </w:rPr>
        <w:t xml:space="preserve"> Thông tư này.</w:t>
      </w:r>
    </w:p>
    <w:p w:rsidR="00D626AC" w:rsidRPr="00607059" w:rsidRDefault="00D626AC" w:rsidP="00036C1A">
      <w:pPr>
        <w:spacing w:before="0" w:line="240" w:lineRule="auto"/>
        <w:ind w:firstLine="720"/>
        <w:rPr>
          <w:rFonts w:ascii="Arial" w:hAnsi="Arial" w:cs="Arial"/>
          <w:sz w:val="20"/>
          <w:szCs w:val="20"/>
        </w:rPr>
      </w:pPr>
      <w:r w:rsidRPr="00607059">
        <w:rPr>
          <w:rFonts w:ascii="Arial" w:hAnsi="Arial" w:cs="Arial"/>
          <w:sz w:val="20"/>
          <w:szCs w:val="20"/>
          <w:lang w:eastAsia="vi-VN"/>
        </w:rPr>
        <w:t xml:space="preserve">2. </w:t>
      </w:r>
      <w:r w:rsidRPr="00607059">
        <w:rPr>
          <w:rFonts w:ascii="Arial" w:hAnsi="Arial" w:cs="Arial"/>
          <w:sz w:val="20"/>
          <w:szCs w:val="20"/>
        </w:rPr>
        <w:t>Khoản nợ là số tiền tổ chức tài chính vi mô đã gửi</w:t>
      </w:r>
      <w:r w:rsidR="00E612C1" w:rsidRPr="00607059">
        <w:rPr>
          <w:rFonts w:ascii="Arial" w:hAnsi="Arial" w:cs="Arial"/>
          <w:sz w:val="20"/>
          <w:szCs w:val="20"/>
          <w:lang w:val="en-US"/>
        </w:rPr>
        <w:t>,</w:t>
      </w:r>
      <w:r w:rsidRPr="00607059">
        <w:rPr>
          <w:rFonts w:ascii="Arial" w:hAnsi="Arial" w:cs="Arial"/>
          <w:sz w:val="20"/>
          <w:szCs w:val="20"/>
        </w:rPr>
        <w:t xml:space="preserve"> </w:t>
      </w:r>
      <w:r w:rsidR="006B55D4" w:rsidRPr="00607059">
        <w:rPr>
          <w:rFonts w:ascii="Arial" w:hAnsi="Arial" w:cs="Arial"/>
          <w:sz w:val="20"/>
          <w:szCs w:val="20"/>
        </w:rPr>
        <w:t xml:space="preserve">đã </w:t>
      </w:r>
      <w:r w:rsidRPr="00607059">
        <w:rPr>
          <w:rFonts w:ascii="Arial" w:hAnsi="Arial" w:cs="Arial"/>
          <w:sz w:val="20"/>
          <w:szCs w:val="20"/>
        </w:rPr>
        <w:t>giải ngân từng lần</w:t>
      </w:r>
      <w:r w:rsidR="00225EA6" w:rsidRPr="00607059">
        <w:rPr>
          <w:rFonts w:ascii="Arial" w:hAnsi="Arial" w:cs="Arial"/>
          <w:sz w:val="20"/>
          <w:szCs w:val="20"/>
        </w:rPr>
        <w:t xml:space="preserve"> </w:t>
      </w:r>
      <w:r w:rsidRPr="00607059">
        <w:rPr>
          <w:rFonts w:ascii="Arial" w:hAnsi="Arial" w:cs="Arial"/>
          <w:sz w:val="20"/>
          <w:szCs w:val="20"/>
        </w:rPr>
        <w:t xml:space="preserve">(đối với trường hợp mỗi lần giải ngân có một thời hạn, kỳ hạn trả nợ khác nhau) hoặc đã giải ngân theo thỏa thuận (đối với trường hợp nhiều lần giải ngân </w:t>
      </w:r>
      <w:r w:rsidRPr="00607059">
        <w:rPr>
          <w:rFonts w:ascii="Arial" w:hAnsi="Arial" w:cs="Arial"/>
          <w:sz w:val="20"/>
          <w:szCs w:val="20"/>
          <w:lang w:val="en-US"/>
        </w:rPr>
        <w:t>nhưng có thời điểm cuối cùng của thời hạn và kỳ hạn trả nợ giống nhau)</w:t>
      </w:r>
      <w:r w:rsidRPr="00607059">
        <w:rPr>
          <w:rFonts w:ascii="Arial" w:hAnsi="Arial" w:cs="Arial"/>
          <w:sz w:val="20"/>
          <w:szCs w:val="20"/>
        </w:rPr>
        <w:t xml:space="preserve"> đối với nợ </w:t>
      </w:r>
      <w:r w:rsidR="00ED75D2" w:rsidRPr="00607059">
        <w:rPr>
          <w:rFonts w:ascii="Arial" w:hAnsi="Arial" w:cs="Arial"/>
          <w:sz w:val="20"/>
          <w:szCs w:val="20"/>
          <w:lang w:val="en-US"/>
        </w:rPr>
        <w:t xml:space="preserve">của một khách hàng mà </w:t>
      </w:r>
      <w:r w:rsidRPr="00607059">
        <w:rPr>
          <w:rFonts w:ascii="Arial" w:hAnsi="Arial" w:cs="Arial"/>
          <w:sz w:val="20"/>
          <w:szCs w:val="20"/>
        </w:rPr>
        <w:t xml:space="preserve">khách hàng </w:t>
      </w:r>
      <w:r w:rsidR="00ED75D2" w:rsidRPr="00607059">
        <w:rPr>
          <w:rFonts w:ascii="Arial" w:hAnsi="Arial" w:cs="Arial"/>
          <w:sz w:val="20"/>
          <w:szCs w:val="20"/>
          <w:lang w:val="en-US"/>
        </w:rPr>
        <w:t xml:space="preserve">đó </w:t>
      </w:r>
      <w:r w:rsidRPr="00607059">
        <w:rPr>
          <w:rFonts w:ascii="Arial" w:hAnsi="Arial" w:cs="Arial"/>
          <w:sz w:val="20"/>
          <w:szCs w:val="20"/>
        </w:rPr>
        <w:t>chưa hoàn trả.</w:t>
      </w:r>
    </w:p>
    <w:p w:rsidR="00D626AC" w:rsidRPr="00607059" w:rsidRDefault="00D626AC" w:rsidP="00036C1A">
      <w:pPr>
        <w:spacing w:before="0" w:line="240" w:lineRule="auto"/>
        <w:ind w:firstLine="720"/>
        <w:rPr>
          <w:rFonts w:ascii="Arial" w:hAnsi="Arial" w:cs="Arial"/>
          <w:sz w:val="20"/>
          <w:szCs w:val="20"/>
        </w:rPr>
      </w:pPr>
      <w:r w:rsidRPr="00607059">
        <w:rPr>
          <w:rFonts w:ascii="Arial" w:hAnsi="Arial" w:cs="Arial"/>
          <w:sz w:val="20"/>
          <w:szCs w:val="20"/>
          <w:lang w:eastAsia="vi-VN"/>
        </w:rPr>
        <w:t>3. Khoản nợ quá hạn là khoản nợ mà khách hàng không trả được đúng hạn một phần hoặc toàn bộ nợ gốc và/hoặc lãi theo thỏa thuận với tổ chức tài chính vi mô.</w:t>
      </w:r>
    </w:p>
    <w:p w:rsidR="00D626AC" w:rsidRPr="00607059" w:rsidRDefault="00D626AC" w:rsidP="00036C1A">
      <w:pPr>
        <w:spacing w:before="0" w:line="240" w:lineRule="auto"/>
        <w:ind w:firstLine="720"/>
        <w:rPr>
          <w:rFonts w:ascii="Arial" w:hAnsi="Arial" w:cs="Arial"/>
          <w:sz w:val="20"/>
          <w:szCs w:val="20"/>
        </w:rPr>
      </w:pPr>
      <w:r w:rsidRPr="00607059">
        <w:rPr>
          <w:rFonts w:ascii="Arial" w:hAnsi="Arial" w:cs="Arial"/>
          <w:sz w:val="20"/>
          <w:szCs w:val="20"/>
        </w:rPr>
        <w:t>4. </w:t>
      </w:r>
      <w:r w:rsidRPr="00607059">
        <w:rPr>
          <w:rFonts w:ascii="Arial" w:hAnsi="Arial" w:cs="Arial"/>
          <w:iCs/>
          <w:sz w:val="20"/>
          <w:szCs w:val="20"/>
        </w:rPr>
        <w:t>Nợ xấu</w:t>
      </w:r>
      <w:r w:rsidRPr="00607059">
        <w:rPr>
          <w:rFonts w:ascii="Arial" w:hAnsi="Arial" w:cs="Arial"/>
          <w:i/>
          <w:iCs/>
          <w:sz w:val="20"/>
          <w:szCs w:val="20"/>
        </w:rPr>
        <w:t> </w:t>
      </w:r>
      <w:r w:rsidRPr="00607059">
        <w:rPr>
          <w:rFonts w:ascii="Arial" w:hAnsi="Arial" w:cs="Arial"/>
          <w:sz w:val="20"/>
          <w:szCs w:val="20"/>
        </w:rPr>
        <w:t xml:space="preserve">(NPL) là </w:t>
      </w:r>
      <w:r w:rsidRPr="00607059">
        <w:rPr>
          <w:rFonts w:ascii="Arial" w:hAnsi="Arial" w:cs="Arial"/>
          <w:sz w:val="20"/>
          <w:szCs w:val="20"/>
          <w:shd w:val="clear" w:color="auto" w:fill="FFFFFF"/>
        </w:rPr>
        <w:t xml:space="preserve">nợ xấu nội bảng, gồm nợ thuộc các nhóm 3, 4 và 5 </w:t>
      </w:r>
      <w:r w:rsidRPr="00607059">
        <w:rPr>
          <w:rFonts w:ascii="Arial" w:hAnsi="Arial" w:cs="Arial"/>
          <w:sz w:val="20"/>
          <w:szCs w:val="20"/>
        </w:rPr>
        <w:t>theo quy định tại Thông tư này.</w:t>
      </w:r>
    </w:p>
    <w:p w:rsidR="00D626AC" w:rsidRPr="00607059" w:rsidRDefault="00D626AC" w:rsidP="00036C1A">
      <w:pPr>
        <w:spacing w:before="0" w:line="240" w:lineRule="auto"/>
        <w:ind w:firstLine="720"/>
        <w:rPr>
          <w:rFonts w:ascii="Arial" w:hAnsi="Arial" w:cs="Arial"/>
          <w:sz w:val="20"/>
          <w:szCs w:val="20"/>
        </w:rPr>
      </w:pPr>
      <w:r w:rsidRPr="00607059">
        <w:rPr>
          <w:rFonts w:ascii="Arial" w:hAnsi="Arial" w:cs="Arial"/>
          <w:sz w:val="20"/>
          <w:szCs w:val="20"/>
          <w:lang w:eastAsia="vi-VN"/>
        </w:rPr>
        <w:t>5. Tỷ lệ nợ xấu là tỷ lệ giữa nợ xấu so với tổng các khoản nợ từ nhóm 1 đến nhóm 5</w:t>
      </w:r>
      <w:r w:rsidR="000E7907" w:rsidRPr="00607059">
        <w:rPr>
          <w:rFonts w:ascii="Arial" w:hAnsi="Arial" w:cs="Arial"/>
          <w:sz w:val="20"/>
          <w:szCs w:val="20"/>
        </w:rPr>
        <w:t xml:space="preserve"> theo quy định tại Thông tư này</w:t>
      </w:r>
      <w:r w:rsidRPr="00607059">
        <w:rPr>
          <w:rFonts w:ascii="Arial" w:hAnsi="Arial" w:cs="Arial"/>
          <w:sz w:val="20"/>
          <w:szCs w:val="20"/>
          <w:lang w:eastAsia="vi-VN"/>
        </w:rPr>
        <w:t>.</w:t>
      </w:r>
    </w:p>
    <w:p w:rsidR="00D626AC" w:rsidRPr="00607059" w:rsidRDefault="00D626AC" w:rsidP="00036C1A">
      <w:pPr>
        <w:spacing w:before="0" w:line="240" w:lineRule="auto"/>
        <w:ind w:firstLine="720"/>
        <w:rPr>
          <w:rFonts w:ascii="Arial" w:hAnsi="Arial" w:cs="Arial"/>
          <w:sz w:val="20"/>
          <w:szCs w:val="20"/>
        </w:rPr>
      </w:pPr>
      <w:r w:rsidRPr="00607059">
        <w:rPr>
          <w:rFonts w:ascii="Arial" w:hAnsi="Arial" w:cs="Arial"/>
          <w:sz w:val="20"/>
          <w:szCs w:val="20"/>
          <w:lang w:eastAsia="vi-VN"/>
        </w:rPr>
        <w:t>6. Nợ cơ cấu lại thời hạn trả nợ là nợ được cơ cấu lại thời hạn trả nợ theo quy định của Ngân hàng Nhà nước</w:t>
      </w:r>
      <w:r w:rsidRPr="00607059">
        <w:rPr>
          <w:rFonts w:ascii="Arial" w:hAnsi="Arial" w:cs="Arial"/>
          <w:sz w:val="20"/>
          <w:szCs w:val="20"/>
          <w:lang w:val="en-US" w:eastAsia="vi-VN"/>
        </w:rPr>
        <w:t xml:space="preserve"> Việt Nam (sau đây gọi tắt là Ngân hàng Nhà nước)</w:t>
      </w:r>
      <w:r w:rsidRPr="00607059">
        <w:rPr>
          <w:rFonts w:ascii="Arial" w:hAnsi="Arial" w:cs="Arial"/>
          <w:sz w:val="20"/>
          <w:szCs w:val="20"/>
          <w:lang w:eastAsia="vi-VN"/>
        </w:rPr>
        <w:t>.</w:t>
      </w:r>
    </w:p>
    <w:p w:rsidR="00E612C1" w:rsidRPr="00607059" w:rsidRDefault="00E612C1" w:rsidP="00036C1A">
      <w:pPr>
        <w:pStyle w:val="Heading2"/>
        <w:spacing w:after="120" w:line="240" w:lineRule="auto"/>
        <w:ind w:firstLine="720"/>
        <w:rPr>
          <w:rFonts w:ascii="Arial" w:hAnsi="Arial" w:cs="Arial"/>
          <w:b w:val="0"/>
          <w:sz w:val="20"/>
          <w:szCs w:val="20"/>
        </w:rPr>
      </w:pPr>
      <w:r w:rsidRPr="00607059">
        <w:rPr>
          <w:rFonts w:ascii="Arial" w:eastAsia="Calibri" w:hAnsi="Arial" w:cs="Arial"/>
          <w:b w:val="0"/>
          <w:sz w:val="20"/>
          <w:szCs w:val="20"/>
        </w:rPr>
        <w:lastRenderedPageBreak/>
        <w:t>7.</w:t>
      </w:r>
      <w:r w:rsidRPr="00607059">
        <w:rPr>
          <w:rFonts w:ascii="Arial" w:hAnsi="Arial" w:cs="Arial"/>
          <w:b w:val="0"/>
          <w:sz w:val="20"/>
          <w:szCs w:val="20"/>
        </w:rPr>
        <w:t xml:space="preserve"> Khách hàng là tổ chức tín dụng, chi nhánh ngân hàng nước ngoài; khách hàng tài chính vi mô theo quy định của </w:t>
      </w:r>
      <w:r w:rsidR="009C186E" w:rsidRPr="00607059">
        <w:rPr>
          <w:rFonts w:ascii="Arial" w:hAnsi="Arial" w:cs="Arial"/>
          <w:b w:val="0"/>
          <w:sz w:val="20"/>
          <w:szCs w:val="20"/>
          <w:lang w:val="en-US"/>
        </w:rPr>
        <w:t xml:space="preserve">Ngân hàng Nhà nước </w:t>
      </w:r>
      <w:r w:rsidRPr="00607059">
        <w:rPr>
          <w:rFonts w:ascii="Arial" w:hAnsi="Arial" w:cs="Arial"/>
          <w:b w:val="0"/>
          <w:sz w:val="20"/>
          <w:szCs w:val="20"/>
        </w:rPr>
        <w:t>có nghĩa vụ hoặc có thể phát sinh nghĩa vụ trả nợ, thanh toán cho tổ chức tài chính vi mô theo thỏa thuận.</w:t>
      </w:r>
    </w:p>
    <w:p w:rsidR="00D626AC" w:rsidRPr="00607059" w:rsidRDefault="00D626AC" w:rsidP="00036C1A">
      <w:pPr>
        <w:pStyle w:val="Heading2"/>
        <w:spacing w:after="120" w:line="240" w:lineRule="auto"/>
        <w:ind w:firstLine="720"/>
        <w:rPr>
          <w:rFonts w:ascii="Arial" w:hAnsi="Arial" w:cs="Arial"/>
          <w:sz w:val="20"/>
          <w:szCs w:val="20"/>
        </w:rPr>
      </w:pPr>
      <w:r w:rsidRPr="00607059">
        <w:rPr>
          <w:rFonts w:ascii="Arial" w:hAnsi="Arial" w:cs="Arial"/>
          <w:sz w:val="20"/>
          <w:szCs w:val="20"/>
        </w:rPr>
        <w:t xml:space="preserve">Điều 3. Định kỳ thực hiện phân loại nợ </w:t>
      </w:r>
    </w:p>
    <w:p w:rsidR="00D626AC" w:rsidRPr="00607059" w:rsidRDefault="00D626AC" w:rsidP="00C25523">
      <w:pPr>
        <w:pStyle w:val="CommentText"/>
        <w:spacing w:before="0" w:after="0" w:line="240" w:lineRule="auto"/>
        <w:ind w:firstLine="720"/>
        <w:rPr>
          <w:rFonts w:ascii="Arial" w:hAnsi="Arial" w:cs="Arial"/>
          <w:noProof/>
          <w:lang w:val="en-US"/>
        </w:rPr>
      </w:pPr>
      <w:r w:rsidRPr="00607059">
        <w:rPr>
          <w:rFonts w:ascii="Arial" w:hAnsi="Arial" w:cs="Arial"/>
          <w:noProof/>
          <w:lang w:val="en-US"/>
        </w:rPr>
        <w:t>Ít nhất mỗi tháng một lần, trong 0</w:t>
      </w:r>
      <w:r w:rsidR="00877986" w:rsidRPr="00607059">
        <w:rPr>
          <w:rFonts w:ascii="Arial" w:hAnsi="Arial" w:cs="Arial"/>
          <w:noProof/>
          <w:lang w:val="en-US"/>
        </w:rPr>
        <w:t>7</w:t>
      </w:r>
      <w:r w:rsidRPr="00607059">
        <w:rPr>
          <w:rFonts w:ascii="Arial" w:hAnsi="Arial" w:cs="Arial"/>
          <w:noProof/>
          <w:lang w:val="en-US"/>
        </w:rPr>
        <w:t xml:space="preserve"> ngày đầu tiên của tháng, tổ chức tài chính vi mô căn cứ quy định tại Điều 4 và Điều 5 Thông tư này để tự thực hiện phân loại nợ đến thời điểm cuối ngày cuối cùng của tháng trước liền kề.</w:t>
      </w:r>
    </w:p>
    <w:p w:rsidR="00C25523" w:rsidRPr="00607059" w:rsidRDefault="00C25523" w:rsidP="00C25523">
      <w:pPr>
        <w:pStyle w:val="Heading1"/>
        <w:spacing w:before="0" w:after="0" w:line="240" w:lineRule="auto"/>
        <w:rPr>
          <w:rFonts w:ascii="Arial" w:hAnsi="Arial" w:cs="Arial"/>
          <w:sz w:val="20"/>
          <w:szCs w:val="20"/>
        </w:rPr>
      </w:pPr>
    </w:p>
    <w:p w:rsidR="00C25523" w:rsidRPr="00607059" w:rsidRDefault="00C25523" w:rsidP="00C25523">
      <w:pPr>
        <w:pStyle w:val="Heading1"/>
        <w:spacing w:before="0" w:after="0" w:line="240" w:lineRule="auto"/>
        <w:rPr>
          <w:rFonts w:ascii="Arial" w:hAnsi="Arial" w:cs="Arial"/>
          <w:sz w:val="20"/>
          <w:szCs w:val="20"/>
        </w:rPr>
      </w:pPr>
      <w:r w:rsidRPr="00607059">
        <w:rPr>
          <w:rFonts w:ascii="Arial" w:hAnsi="Arial" w:cs="Arial"/>
          <w:sz w:val="20"/>
          <w:szCs w:val="20"/>
        </w:rPr>
        <w:t>Chương II</w:t>
      </w:r>
    </w:p>
    <w:p w:rsidR="00C25523" w:rsidRPr="00607059" w:rsidRDefault="00D626AC" w:rsidP="00C25523">
      <w:pPr>
        <w:pStyle w:val="Heading1"/>
        <w:spacing w:before="0" w:after="0" w:line="240" w:lineRule="auto"/>
        <w:rPr>
          <w:rFonts w:ascii="Arial" w:hAnsi="Arial" w:cs="Arial"/>
          <w:sz w:val="20"/>
          <w:szCs w:val="20"/>
        </w:rPr>
      </w:pPr>
      <w:r w:rsidRPr="00607059">
        <w:rPr>
          <w:rFonts w:ascii="Arial" w:hAnsi="Arial" w:cs="Arial"/>
          <w:sz w:val="20"/>
          <w:szCs w:val="20"/>
        </w:rPr>
        <w:t>QUY ĐỊNH CỤ THỂ</w:t>
      </w:r>
    </w:p>
    <w:p w:rsidR="00C25523" w:rsidRPr="00607059" w:rsidRDefault="00C25523" w:rsidP="00C25523">
      <w:pPr>
        <w:spacing w:before="0" w:after="0" w:line="240" w:lineRule="auto"/>
        <w:jc w:val="center"/>
        <w:rPr>
          <w:rFonts w:ascii="Arial" w:hAnsi="Arial" w:cs="Arial"/>
          <w:sz w:val="20"/>
          <w:szCs w:val="20"/>
        </w:rPr>
      </w:pPr>
    </w:p>
    <w:p w:rsidR="00D626AC" w:rsidRPr="00607059" w:rsidRDefault="00D626AC" w:rsidP="00036C1A">
      <w:pPr>
        <w:spacing w:before="0" w:line="240" w:lineRule="auto"/>
        <w:ind w:firstLine="720"/>
        <w:rPr>
          <w:rFonts w:ascii="Arial" w:hAnsi="Arial" w:cs="Arial"/>
          <w:b/>
          <w:sz w:val="20"/>
          <w:szCs w:val="20"/>
          <w:lang w:val="en-US"/>
        </w:rPr>
      </w:pPr>
      <w:r w:rsidRPr="00607059">
        <w:rPr>
          <w:rFonts w:ascii="Arial" w:hAnsi="Arial" w:cs="Arial"/>
          <w:b/>
          <w:sz w:val="20"/>
          <w:szCs w:val="20"/>
          <w:lang w:val="en-US"/>
        </w:rPr>
        <w:t>Điều 4. Nguyên tắc phân loại nợ</w:t>
      </w:r>
    </w:p>
    <w:p w:rsidR="00D626AC" w:rsidRPr="00607059" w:rsidRDefault="00D626AC" w:rsidP="00036C1A">
      <w:pPr>
        <w:spacing w:before="0" w:line="240" w:lineRule="auto"/>
        <w:ind w:firstLine="720"/>
        <w:rPr>
          <w:rFonts w:ascii="Arial" w:hAnsi="Arial" w:cs="Arial"/>
          <w:bCs/>
          <w:sz w:val="20"/>
          <w:szCs w:val="20"/>
        </w:rPr>
      </w:pPr>
      <w:r w:rsidRPr="00607059">
        <w:rPr>
          <w:rFonts w:ascii="Arial" w:hAnsi="Arial" w:cs="Arial"/>
          <w:bCs/>
          <w:sz w:val="20"/>
          <w:szCs w:val="20"/>
          <w:lang w:val="en-US"/>
        </w:rPr>
        <w:t>1</w:t>
      </w:r>
      <w:r w:rsidRPr="00607059">
        <w:rPr>
          <w:rFonts w:ascii="Arial" w:hAnsi="Arial" w:cs="Arial"/>
          <w:bCs/>
          <w:sz w:val="20"/>
          <w:szCs w:val="20"/>
        </w:rPr>
        <w:t>. Toàn bộ dư nợ của một khách hàng tại một tổ chức tài chính vi mô phải được phân loại vào cùng một nhóm nợ. Đối với khách hàng có từ 02 khoản nợ trở lên tại tổ chức tài chính vi mô mà có bất cứ một khoản nợ nào bị phân loại theo quy định tại Điều 5 Thông tư này vào nhóm có mức độ rủi ro cao hơn các khoản nợ khác, tổ chức tài chính vi mô phải phân loại lại các khoản nợ còn lại của khách hàng vào nhóm có mức độ rủi ro cao nhất.</w:t>
      </w:r>
    </w:p>
    <w:p w:rsidR="00D626AC" w:rsidRPr="00607059" w:rsidRDefault="00D626AC" w:rsidP="00036C1A">
      <w:pPr>
        <w:spacing w:before="0" w:line="240" w:lineRule="auto"/>
        <w:ind w:firstLine="720"/>
        <w:rPr>
          <w:rFonts w:ascii="Arial" w:hAnsi="Arial" w:cs="Arial"/>
          <w:bCs/>
          <w:sz w:val="20"/>
          <w:szCs w:val="20"/>
        </w:rPr>
      </w:pPr>
      <w:r w:rsidRPr="00607059">
        <w:rPr>
          <w:rFonts w:ascii="Arial" w:hAnsi="Arial" w:cs="Arial"/>
          <w:bCs/>
          <w:sz w:val="20"/>
          <w:szCs w:val="20"/>
        </w:rPr>
        <w:t xml:space="preserve">2. </w:t>
      </w:r>
      <w:bookmarkStart w:id="1" w:name="bookmark=id.35nkun2" w:colFirst="0" w:colLast="0"/>
      <w:bookmarkEnd w:id="1"/>
      <w:r w:rsidRPr="00607059">
        <w:rPr>
          <w:rFonts w:ascii="Arial" w:hAnsi="Arial" w:cs="Arial"/>
          <w:bCs/>
          <w:sz w:val="20"/>
          <w:szCs w:val="20"/>
        </w:rPr>
        <w:t xml:space="preserve">Đối với khoản ủy thác </w:t>
      </w:r>
      <w:r w:rsidRPr="00607059">
        <w:rPr>
          <w:rFonts w:ascii="Arial" w:hAnsi="Arial" w:cs="Arial"/>
          <w:bCs/>
          <w:sz w:val="20"/>
          <w:szCs w:val="20"/>
          <w:lang w:val="en-US"/>
        </w:rPr>
        <w:t>cho vay</w:t>
      </w:r>
      <w:r w:rsidRPr="00607059">
        <w:rPr>
          <w:rFonts w:ascii="Arial" w:hAnsi="Arial" w:cs="Arial"/>
          <w:bCs/>
          <w:sz w:val="20"/>
          <w:szCs w:val="20"/>
        </w:rPr>
        <w:t xml:space="preserve"> mà bên nhận ủy thác chưa giải ngân hết số tiền đã ủy thác theo hợp đồng ủy thác, tổ chức tài chính vi mô ủy thác phải phân loại số tiền đã ủy thác nhưng chưa giải ngân như là một khoản cho vay đối với bên nhận ủy thác. Thời gian quá hạn được xác định từ thời điểm bên nhận ủy thác không giải ngân đúng theo thời hạn giải ngân quy định tại hợp đồng ủy thác.</w:t>
      </w:r>
    </w:p>
    <w:p w:rsidR="00D626AC" w:rsidRPr="00607059" w:rsidRDefault="00D626AC" w:rsidP="00036C1A">
      <w:pPr>
        <w:pStyle w:val="Heading2"/>
        <w:spacing w:after="120" w:line="240" w:lineRule="auto"/>
        <w:ind w:firstLine="720"/>
        <w:rPr>
          <w:rFonts w:ascii="Arial" w:hAnsi="Arial" w:cs="Arial"/>
          <w:sz w:val="20"/>
          <w:szCs w:val="20"/>
        </w:rPr>
      </w:pPr>
      <w:r w:rsidRPr="00607059">
        <w:rPr>
          <w:rFonts w:ascii="Arial" w:hAnsi="Arial" w:cs="Arial"/>
          <w:sz w:val="20"/>
          <w:szCs w:val="20"/>
        </w:rPr>
        <w:t>Điều</w:t>
      </w:r>
      <w:r w:rsidRPr="00607059">
        <w:rPr>
          <w:rFonts w:ascii="Arial" w:hAnsi="Arial" w:cs="Arial"/>
          <w:sz w:val="20"/>
          <w:szCs w:val="20"/>
          <w:lang w:val="en-US"/>
        </w:rPr>
        <w:t xml:space="preserve"> 5. </w:t>
      </w:r>
      <w:r w:rsidRPr="00607059">
        <w:rPr>
          <w:rFonts w:ascii="Arial" w:hAnsi="Arial" w:cs="Arial"/>
          <w:sz w:val="20"/>
          <w:szCs w:val="20"/>
        </w:rPr>
        <w:t>Phân loại nợ</w:t>
      </w:r>
    </w:p>
    <w:p w:rsidR="00D626AC" w:rsidRPr="00607059" w:rsidRDefault="00D626AC"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Tổ chức tài chính vi mô thực hiện phân loại nợ theo 05 nhóm như sau:</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1. Nhóm 1 (Nợ đủ tiêu chuẩn) bao gồm:</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a) Các khoản nợ trong hạn;</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b) Các khoản nợ quá hạn dưới 10 ngày.</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2. Nhóm 2 (Nợ cần chú ý) bao gồm:</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a) Các khoản nợ quá hạn từ 10 ngày đến dưới 30 ngày;</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b) Các khoản nợ cơ cấu lại thời hạn trả nợ lần đầu.</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3. Nhóm 3 (Nợ dưới tiêu chuẩn) bao gồm:</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a) Các khoản nợ quá hạn từ 30 ngày đến dưới 90 ngày;</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b) Các khoản nợ cơ cấu lại thời hạn trả nợ lần đầu quá hạn dưới 30 ngày theo thời hạn trả nợ đã được cơ cấu lại lần đầu;</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 xml:space="preserve">c) Các khoản nợ được miễn hoặc giảm lãi do khách hàng không đủ khả năng trả lãi đầy đủ theo </w:t>
      </w:r>
      <w:r w:rsidR="00CE76B4" w:rsidRPr="00607059">
        <w:rPr>
          <w:rFonts w:ascii="Arial" w:hAnsi="Arial" w:cs="Arial"/>
          <w:sz w:val="20"/>
          <w:szCs w:val="20"/>
        </w:rPr>
        <w:t>thỏa thuận</w:t>
      </w:r>
      <w:r w:rsidRPr="00607059">
        <w:rPr>
          <w:rFonts w:ascii="Arial" w:hAnsi="Arial" w:cs="Arial"/>
          <w:sz w:val="20"/>
          <w:szCs w:val="20"/>
        </w:rPr>
        <w:t>.</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4. Nhóm 4 (Nợ nghi ngờ mất vốn) bao gồm:</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a) Các khoản nợ quá hạn từ 90 ngày đến dưới 180 ngày;</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b) Các khoản nợ cơ cấu lại thời hạn trả nợ lần đầu quá hạn từ 30 ngày đến dưới 90 ngày theo thời hạn trả nợ đã được cơ cấu lại lần đầu;</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c) Các khoản nợ cơ cấu lại thời hạn trả nợ lần thứ hai.</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5. Nhóm 5 (Nợ có khả năng mất vốn) bao gồm:</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a) Các khoản nợ quá hạn từ 180 ngày trở lên;</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b) Các khoản nợ cơ cấu lại thời hạn trả nợ lần đầu quá hạn từ 90 ngày trở lên theo thời hạn trả nợ được cơ cấu lại lần đầu;</w:t>
      </w:r>
    </w:p>
    <w:p w:rsidR="00ED75D2" w:rsidRPr="00607059" w:rsidRDefault="00ED75D2" w:rsidP="00036C1A">
      <w:pPr>
        <w:pStyle w:val="NormalWeb"/>
        <w:shd w:val="clear" w:color="auto" w:fill="FFFFFF"/>
        <w:spacing w:before="0" w:beforeAutospacing="0" w:after="120" w:afterAutospacing="0"/>
        <w:ind w:firstLine="720"/>
        <w:jc w:val="both"/>
        <w:rPr>
          <w:rFonts w:ascii="Arial" w:hAnsi="Arial" w:cs="Arial"/>
          <w:sz w:val="20"/>
          <w:szCs w:val="20"/>
        </w:rPr>
      </w:pPr>
      <w:r w:rsidRPr="00607059">
        <w:rPr>
          <w:rFonts w:ascii="Arial" w:hAnsi="Arial" w:cs="Arial"/>
          <w:sz w:val="20"/>
          <w:szCs w:val="20"/>
        </w:rPr>
        <w:t>c) Các khoản nợ cơ cấu lại thời hạn trả nợ lần thứ hai quá hạn theo thời hạn trả nợ được cơ cấu lại lần thứ hai;</w:t>
      </w:r>
    </w:p>
    <w:p w:rsidR="00ED75D2" w:rsidRPr="00607059" w:rsidRDefault="00ED75D2" w:rsidP="00036C1A">
      <w:pPr>
        <w:spacing w:before="0" w:line="240" w:lineRule="auto"/>
        <w:ind w:firstLine="720"/>
        <w:rPr>
          <w:rFonts w:ascii="Arial" w:hAnsi="Arial" w:cs="Arial"/>
          <w:sz w:val="20"/>
          <w:szCs w:val="20"/>
        </w:rPr>
      </w:pPr>
      <w:r w:rsidRPr="00607059">
        <w:rPr>
          <w:rFonts w:ascii="Arial" w:hAnsi="Arial" w:cs="Arial"/>
          <w:sz w:val="20"/>
          <w:szCs w:val="20"/>
        </w:rPr>
        <w:lastRenderedPageBreak/>
        <w:t>d) Các khoản nợ cơ cấu lại thời hạn trả nợ lần thứ ba trở lên, kể cả chưa bị quá hạn hoặc đã quá hạn.</w:t>
      </w:r>
    </w:p>
    <w:p w:rsidR="00D626AC" w:rsidRPr="00607059" w:rsidRDefault="00D626AC" w:rsidP="00036C1A">
      <w:pPr>
        <w:pStyle w:val="Heading2"/>
        <w:spacing w:after="120" w:line="240" w:lineRule="auto"/>
        <w:ind w:firstLine="720"/>
        <w:rPr>
          <w:rFonts w:ascii="Arial" w:hAnsi="Arial" w:cs="Arial"/>
          <w:sz w:val="20"/>
          <w:szCs w:val="20"/>
        </w:rPr>
      </w:pPr>
      <w:r w:rsidRPr="00607059">
        <w:rPr>
          <w:rFonts w:ascii="Arial" w:hAnsi="Arial" w:cs="Arial"/>
          <w:sz w:val="20"/>
          <w:szCs w:val="20"/>
        </w:rPr>
        <w:t xml:space="preserve">Điều </w:t>
      </w:r>
      <w:r w:rsidR="0020544B" w:rsidRPr="00607059">
        <w:rPr>
          <w:rFonts w:ascii="Arial" w:hAnsi="Arial" w:cs="Arial"/>
          <w:sz w:val="20"/>
          <w:szCs w:val="20"/>
          <w:lang w:val="en-US"/>
        </w:rPr>
        <w:t>6</w:t>
      </w:r>
      <w:r w:rsidRPr="00607059">
        <w:rPr>
          <w:rFonts w:ascii="Arial" w:hAnsi="Arial" w:cs="Arial"/>
          <w:sz w:val="20"/>
          <w:szCs w:val="20"/>
        </w:rPr>
        <w:t>. Báo cáo</w:t>
      </w:r>
    </w:p>
    <w:p w:rsidR="00D626AC" w:rsidRPr="00607059" w:rsidRDefault="00D626AC" w:rsidP="00C25523">
      <w:pPr>
        <w:spacing w:before="0" w:after="0" w:line="240" w:lineRule="auto"/>
        <w:ind w:firstLine="720"/>
        <w:rPr>
          <w:rFonts w:ascii="Arial" w:eastAsia="Times New Roman" w:hAnsi="Arial" w:cs="Arial"/>
          <w:b/>
          <w:bCs/>
          <w:sz w:val="20"/>
          <w:szCs w:val="20"/>
          <w:lang w:val="en-US"/>
        </w:rPr>
      </w:pPr>
      <w:r w:rsidRPr="00607059">
        <w:rPr>
          <w:rFonts w:ascii="Arial" w:hAnsi="Arial" w:cs="Arial"/>
          <w:sz w:val="20"/>
          <w:szCs w:val="20"/>
        </w:rPr>
        <w:t>Tổ chức tài chính vi mô phải</w:t>
      </w:r>
      <w:r w:rsidRPr="00607059">
        <w:rPr>
          <w:rFonts w:ascii="Arial" w:hAnsi="Arial" w:cs="Arial"/>
          <w:sz w:val="20"/>
          <w:szCs w:val="20"/>
          <w:lang w:val="en-US"/>
        </w:rPr>
        <w:t xml:space="preserve"> báo cáo kết quả phân loại nợ, trích lập</w:t>
      </w:r>
      <w:r w:rsidR="00644CAE" w:rsidRPr="00607059">
        <w:rPr>
          <w:rFonts w:ascii="Arial" w:hAnsi="Arial" w:cs="Arial"/>
          <w:sz w:val="20"/>
          <w:szCs w:val="20"/>
          <w:lang w:val="en-US"/>
        </w:rPr>
        <w:t xml:space="preserve"> và</w:t>
      </w:r>
      <w:r w:rsidRPr="00607059">
        <w:rPr>
          <w:rFonts w:ascii="Arial" w:hAnsi="Arial" w:cs="Arial"/>
          <w:sz w:val="20"/>
          <w:szCs w:val="20"/>
          <w:lang w:val="en-US"/>
        </w:rPr>
        <w:t xml:space="preserve"> sử dụng dự phòng</w:t>
      </w:r>
      <w:r w:rsidR="00644CAE" w:rsidRPr="00607059">
        <w:rPr>
          <w:rFonts w:ascii="Arial" w:hAnsi="Arial" w:cs="Arial"/>
          <w:sz w:val="20"/>
          <w:szCs w:val="20"/>
          <w:lang w:val="en-US"/>
        </w:rPr>
        <w:t xml:space="preserve"> để xử lý</w:t>
      </w:r>
      <w:r w:rsidRPr="00607059">
        <w:rPr>
          <w:rFonts w:ascii="Arial" w:hAnsi="Arial" w:cs="Arial"/>
          <w:sz w:val="20"/>
          <w:szCs w:val="20"/>
          <w:lang w:val="en-US"/>
        </w:rPr>
        <w:t xml:space="preserve"> rủi ro theo quy định về chế độ báo cáo thống kê áp dụng đối với các tổ chức tài chính vi mô do Ngân hàng Nhà nước ban hành.</w:t>
      </w:r>
      <w:bookmarkStart w:id="2" w:name="chuong_3_name"/>
      <w:r w:rsidRPr="00607059">
        <w:rPr>
          <w:rFonts w:ascii="Arial" w:hAnsi="Arial" w:cs="Arial"/>
          <w:b/>
          <w:sz w:val="20"/>
          <w:szCs w:val="20"/>
        </w:rPr>
        <w:t xml:space="preserve"> </w:t>
      </w:r>
      <w:bookmarkStart w:id="3" w:name="bookmark=id.32hioqz" w:colFirst="0" w:colLast="0"/>
      <w:bookmarkEnd w:id="2"/>
      <w:bookmarkEnd w:id="3"/>
    </w:p>
    <w:p w:rsidR="00C25523" w:rsidRPr="00607059" w:rsidRDefault="00C25523" w:rsidP="00C25523">
      <w:pPr>
        <w:pStyle w:val="Heading1"/>
        <w:tabs>
          <w:tab w:val="left" w:pos="720"/>
        </w:tabs>
        <w:spacing w:before="0" w:after="0" w:line="240" w:lineRule="auto"/>
        <w:rPr>
          <w:rFonts w:ascii="Arial" w:hAnsi="Arial" w:cs="Arial"/>
          <w:sz w:val="20"/>
          <w:szCs w:val="20"/>
        </w:rPr>
      </w:pPr>
    </w:p>
    <w:p w:rsidR="00D626AC" w:rsidRPr="00607059" w:rsidRDefault="00D626AC" w:rsidP="00C25523">
      <w:pPr>
        <w:pStyle w:val="Heading1"/>
        <w:tabs>
          <w:tab w:val="left" w:pos="720"/>
        </w:tabs>
        <w:spacing w:before="0" w:after="0" w:line="240" w:lineRule="auto"/>
        <w:rPr>
          <w:rFonts w:ascii="Arial" w:hAnsi="Arial" w:cs="Arial"/>
          <w:sz w:val="20"/>
          <w:szCs w:val="20"/>
          <w:lang w:val="en-US"/>
        </w:rPr>
      </w:pPr>
      <w:r w:rsidRPr="00607059">
        <w:rPr>
          <w:rFonts w:ascii="Arial" w:hAnsi="Arial" w:cs="Arial"/>
          <w:sz w:val="20"/>
          <w:szCs w:val="20"/>
        </w:rPr>
        <w:t>Chương I</w:t>
      </w:r>
      <w:r w:rsidR="005C5E3C" w:rsidRPr="00607059">
        <w:rPr>
          <w:rFonts w:ascii="Arial" w:hAnsi="Arial" w:cs="Arial"/>
          <w:sz w:val="20"/>
          <w:szCs w:val="20"/>
          <w:lang w:val="en-US"/>
        </w:rPr>
        <w:t>II</w:t>
      </w:r>
      <w:r w:rsidRPr="00607059">
        <w:rPr>
          <w:rFonts w:ascii="Arial" w:hAnsi="Arial" w:cs="Arial"/>
          <w:sz w:val="20"/>
          <w:szCs w:val="20"/>
        </w:rPr>
        <w:br/>
      </w:r>
      <w:r w:rsidR="005C5E3C" w:rsidRPr="00607059">
        <w:rPr>
          <w:rFonts w:ascii="Arial" w:hAnsi="Arial" w:cs="Arial"/>
          <w:sz w:val="20"/>
          <w:szCs w:val="20"/>
          <w:lang w:val="en-US"/>
        </w:rPr>
        <w:t>TỔ CHỨC THỰC HIỆN</w:t>
      </w:r>
    </w:p>
    <w:p w:rsidR="00C25523" w:rsidRPr="00607059" w:rsidRDefault="00C25523" w:rsidP="00C25523">
      <w:pPr>
        <w:spacing w:before="0" w:after="0" w:line="240" w:lineRule="auto"/>
        <w:jc w:val="center"/>
        <w:rPr>
          <w:rFonts w:ascii="Arial" w:hAnsi="Arial" w:cs="Arial"/>
          <w:sz w:val="20"/>
          <w:szCs w:val="20"/>
          <w:lang w:val="en-US"/>
        </w:rPr>
      </w:pPr>
    </w:p>
    <w:p w:rsidR="005C5E3C" w:rsidRPr="00607059" w:rsidRDefault="005C5E3C" w:rsidP="00036C1A">
      <w:pPr>
        <w:tabs>
          <w:tab w:val="left" w:pos="720"/>
        </w:tabs>
        <w:spacing w:before="0" w:line="240" w:lineRule="auto"/>
        <w:ind w:firstLine="720"/>
        <w:rPr>
          <w:rFonts w:ascii="Arial" w:hAnsi="Arial" w:cs="Arial"/>
          <w:sz w:val="20"/>
          <w:szCs w:val="20"/>
        </w:rPr>
      </w:pPr>
      <w:bookmarkStart w:id="4" w:name="dieu_23"/>
      <w:r w:rsidRPr="00607059">
        <w:rPr>
          <w:rFonts w:ascii="Arial" w:hAnsi="Arial" w:cs="Arial"/>
          <w:b/>
          <w:sz w:val="20"/>
          <w:szCs w:val="20"/>
        </w:rPr>
        <w:t xml:space="preserve">Điều </w:t>
      </w:r>
      <w:r w:rsidRPr="00607059">
        <w:rPr>
          <w:rFonts w:ascii="Arial" w:eastAsia="Times New Roman" w:hAnsi="Arial" w:cs="Arial"/>
          <w:b/>
          <w:sz w:val="20"/>
          <w:szCs w:val="20"/>
          <w:lang w:val="en-US"/>
        </w:rPr>
        <w:t>7</w:t>
      </w:r>
      <w:r w:rsidRPr="00607059">
        <w:rPr>
          <w:rFonts w:ascii="Arial" w:eastAsia="Times New Roman" w:hAnsi="Arial" w:cs="Arial"/>
          <w:b/>
          <w:sz w:val="20"/>
          <w:szCs w:val="20"/>
        </w:rPr>
        <w:t>.</w:t>
      </w:r>
      <w:r w:rsidRPr="00607059">
        <w:rPr>
          <w:rFonts w:ascii="Arial" w:hAnsi="Arial" w:cs="Arial"/>
          <w:b/>
          <w:sz w:val="20"/>
          <w:szCs w:val="20"/>
        </w:rPr>
        <w:t xml:space="preserve"> Trách nhiệm của Ngân hàng Nhà nước</w:t>
      </w:r>
      <w:bookmarkEnd w:id="4"/>
    </w:p>
    <w:p w:rsidR="005C5E3C" w:rsidRPr="00607059" w:rsidRDefault="005C5E3C" w:rsidP="00036C1A">
      <w:pPr>
        <w:tabs>
          <w:tab w:val="left" w:pos="720"/>
        </w:tabs>
        <w:spacing w:before="0" w:line="240" w:lineRule="auto"/>
        <w:ind w:firstLine="720"/>
        <w:rPr>
          <w:rFonts w:ascii="Arial" w:hAnsi="Arial" w:cs="Arial"/>
          <w:sz w:val="20"/>
          <w:szCs w:val="20"/>
        </w:rPr>
      </w:pPr>
      <w:r w:rsidRPr="00607059">
        <w:rPr>
          <w:rFonts w:ascii="Arial" w:hAnsi="Arial" w:cs="Arial"/>
          <w:sz w:val="20"/>
          <w:szCs w:val="20"/>
          <w:lang w:val="en-US"/>
        </w:rPr>
        <w:t>1. Cơ quan Thanh tra, giám sát ngân hàng</w:t>
      </w:r>
      <w:r w:rsidR="009C186E" w:rsidRPr="00607059">
        <w:rPr>
          <w:rFonts w:ascii="Arial" w:hAnsi="Arial" w:cs="Arial"/>
          <w:sz w:val="20"/>
          <w:szCs w:val="20"/>
          <w:lang w:val="en-US"/>
        </w:rPr>
        <w:t xml:space="preserve">, Ngân hàng Nhà nước chi nhánh tỉnh, thành phố trực thuộc </w:t>
      </w:r>
      <w:r w:rsidR="00771F71" w:rsidRPr="00607059">
        <w:rPr>
          <w:rFonts w:ascii="Arial" w:hAnsi="Arial" w:cs="Arial"/>
          <w:sz w:val="20"/>
          <w:szCs w:val="20"/>
          <w:lang w:val="en-US"/>
        </w:rPr>
        <w:t>T</w:t>
      </w:r>
      <w:r w:rsidR="009C186E" w:rsidRPr="00607059">
        <w:rPr>
          <w:rFonts w:ascii="Arial" w:hAnsi="Arial" w:cs="Arial"/>
          <w:sz w:val="20"/>
          <w:szCs w:val="20"/>
          <w:lang w:val="en-US"/>
        </w:rPr>
        <w:t>rung ương</w:t>
      </w:r>
      <w:r w:rsidRPr="00607059">
        <w:rPr>
          <w:rFonts w:ascii="Arial" w:hAnsi="Arial" w:cs="Arial"/>
          <w:sz w:val="20"/>
          <w:szCs w:val="20"/>
          <w:lang w:val="en-US"/>
        </w:rPr>
        <w:t xml:space="preserve"> có trách nhiệm:</w:t>
      </w:r>
    </w:p>
    <w:p w:rsidR="005C5E3C" w:rsidRPr="00607059" w:rsidRDefault="005C5E3C" w:rsidP="00036C1A">
      <w:pPr>
        <w:tabs>
          <w:tab w:val="left" w:pos="720"/>
        </w:tabs>
        <w:spacing w:before="0" w:line="240" w:lineRule="auto"/>
        <w:ind w:firstLine="720"/>
        <w:rPr>
          <w:rFonts w:ascii="Arial" w:hAnsi="Arial" w:cs="Arial"/>
          <w:sz w:val="20"/>
          <w:szCs w:val="20"/>
        </w:rPr>
      </w:pPr>
      <w:r w:rsidRPr="00607059">
        <w:rPr>
          <w:rFonts w:ascii="Arial" w:hAnsi="Arial" w:cs="Arial"/>
          <w:sz w:val="20"/>
          <w:szCs w:val="20"/>
          <w:lang w:val="en-US"/>
        </w:rPr>
        <w:t xml:space="preserve">a) Thanh tra, giám sát, kiểm tra việc thực hiện phân loại nợ, trích lập và sử dụng dự phòng </w:t>
      </w:r>
      <w:r w:rsidR="00644CAE" w:rsidRPr="00607059">
        <w:rPr>
          <w:rFonts w:ascii="Arial" w:hAnsi="Arial" w:cs="Arial"/>
          <w:sz w:val="20"/>
          <w:szCs w:val="20"/>
          <w:lang w:val="en-US"/>
        </w:rPr>
        <w:t xml:space="preserve">để xử lý </w:t>
      </w:r>
      <w:r w:rsidRPr="00607059">
        <w:rPr>
          <w:rFonts w:ascii="Arial" w:hAnsi="Arial" w:cs="Arial"/>
          <w:sz w:val="20"/>
          <w:szCs w:val="20"/>
          <w:lang w:val="en-US"/>
        </w:rPr>
        <w:t>rủi ro của tổ chức tài chính vi mô theo thẩm quyền và theo quy định pháp luật;</w:t>
      </w:r>
    </w:p>
    <w:p w:rsidR="005C5E3C" w:rsidRPr="00607059" w:rsidRDefault="005C5E3C" w:rsidP="00036C1A">
      <w:pPr>
        <w:tabs>
          <w:tab w:val="left" w:pos="720"/>
        </w:tabs>
        <w:spacing w:before="0" w:line="240" w:lineRule="auto"/>
        <w:ind w:firstLine="720"/>
        <w:rPr>
          <w:rFonts w:ascii="Arial" w:hAnsi="Arial" w:cs="Arial"/>
          <w:sz w:val="20"/>
          <w:szCs w:val="20"/>
          <w:lang w:val="en-US"/>
        </w:rPr>
      </w:pPr>
      <w:r w:rsidRPr="00607059">
        <w:rPr>
          <w:rFonts w:ascii="Arial" w:hAnsi="Arial" w:cs="Arial"/>
          <w:sz w:val="20"/>
          <w:szCs w:val="20"/>
          <w:lang w:val="en-US"/>
        </w:rPr>
        <w:t xml:space="preserve">b) Xử lý vi phạm của tổ chức tài chính vi mô </w:t>
      </w:r>
      <w:r w:rsidR="004222EA" w:rsidRPr="00607059">
        <w:rPr>
          <w:rFonts w:ascii="Arial" w:hAnsi="Arial" w:cs="Arial"/>
          <w:sz w:val="20"/>
          <w:szCs w:val="20"/>
          <w:lang w:val="en-US"/>
        </w:rPr>
        <w:t xml:space="preserve">theo thẩm quyền và </w:t>
      </w:r>
      <w:r w:rsidRPr="00607059">
        <w:rPr>
          <w:rFonts w:ascii="Arial" w:hAnsi="Arial" w:cs="Arial"/>
          <w:sz w:val="20"/>
          <w:szCs w:val="20"/>
          <w:lang w:val="en-US"/>
        </w:rPr>
        <w:t>theo quy đị</w:t>
      </w:r>
      <w:r w:rsidR="004222EA" w:rsidRPr="00607059">
        <w:rPr>
          <w:rFonts w:ascii="Arial" w:hAnsi="Arial" w:cs="Arial"/>
          <w:sz w:val="20"/>
          <w:szCs w:val="20"/>
          <w:lang w:val="en-US"/>
        </w:rPr>
        <w:t>nh của pháp luật về xử lý vi phạm hành chính trong lĩnh vực tiền tệ và ngân hàng</w:t>
      </w:r>
      <w:r w:rsidRPr="00607059">
        <w:rPr>
          <w:rFonts w:ascii="Arial" w:hAnsi="Arial" w:cs="Arial"/>
          <w:sz w:val="20"/>
          <w:szCs w:val="20"/>
          <w:lang w:val="en-US"/>
        </w:rPr>
        <w:t>.</w:t>
      </w:r>
    </w:p>
    <w:p w:rsidR="005C5E3C" w:rsidRPr="00607059" w:rsidRDefault="005C5E3C" w:rsidP="00036C1A">
      <w:pPr>
        <w:tabs>
          <w:tab w:val="left" w:pos="720"/>
        </w:tabs>
        <w:spacing w:before="0" w:line="240" w:lineRule="auto"/>
        <w:ind w:firstLine="720"/>
        <w:rPr>
          <w:rFonts w:ascii="Arial" w:hAnsi="Arial" w:cs="Arial"/>
          <w:sz w:val="20"/>
          <w:szCs w:val="20"/>
          <w:lang w:val="en-US"/>
        </w:rPr>
      </w:pPr>
      <w:r w:rsidRPr="00607059">
        <w:rPr>
          <w:rFonts w:ascii="Arial" w:hAnsi="Arial" w:cs="Arial"/>
          <w:sz w:val="20"/>
          <w:szCs w:val="20"/>
          <w:lang w:val="en-US"/>
        </w:rPr>
        <w:t>2. Vụ Dự báo, thống kê đầu mối, phối hợp với các đơn vị có liên quan trình Thống đốc Ngân hàng Nhà nước ban hành quy định về báo cáo thống kê việc phân loại nợ, trích lập</w:t>
      </w:r>
      <w:r w:rsidR="00644CAE" w:rsidRPr="00607059">
        <w:rPr>
          <w:rFonts w:ascii="Arial" w:hAnsi="Arial" w:cs="Arial"/>
          <w:sz w:val="20"/>
          <w:szCs w:val="20"/>
          <w:lang w:val="en-US"/>
        </w:rPr>
        <w:t xml:space="preserve"> và</w:t>
      </w:r>
      <w:r w:rsidRPr="00607059">
        <w:rPr>
          <w:rFonts w:ascii="Arial" w:hAnsi="Arial" w:cs="Arial"/>
          <w:sz w:val="20"/>
          <w:szCs w:val="20"/>
          <w:lang w:val="en-US"/>
        </w:rPr>
        <w:t xml:space="preserve"> sử dụng dự phòng</w:t>
      </w:r>
      <w:r w:rsidR="00644CAE" w:rsidRPr="00607059">
        <w:rPr>
          <w:rFonts w:ascii="Arial" w:hAnsi="Arial" w:cs="Arial"/>
          <w:sz w:val="20"/>
          <w:szCs w:val="20"/>
          <w:lang w:val="en-US"/>
        </w:rPr>
        <w:t xml:space="preserve"> để xử lý</w:t>
      </w:r>
      <w:r w:rsidRPr="00607059">
        <w:rPr>
          <w:rFonts w:ascii="Arial" w:hAnsi="Arial" w:cs="Arial"/>
          <w:sz w:val="20"/>
          <w:szCs w:val="20"/>
          <w:lang w:val="en-US"/>
        </w:rPr>
        <w:t xml:space="preserve"> rủi ro trong hoạt động của tổ chức tài chính vi mô.</w:t>
      </w:r>
    </w:p>
    <w:p w:rsidR="005C5E3C" w:rsidRPr="00607059" w:rsidRDefault="005C5E3C" w:rsidP="00036C1A">
      <w:pPr>
        <w:tabs>
          <w:tab w:val="left" w:pos="720"/>
        </w:tabs>
        <w:spacing w:before="0" w:line="240" w:lineRule="auto"/>
        <w:ind w:firstLine="720"/>
        <w:rPr>
          <w:rFonts w:ascii="Arial" w:hAnsi="Arial" w:cs="Arial"/>
          <w:sz w:val="20"/>
          <w:szCs w:val="20"/>
          <w:lang w:val="en-US"/>
        </w:rPr>
      </w:pPr>
      <w:r w:rsidRPr="00607059">
        <w:rPr>
          <w:rFonts w:ascii="Arial" w:hAnsi="Arial" w:cs="Arial"/>
          <w:sz w:val="20"/>
          <w:szCs w:val="20"/>
          <w:lang w:val="en-US"/>
        </w:rPr>
        <w:t>3. Vụ Tài chính - Kế toán căn cứ quy định tại Thông tư này xây dựng, trình Thống đốc Ngân hàng Nhà nước văn bản hướng dẫn thực hiện chế độ hạch toán có liên quan theo quy định của pháp luật.</w:t>
      </w:r>
    </w:p>
    <w:p w:rsidR="00D626AC" w:rsidRPr="00607059" w:rsidRDefault="00D626AC" w:rsidP="00036C1A">
      <w:pPr>
        <w:pStyle w:val="Heading2"/>
        <w:tabs>
          <w:tab w:val="left" w:pos="720"/>
        </w:tabs>
        <w:spacing w:after="120" w:line="240" w:lineRule="auto"/>
        <w:ind w:firstLine="720"/>
        <w:rPr>
          <w:rFonts w:ascii="Arial" w:hAnsi="Arial" w:cs="Arial"/>
          <w:bCs w:val="0"/>
          <w:sz w:val="20"/>
          <w:szCs w:val="20"/>
          <w:lang w:val="sv-SE"/>
        </w:rPr>
      </w:pPr>
      <w:r w:rsidRPr="00607059">
        <w:rPr>
          <w:rFonts w:ascii="Arial" w:hAnsi="Arial" w:cs="Arial"/>
          <w:bCs w:val="0"/>
          <w:sz w:val="20"/>
          <w:szCs w:val="20"/>
          <w:lang w:val="sv-SE"/>
        </w:rPr>
        <w:t xml:space="preserve">Điều </w:t>
      </w:r>
      <w:r w:rsidR="00323AC0" w:rsidRPr="00607059">
        <w:rPr>
          <w:rFonts w:ascii="Arial" w:hAnsi="Arial" w:cs="Arial"/>
          <w:bCs w:val="0"/>
          <w:sz w:val="20"/>
          <w:szCs w:val="20"/>
          <w:lang w:val="sv-SE"/>
        </w:rPr>
        <w:t>8</w:t>
      </w:r>
      <w:r w:rsidRPr="00607059">
        <w:rPr>
          <w:rFonts w:ascii="Arial" w:hAnsi="Arial" w:cs="Arial"/>
          <w:bCs w:val="0"/>
          <w:sz w:val="20"/>
          <w:szCs w:val="20"/>
          <w:lang w:val="sv-SE"/>
        </w:rPr>
        <w:t xml:space="preserve">. Điều khoản thi hành </w:t>
      </w:r>
    </w:p>
    <w:p w:rsidR="00D626AC" w:rsidRPr="00607059" w:rsidRDefault="00D626AC" w:rsidP="00036C1A">
      <w:pPr>
        <w:pStyle w:val="NormalWeb"/>
        <w:shd w:val="clear" w:color="auto" w:fill="FFFFFF"/>
        <w:tabs>
          <w:tab w:val="left" w:pos="720"/>
        </w:tabs>
        <w:spacing w:before="0" w:beforeAutospacing="0" w:after="120" w:afterAutospacing="0"/>
        <w:ind w:firstLine="720"/>
        <w:jc w:val="both"/>
        <w:rPr>
          <w:rFonts w:ascii="Arial" w:hAnsi="Arial" w:cs="Arial"/>
          <w:sz w:val="20"/>
          <w:szCs w:val="20"/>
        </w:rPr>
      </w:pPr>
      <w:r w:rsidRPr="00607059">
        <w:rPr>
          <w:rFonts w:ascii="Arial" w:hAnsi="Arial" w:cs="Arial"/>
          <w:sz w:val="20"/>
          <w:szCs w:val="20"/>
          <w:lang w:val="sv-SE"/>
        </w:rPr>
        <w:t>1. Thông tư này có hiệu lực từ ngày</w:t>
      </w:r>
      <w:r w:rsidR="00B14058">
        <w:rPr>
          <w:rFonts w:ascii="Arial" w:hAnsi="Arial" w:cs="Arial"/>
          <w:sz w:val="20"/>
          <w:szCs w:val="20"/>
          <w:lang w:val="sv-SE"/>
        </w:rPr>
        <w:t xml:space="preserve"> 12</w:t>
      </w:r>
      <w:r w:rsidR="009E579E" w:rsidRPr="00607059">
        <w:rPr>
          <w:rFonts w:ascii="Arial" w:hAnsi="Arial" w:cs="Arial"/>
          <w:sz w:val="20"/>
          <w:szCs w:val="20"/>
          <w:lang w:val="sv-SE"/>
        </w:rPr>
        <w:t xml:space="preserve"> </w:t>
      </w:r>
      <w:r w:rsidRPr="00607059">
        <w:rPr>
          <w:rFonts w:ascii="Arial" w:hAnsi="Arial" w:cs="Arial"/>
          <w:sz w:val="20"/>
          <w:szCs w:val="20"/>
          <w:lang w:val="sv-SE"/>
        </w:rPr>
        <w:t>tháng</w:t>
      </w:r>
      <w:r w:rsidR="009E579E" w:rsidRPr="00607059">
        <w:rPr>
          <w:rFonts w:ascii="Arial" w:hAnsi="Arial" w:cs="Arial"/>
          <w:sz w:val="20"/>
          <w:szCs w:val="20"/>
          <w:lang w:val="sv-SE"/>
        </w:rPr>
        <w:t xml:space="preserve"> 8 </w:t>
      </w:r>
      <w:r w:rsidRPr="00607059">
        <w:rPr>
          <w:rFonts w:ascii="Arial" w:hAnsi="Arial" w:cs="Arial"/>
          <w:sz w:val="20"/>
          <w:szCs w:val="20"/>
          <w:lang w:val="sv-SE"/>
        </w:rPr>
        <w:t>năm 2024.</w:t>
      </w:r>
    </w:p>
    <w:p w:rsidR="00D626AC" w:rsidRPr="00607059" w:rsidRDefault="00D626AC" w:rsidP="00036C1A">
      <w:pPr>
        <w:spacing w:before="0" w:line="240" w:lineRule="auto"/>
        <w:ind w:firstLine="720"/>
        <w:rPr>
          <w:rFonts w:ascii="Arial" w:hAnsi="Arial" w:cs="Arial"/>
          <w:sz w:val="20"/>
          <w:szCs w:val="20"/>
          <w:lang w:val="en-US"/>
        </w:rPr>
      </w:pPr>
      <w:r w:rsidRPr="00607059">
        <w:rPr>
          <w:rFonts w:ascii="Arial" w:hAnsi="Arial" w:cs="Arial"/>
          <w:sz w:val="20"/>
          <w:szCs w:val="20"/>
        </w:rPr>
        <w:t>2. </w:t>
      </w:r>
      <w:r w:rsidR="00E612C1" w:rsidRPr="00607059">
        <w:rPr>
          <w:rFonts w:ascii="Arial" w:hAnsi="Arial" w:cs="Arial"/>
          <w:sz w:val="20"/>
          <w:szCs w:val="20"/>
        </w:rPr>
        <w:t>Thông tư này bãi bỏ Thông tư số 15/2010/TT-NHNN ngày 16</w:t>
      </w:r>
      <w:r w:rsidR="00323AC0" w:rsidRPr="00607059">
        <w:rPr>
          <w:rFonts w:ascii="Arial" w:hAnsi="Arial" w:cs="Arial"/>
          <w:sz w:val="20"/>
          <w:szCs w:val="20"/>
          <w:lang w:val="en-US"/>
        </w:rPr>
        <w:t xml:space="preserve"> tháng </w:t>
      </w:r>
      <w:r w:rsidR="00E612C1" w:rsidRPr="00607059">
        <w:rPr>
          <w:rFonts w:ascii="Arial" w:hAnsi="Arial" w:cs="Arial"/>
          <w:sz w:val="20"/>
          <w:szCs w:val="20"/>
        </w:rPr>
        <w:t>6</w:t>
      </w:r>
      <w:r w:rsidR="00323AC0" w:rsidRPr="00607059">
        <w:rPr>
          <w:rFonts w:ascii="Arial" w:hAnsi="Arial" w:cs="Arial"/>
          <w:sz w:val="20"/>
          <w:szCs w:val="20"/>
          <w:lang w:val="en-US"/>
        </w:rPr>
        <w:t xml:space="preserve"> năm </w:t>
      </w:r>
      <w:r w:rsidR="00E612C1" w:rsidRPr="00607059">
        <w:rPr>
          <w:rFonts w:ascii="Arial" w:hAnsi="Arial" w:cs="Arial"/>
          <w:sz w:val="20"/>
          <w:szCs w:val="20"/>
        </w:rPr>
        <w:t xml:space="preserve">2010 của Thống đốc Ngân hàng Nhà nước quy định về phân loại nợ, trích lập và sử dụng </w:t>
      </w:r>
      <w:r w:rsidR="008C674D" w:rsidRPr="00607059">
        <w:rPr>
          <w:rFonts w:ascii="Arial" w:hAnsi="Arial" w:cs="Arial"/>
          <w:sz w:val="20"/>
          <w:szCs w:val="20"/>
          <w:lang w:val="en-US"/>
        </w:rPr>
        <w:t xml:space="preserve">dự phòng </w:t>
      </w:r>
      <w:r w:rsidR="00E612C1" w:rsidRPr="00607059">
        <w:rPr>
          <w:rFonts w:ascii="Arial" w:hAnsi="Arial" w:cs="Arial"/>
          <w:sz w:val="20"/>
          <w:szCs w:val="20"/>
        </w:rPr>
        <w:t>để xử lý rủi ro cho vay trong hoạt động của tổ chức tài chính quy mô nhỏ.</w:t>
      </w:r>
    </w:p>
    <w:p w:rsidR="00D626AC" w:rsidRPr="00607059" w:rsidRDefault="00D626AC" w:rsidP="00036C1A">
      <w:pPr>
        <w:pStyle w:val="Heading2"/>
        <w:tabs>
          <w:tab w:val="left" w:pos="720"/>
        </w:tabs>
        <w:spacing w:after="120" w:line="240" w:lineRule="auto"/>
        <w:ind w:firstLine="720"/>
        <w:rPr>
          <w:rFonts w:ascii="Arial" w:hAnsi="Arial" w:cs="Arial"/>
          <w:sz w:val="20"/>
          <w:szCs w:val="20"/>
        </w:rPr>
      </w:pPr>
      <w:r w:rsidRPr="00607059">
        <w:rPr>
          <w:rFonts w:ascii="Arial" w:hAnsi="Arial" w:cs="Arial"/>
          <w:sz w:val="20"/>
          <w:szCs w:val="20"/>
        </w:rPr>
        <w:t xml:space="preserve">Điều </w:t>
      </w:r>
      <w:r w:rsidR="00323AC0" w:rsidRPr="00607059">
        <w:rPr>
          <w:rFonts w:ascii="Arial" w:hAnsi="Arial" w:cs="Arial"/>
          <w:sz w:val="20"/>
          <w:szCs w:val="20"/>
          <w:lang w:val="en-US"/>
        </w:rPr>
        <w:t>9</w:t>
      </w:r>
      <w:r w:rsidRPr="00607059">
        <w:rPr>
          <w:rFonts w:ascii="Arial" w:hAnsi="Arial" w:cs="Arial"/>
          <w:sz w:val="20"/>
          <w:szCs w:val="20"/>
        </w:rPr>
        <w:t>. Trách nhiệm tổ chức thực hiện</w:t>
      </w:r>
      <w:bookmarkStart w:id="5" w:name="_GoBack"/>
      <w:bookmarkEnd w:id="5"/>
    </w:p>
    <w:p w:rsidR="00D626AC" w:rsidRPr="00607059" w:rsidRDefault="00D626AC" w:rsidP="00C25523">
      <w:pPr>
        <w:tabs>
          <w:tab w:val="left" w:pos="720"/>
        </w:tabs>
        <w:spacing w:before="0" w:after="0" w:line="240" w:lineRule="auto"/>
        <w:ind w:firstLine="720"/>
        <w:rPr>
          <w:rFonts w:ascii="Arial" w:hAnsi="Arial" w:cs="Arial"/>
          <w:sz w:val="20"/>
          <w:szCs w:val="20"/>
        </w:rPr>
      </w:pPr>
      <w:r w:rsidRPr="00607059">
        <w:rPr>
          <w:rFonts w:ascii="Arial" w:hAnsi="Arial" w:cs="Arial"/>
          <w:sz w:val="20"/>
          <w:szCs w:val="20"/>
        </w:rPr>
        <w:t>Chánh Văn phòng, Chánh Thanh tra, giám sát ngân hàng, Thủ trưởng các đơn vị có liên quan thuộc Ngân hàng Nhà nước, tổ chức tài chính vi mô chịu trách nhiệm thực hiện Thông tư này.</w:t>
      </w:r>
      <w:r w:rsidR="009562CE" w:rsidRPr="00607059">
        <w:rPr>
          <w:rFonts w:ascii="Arial" w:hAnsi="Arial" w:cs="Arial"/>
          <w:sz w:val="20"/>
          <w:szCs w:val="20"/>
          <w:lang w:val="en-US"/>
        </w:rPr>
        <w:t>/.</w:t>
      </w:r>
    </w:p>
    <w:p w:rsidR="00C25523" w:rsidRPr="00607059" w:rsidRDefault="00C25523" w:rsidP="00C25523">
      <w:pPr>
        <w:tabs>
          <w:tab w:val="left" w:pos="720"/>
        </w:tabs>
        <w:spacing w:before="0" w:after="0" w:line="240" w:lineRule="auto"/>
        <w:jc w:val="left"/>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4560"/>
        <w:gridCol w:w="4467"/>
      </w:tblGrid>
      <w:tr w:rsidR="00036C1A" w:rsidRPr="00607059" w:rsidTr="00C25523">
        <w:trPr>
          <w:trHeight w:val="1701"/>
        </w:trPr>
        <w:tc>
          <w:tcPr>
            <w:tcW w:w="2526" w:type="pct"/>
            <w:tcMar>
              <w:top w:w="0" w:type="dxa"/>
              <w:left w:w="108" w:type="dxa"/>
              <w:bottom w:w="0" w:type="dxa"/>
              <w:right w:w="108" w:type="dxa"/>
            </w:tcMar>
            <w:hideMark/>
          </w:tcPr>
          <w:p w:rsidR="00D626AC" w:rsidRPr="00607059" w:rsidRDefault="001C0F1C" w:rsidP="00C25523">
            <w:pPr>
              <w:spacing w:before="0" w:after="0" w:line="240" w:lineRule="auto"/>
              <w:jc w:val="left"/>
              <w:rPr>
                <w:rFonts w:ascii="Arial" w:eastAsia="Times New Roman" w:hAnsi="Arial" w:cs="Arial"/>
                <w:sz w:val="20"/>
                <w:szCs w:val="20"/>
                <w:lang w:eastAsia="vi-VN"/>
              </w:rPr>
            </w:pPr>
            <w:r w:rsidRPr="00607059">
              <w:rPr>
                <w:rFonts w:ascii="Arial" w:eastAsia="Times New Roman" w:hAnsi="Arial" w:cs="Arial"/>
                <w:b/>
                <w:bCs/>
                <w:i/>
                <w:iCs/>
                <w:sz w:val="20"/>
                <w:szCs w:val="20"/>
                <w:lang w:val="en-US" w:eastAsia="vi-VN"/>
              </w:rPr>
              <w:t xml:space="preserve"> </w:t>
            </w:r>
            <w:r w:rsidR="00D626AC" w:rsidRPr="00607059">
              <w:rPr>
                <w:rFonts w:ascii="Arial" w:eastAsia="Times New Roman" w:hAnsi="Arial" w:cs="Arial"/>
                <w:b/>
                <w:bCs/>
                <w:i/>
                <w:iCs/>
                <w:sz w:val="20"/>
                <w:szCs w:val="20"/>
                <w:lang w:eastAsia="vi-VN"/>
              </w:rPr>
              <w:t>Nơi nhận:</w:t>
            </w:r>
          </w:p>
          <w:p w:rsidR="00D626AC" w:rsidRPr="00607059" w:rsidRDefault="00D626AC" w:rsidP="00C25523">
            <w:pPr>
              <w:pStyle w:val="normal-p"/>
              <w:tabs>
                <w:tab w:val="left" w:pos="720"/>
              </w:tabs>
              <w:rPr>
                <w:rStyle w:val="normal-h1"/>
                <w:rFonts w:ascii="Arial" w:hAnsi="Arial" w:cs="Arial"/>
                <w:iCs/>
                <w:sz w:val="20"/>
                <w:szCs w:val="20"/>
                <w:lang w:val="sv-SE"/>
              </w:rPr>
            </w:pPr>
            <w:r w:rsidRPr="00607059">
              <w:rPr>
                <w:rStyle w:val="normal-h1"/>
                <w:rFonts w:ascii="Arial" w:hAnsi="Arial" w:cs="Arial"/>
                <w:iCs/>
                <w:sz w:val="20"/>
                <w:szCs w:val="20"/>
                <w:lang w:val="sv-SE"/>
              </w:rPr>
              <w:t xml:space="preserve">- Như Điều </w:t>
            </w:r>
            <w:r w:rsidR="00323AC0" w:rsidRPr="00607059">
              <w:rPr>
                <w:rStyle w:val="normal-h1"/>
                <w:rFonts w:ascii="Arial" w:hAnsi="Arial" w:cs="Arial"/>
                <w:iCs/>
                <w:sz w:val="20"/>
                <w:szCs w:val="20"/>
                <w:lang w:val="sv-SE"/>
              </w:rPr>
              <w:t>9</w:t>
            </w:r>
            <w:r w:rsidRPr="00607059">
              <w:rPr>
                <w:rStyle w:val="normal-h1"/>
                <w:rFonts w:ascii="Arial" w:hAnsi="Arial" w:cs="Arial"/>
                <w:iCs/>
                <w:sz w:val="20"/>
                <w:szCs w:val="20"/>
                <w:lang w:val="sv-SE"/>
              </w:rPr>
              <w:t>;</w:t>
            </w:r>
          </w:p>
          <w:p w:rsidR="00D626AC" w:rsidRPr="00607059" w:rsidRDefault="00D626AC" w:rsidP="00C25523">
            <w:pPr>
              <w:pStyle w:val="normal-p"/>
              <w:tabs>
                <w:tab w:val="left" w:pos="720"/>
                <w:tab w:val="left" w:pos="3257"/>
              </w:tabs>
              <w:rPr>
                <w:rStyle w:val="normal-h1"/>
                <w:rFonts w:ascii="Arial" w:hAnsi="Arial" w:cs="Arial"/>
                <w:iCs/>
                <w:sz w:val="20"/>
                <w:szCs w:val="20"/>
                <w:lang w:val="sv-SE"/>
              </w:rPr>
            </w:pPr>
            <w:r w:rsidRPr="00607059">
              <w:rPr>
                <w:rStyle w:val="normal-h1"/>
                <w:rFonts w:ascii="Arial" w:hAnsi="Arial" w:cs="Arial"/>
                <w:iCs/>
                <w:sz w:val="20"/>
                <w:szCs w:val="20"/>
                <w:lang w:val="sv-SE"/>
              </w:rPr>
              <w:t>- Ban Lãnh đạo NHNN;</w:t>
            </w:r>
            <w:r w:rsidR="00FD6A8B" w:rsidRPr="00607059">
              <w:rPr>
                <w:rStyle w:val="normal-h1"/>
                <w:rFonts w:ascii="Arial" w:hAnsi="Arial" w:cs="Arial"/>
                <w:iCs/>
                <w:sz w:val="20"/>
                <w:szCs w:val="20"/>
                <w:lang w:val="sv-SE"/>
              </w:rPr>
              <w:tab/>
            </w:r>
          </w:p>
          <w:p w:rsidR="00D626AC" w:rsidRPr="00607059" w:rsidRDefault="00D626AC" w:rsidP="00C25523">
            <w:pPr>
              <w:pStyle w:val="normal-p"/>
              <w:tabs>
                <w:tab w:val="left" w:pos="720"/>
              </w:tabs>
              <w:rPr>
                <w:rStyle w:val="normal-h1"/>
                <w:rFonts w:ascii="Arial" w:hAnsi="Arial" w:cs="Arial"/>
                <w:iCs/>
                <w:sz w:val="20"/>
                <w:szCs w:val="20"/>
                <w:lang w:val="sv-SE"/>
              </w:rPr>
            </w:pPr>
            <w:r w:rsidRPr="00607059">
              <w:rPr>
                <w:rStyle w:val="normal-h1"/>
                <w:rFonts w:ascii="Arial" w:hAnsi="Arial" w:cs="Arial"/>
                <w:iCs/>
                <w:sz w:val="20"/>
                <w:szCs w:val="20"/>
                <w:lang w:val="sv-SE"/>
              </w:rPr>
              <w:t>- Văn phòng Chính phủ;</w:t>
            </w:r>
          </w:p>
          <w:p w:rsidR="00D626AC" w:rsidRPr="00607059" w:rsidRDefault="00D626AC" w:rsidP="00C25523">
            <w:pPr>
              <w:pStyle w:val="normal-p"/>
              <w:tabs>
                <w:tab w:val="left" w:pos="720"/>
              </w:tabs>
              <w:rPr>
                <w:rStyle w:val="normal-h1"/>
                <w:rFonts w:ascii="Arial" w:hAnsi="Arial" w:cs="Arial"/>
                <w:iCs/>
                <w:sz w:val="20"/>
                <w:szCs w:val="20"/>
                <w:lang w:val="sv-SE"/>
              </w:rPr>
            </w:pPr>
            <w:r w:rsidRPr="00607059">
              <w:rPr>
                <w:rStyle w:val="normal-h1"/>
                <w:rFonts w:ascii="Arial" w:hAnsi="Arial" w:cs="Arial"/>
                <w:iCs/>
                <w:sz w:val="20"/>
                <w:szCs w:val="20"/>
                <w:lang w:val="sv-SE"/>
              </w:rPr>
              <w:t>- Bộ Tư pháp (để kiểm tra);</w:t>
            </w:r>
          </w:p>
          <w:p w:rsidR="00D626AC" w:rsidRPr="00607059" w:rsidRDefault="00D626AC" w:rsidP="00C25523">
            <w:pPr>
              <w:pStyle w:val="normal-p"/>
              <w:tabs>
                <w:tab w:val="left" w:pos="720"/>
              </w:tabs>
              <w:rPr>
                <w:rStyle w:val="normal-h1"/>
                <w:rFonts w:ascii="Arial" w:hAnsi="Arial" w:cs="Arial"/>
                <w:iCs/>
                <w:sz w:val="20"/>
                <w:szCs w:val="20"/>
                <w:lang w:val="sv-SE"/>
              </w:rPr>
            </w:pPr>
            <w:r w:rsidRPr="00607059">
              <w:rPr>
                <w:rStyle w:val="normal-h1"/>
                <w:rFonts w:ascii="Arial" w:hAnsi="Arial" w:cs="Arial"/>
                <w:iCs/>
                <w:sz w:val="20"/>
                <w:szCs w:val="20"/>
                <w:lang w:val="sv-SE"/>
              </w:rPr>
              <w:t>- Công báo;</w:t>
            </w:r>
          </w:p>
          <w:p w:rsidR="00D626AC" w:rsidRPr="00607059" w:rsidRDefault="00D626AC" w:rsidP="00C25523">
            <w:pPr>
              <w:pStyle w:val="normal-p"/>
              <w:tabs>
                <w:tab w:val="left" w:pos="720"/>
              </w:tabs>
              <w:rPr>
                <w:rStyle w:val="normal-h1"/>
                <w:rFonts w:ascii="Arial" w:hAnsi="Arial" w:cs="Arial"/>
                <w:iCs/>
                <w:sz w:val="20"/>
                <w:szCs w:val="20"/>
                <w:lang w:val="sv-SE"/>
              </w:rPr>
            </w:pPr>
            <w:r w:rsidRPr="00607059">
              <w:rPr>
                <w:rStyle w:val="normal-h1"/>
                <w:rFonts w:ascii="Arial" w:hAnsi="Arial" w:cs="Arial"/>
                <w:iCs/>
                <w:sz w:val="20"/>
                <w:szCs w:val="20"/>
                <w:lang w:val="sv-SE"/>
              </w:rPr>
              <w:t>- Cổng thông tin điện tử NHNN;</w:t>
            </w:r>
          </w:p>
          <w:p w:rsidR="00D626AC" w:rsidRPr="00607059" w:rsidRDefault="00D626AC" w:rsidP="00C25523">
            <w:pPr>
              <w:spacing w:before="0" w:after="0" w:line="240" w:lineRule="auto"/>
              <w:jc w:val="left"/>
              <w:rPr>
                <w:rFonts w:ascii="Arial" w:eastAsia="Times New Roman" w:hAnsi="Arial" w:cs="Arial"/>
                <w:sz w:val="20"/>
                <w:szCs w:val="20"/>
                <w:lang w:eastAsia="vi-VN"/>
              </w:rPr>
            </w:pPr>
            <w:r w:rsidRPr="00607059">
              <w:rPr>
                <w:rStyle w:val="normal-h1"/>
                <w:rFonts w:ascii="Arial" w:hAnsi="Arial" w:cs="Arial"/>
                <w:iCs/>
                <w:sz w:val="20"/>
                <w:szCs w:val="20"/>
                <w:lang w:val="sv-SE"/>
              </w:rPr>
              <w:t>- Lưu: VP, Vụ PC, TTGSNH3.</w:t>
            </w:r>
          </w:p>
        </w:tc>
        <w:tc>
          <w:tcPr>
            <w:tcW w:w="2474" w:type="pct"/>
            <w:tcMar>
              <w:top w:w="0" w:type="dxa"/>
              <w:left w:w="108" w:type="dxa"/>
              <w:bottom w:w="0" w:type="dxa"/>
              <w:right w:w="108" w:type="dxa"/>
            </w:tcMar>
            <w:hideMark/>
          </w:tcPr>
          <w:p w:rsidR="00D626AC" w:rsidRPr="00607059" w:rsidRDefault="007F62DB" w:rsidP="00C25523">
            <w:pPr>
              <w:spacing w:before="0" w:after="0" w:line="240" w:lineRule="auto"/>
              <w:jc w:val="center"/>
              <w:rPr>
                <w:rFonts w:ascii="Arial" w:eastAsia="Times New Roman" w:hAnsi="Arial" w:cs="Arial"/>
                <w:b/>
                <w:bCs/>
                <w:sz w:val="20"/>
                <w:szCs w:val="20"/>
                <w:lang w:eastAsia="vi-VN"/>
              </w:rPr>
            </w:pPr>
            <w:r w:rsidRPr="00607059">
              <w:rPr>
                <w:rFonts w:ascii="Arial" w:eastAsia="Times New Roman" w:hAnsi="Arial" w:cs="Arial"/>
                <w:b/>
                <w:bCs/>
                <w:sz w:val="20"/>
                <w:szCs w:val="20"/>
                <w:lang w:val="en-US" w:eastAsia="vi-VN"/>
              </w:rPr>
              <w:t>KT.</w:t>
            </w:r>
            <w:r w:rsidR="00C25523" w:rsidRPr="00607059">
              <w:rPr>
                <w:rFonts w:ascii="Arial" w:eastAsia="Times New Roman" w:hAnsi="Arial" w:cs="Arial"/>
                <w:b/>
                <w:bCs/>
                <w:sz w:val="20"/>
                <w:szCs w:val="20"/>
                <w:lang w:val="en-US" w:eastAsia="vi-VN"/>
              </w:rPr>
              <w:t xml:space="preserve"> </w:t>
            </w:r>
            <w:r w:rsidR="00D626AC" w:rsidRPr="00607059">
              <w:rPr>
                <w:rFonts w:ascii="Arial" w:eastAsia="Times New Roman" w:hAnsi="Arial" w:cs="Arial"/>
                <w:b/>
                <w:bCs/>
                <w:sz w:val="20"/>
                <w:szCs w:val="20"/>
                <w:lang w:eastAsia="vi-VN"/>
              </w:rPr>
              <w:t>THỐNG ĐỐC</w:t>
            </w:r>
          </w:p>
          <w:p w:rsidR="007F62DB" w:rsidRPr="00607059" w:rsidRDefault="007F62DB" w:rsidP="00C25523">
            <w:pPr>
              <w:spacing w:before="0" w:after="0" w:line="240" w:lineRule="auto"/>
              <w:jc w:val="center"/>
              <w:rPr>
                <w:rFonts w:ascii="Arial" w:eastAsia="Times New Roman" w:hAnsi="Arial" w:cs="Arial"/>
                <w:sz w:val="20"/>
                <w:szCs w:val="20"/>
                <w:lang w:val="en-US" w:eastAsia="vi-VN"/>
              </w:rPr>
            </w:pPr>
            <w:r w:rsidRPr="00607059">
              <w:rPr>
                <w:rFonts w:ascii="Arial" w:eastAsia="Times New Roman" w:hAnsi="Arial" w:cs="Arial"/>
                <w:b/>
                <w:bCs/>
                <w:sz w:val="20"/>
                <w:szCs w:val="20"/>
                <w:lang w:val="en-US" w:eastAsia="vi-VN"/>
              </w:rPr>
              <w:t>PHÓ THỐNG ĐỐC</w:t>
            </w:r>
          </w:p>
          <w:p w:rsidR="00D626AC" w:rsidRPr="00607059" w:rsidRDefault="00D626AC" w:rsidP="00C25523">
            <w:pPr>
              <w:spacing w:before="0" w:after="0" w:line="240" w:lineRule="auto"/>
              <w:jc w:val="center"/>
              <w:rPr>
                <w:rFonts w:ascii="Arial" w:eastAsia="Times New Roman" w:hAnsi="Arial" w:cs="Arial"/>
                <w:b/>
                <w:bCs/>
                <w:sz w:val="20"/>
                <w:szCs w:val="20"/>
                <w:lang w:eastAsia="vi-VN"/>
              </w:rPr>
            </w:pPr>
          </w:p>
          <w:p w:rsidR="00C25523" w:rsidRPr="00607059" w:rsidRDefault="00C25523" w:rsidP="00C25523">
            <w:pPr>
              <w:spacing w:before="0" w:after="0" w:line="240" w:lineRule="auto"/>
              <w:jc w:val="center"/>
              <w:rPr>
                <w:rFonts w:ascii="Arial" w:eastAsia="Times New Roman" w:hAnsi="Arial" w:cs="Arial"/>
                <w:b/>
                <w:bCs/>
                <w:sz w:val="20"/>
                <w:szCs w:val="20"/>
                <w:lang w:eastAsia="vi-VN"/>
              </w:rPr>
            </w:pPr>
          </w:p>
          <w:p w:rsidR="00D626AC" w:rsidRPr="00607059" w:rsidRDefault="00D626AC" w:rsidP="00C25523">
            <w:pPr>
              <w:spacing w:before="0" w:after="0" w:line="240" w:lineRule="auto"/>
              <w:jc w:val="center"/>
              <w:rPr>
                <w:rFonts w:ascii="Arial" w:eastAsia="Times New Roman" w:hAnsi="Arial" w:cs="Arial"/>
                <w:b/>
                <w:bCs/>
                <w:sz w:val="20"/>
                <w:szCs w:val="20"/>
                <w:lang w:eastAsia="vi-VN"/>
              </w:rPr>
            </w:pPr>
          </w:p>
          <w:p w:rsidR="00C25523" w:rsidRPr="00607059" w:rsidRDefault="00C25523" w:rsidP="00C25523">
            <w:pPr>
              <w:spacing w:before="0" w:after="0" w:line="240" w:lineRule="auto"/>
              <w:jc w:val="center"/>
              <w:rPr>
                <w:rFonts w:ascii="Arial" w:eastAsia="Times New Roman" w:hAnsi="Arial" w:cs="Arial"/>
                <w:b/>
                <w:bCs/>
                <w:sz w:val="20"/>
                <w:szCs w:val="20"/>
                <w:lang w:eastAsia="vi-VN"/>
              </w:rPr>
            </w:pPr>
          </w:p>
          <w:p w:rsidR="00C25523" w:rsidRPr="00607059" w:rsidRDefault="00C25523" w:rsidP="00C25523">
            <w:pPr>
              <w:spacing w:before="0" w:after="0" w:line="240" w:lineRule="auto"/>
              <w:jc w:val="center"/>
              <w:rPr>
                <w:rFonts w:ascii="Arial" w:eastAsia="Times New Roman" w:hAnsi="Arial" w:cs="Arial"/>
                <w:b/>
                <w:bCs/>
                <w:sz w:val="20"/>
                <w:szCs w:val="20"/>
                <w:lang w:eastAsia="vi-VN"/>
              </w:rPr>
            </w:pPr>
          </w:p>
          <w:p w:rsidR="00D626AC" w:rsidRPr="00607059" w:rsidRDefault="00C25523" w:rsidP="00C25523">
            <w:pPr>
              <w:spacing w:before="0" w:after="0" w:line="240" w:lineRule="auto"/>
              <w:jc w:val="center"/>
              <w:rPr>
                <w:rFonts w:ascii="Arial" w:eastAsia="Times New Roman" w:hAnsi="Arial" w:cs="Arial"/>
                <w:b/>
                <w:bCs/>
                <w:sz w:val="20"/>
                <w:szCs w:val="20"/>
                <w:lang w:val="en-SG" w:eastAsia="vi-VN"/>
              </w:rPr>
            </w:pPr>
            <w:r w:rsidRPr="00607059">
              <w:rPr>
                <w:rFonts w:ascii="Arial" w:eastAsia="Times New Roman" w:hAnsi="Arial" w:cs="Arial"/>
                <w:b/>
                <w:bCs/>
                <w:sz w:val="20"/>
                <w:szCs w:val="20"/>
                <w:lang w:val="en-SG" w:eastAsia="vi-VN"/>
              </w:rPr>
              <w:t>Đào Minh Tú</w:t>
            </w:r>
          </w:p>
        </w:tc>
      </w:tr>
    </w:tbl>
    <w:p w:rsidR="00615735" w:rsidRPr="00607059" w:rsidRDefault="00615735" w:rsidP="00C25523">
      <w:pPr>
        <w:spacing w:before="0" w:after="0" w:line="240" w:lineRule="auto"/>
        <w:jc w:val="left"/>
        <w:rPr>
          <w:rFonts w:ascii="Arial" w:hAnsi="Arial" w:cs="Arial"/>
          <w:sz w:val="20"/>
          <w:szCs w:val="20"/>
        </w:rPr>
      </w:pPr>
    </w:p>
    <w:sectPr w:rsidR="00615735" w:rsidRPr="00607059" w:rsidSect="00607059">
      <w:pgSz w:w="11907" w:h="16839"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2A7" w:rsidRDefault="00AB62A7">
      <w:pPr>
        <w:spacing w:before="0" w:after="0" w:line="240" w:lineRule="auto"/>
      </w:pPr>
      <w:r>
        <w:separator/>
      </w:r>
    </w:p>
  </w:endnote>
  <w:endnote w:type="continuationSeparator" w:id="0">
    <w:p w:rsidR="00AB62A7" w:rsidRDefault="00AB62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2A7" w:rsidRDefault="00AB62A7">
      <w:pPr>
        <w:spacing w:before="0" w:after="0" w:line="240" w:lineRule="auto"/>
      </w:pPr>
      <w:r>
        <w:separator/>
      </w:r>
    </w:p>
  </w:footnote>
  <w:footnote w:type="continuationSeparator" w:id="0">
    <w:p w:rsidR="00AB62A7" w:rsidRDefault="00AB62A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AC"/>
    <w:rsid w:val="000025E9"/>
    <w:rsid w:val="0003182E"/>
    <w:rsid w:val="00036C1A"/>
    <w:rsid w:val="00090DEF"/>
    <w:rsid w:val="00096D20"/>
    <w:rsid w:val="000D522B"/>
    <w:rsid w:val="000E7907"/>
    <w:rsid w:val="0012202C"/>
    <w:rsid w:val="00126377"/>
    <w:rsid w:val="00157D75"/>
    <w:rsid w:val="001A2D5B"/>
    <w:rsid w:val="001C0F1C"/>
    <w:rsid w:val="001C4FD2"/>
    <w:rsid w:val="0020544B"/>
    <w:rsid w:val="00216C16"/>
    <w:rsid w:val="002246CF"/>
    <w:rsid w:val="00225EA6"/>
    <w:rsid w:val="002620E4"/>
    <w:rsid w:val="002B28AB"/>
    <w:rsid w:val="002B56AE"/>
    <w:rsid w:val="002E578B"/>
    <w:rsid w:val="002F4C79"/>
    <w:rsid w:val="00322F9F"/>
    <w:rsid w:val="00323AC0"/>
    <w:rsid w:val="003759A2"/>
    <w:rsid w:val="00382FDA"/>
    <w:rsid w:val="003B2AF6"/>
    <w:rsid w:val="004222EA"/>
    <w:rsid w:val="00462ABD"/>
    <w:rsid w:val="004877CA"/>
    <w:rsid w:val="004877D6"/>
    <w:rsid w:val="004A31A3"/>
    <w:rsid w:val="004D19B4"/>
    <w:rsid w:val="004F6993"/>
    <w:rsid w:val="00583BDE"/>
    <w:rsid w:val="005C0628"/>
    <w:rsid w:val="005C5E3C"/>
    <w:rsid w:val="006043FC"/>
    <w:rsid w:val="00607059"/>
    <w:rsid w:val="00615735"/>
    <w:rsid w:val="006440D0"/>
    <w:rsid w:val="00644CAE"/>
    <w:rsid w:val="006479B5"/>
    <w:rsid w:val="00656984"/>
    <w:rsid w:val="00661B21"/>
    <w:rsid w:val="006622F6"/>
    <w:rsid w:val="006B4D85"/>
    <w:rsid w:val="006B55D4"/>
    <w:rsid w:val="00762850"/>
    <w:rsid w:val="00770771"/>
    <w:rsid w:val="00771F71"/>
    <w:rsid w:val="00790883"/>
    <w:rsid w:val="007F62DB"/>
    <w:rsid w:val="00803156"/>
    <w:rsid w:val="00842036"/>
    <w:rsid w:val="00863816"/>
    <w:rsid w:val="00871036"/>
    <w:rsid w:val="00876159"/>
    <w:rsid w:val="00877986"/>
    <w:rsid w:val="00895978"/>
    <w:rsid w:val="008C674D"/>
    <w:rsid w:val="008C7682"/>
    <w:rsid w:val="008D069F"/>
    <w:rsid w:val="008D1A80"/>
    <w:rsid w:val="00910825"/>
    <w:rsid w:val="00943453"/>
    <w:rsid w:val="009562CE"/>
    <w:rsid w:val="00991BFB"/>
    <w:rsid w:val="009A0690"/>
    <w:rsid w:val="009B6966"/>
    <w:rsid w:val="009C186E"/>
    <w:rsid w:val="009D7726"/>
    <w:rsid w:val="009E579E"/>
    <w:rsid w:val="009F05D3"/>
    <w:rsid w:val="00A16733"/>
    <w:rsid w:val="00A40F94"/>
    <w:rsid w:val="00A7203B"/>
    <w:rsid w:val="00A826BB"/>
    <w:rsid w:val="00AA7B8F"/>
    <w:rsid w:val="00AB62A7"/>
    <w:rsid w:val="00AC4CD8"/>
    <w:rsid w:val="00AE3AC8"/>
    <w:rsid w:val="00AF5EB3"/>
    <w:rsid w:val="00B00EB7"/>
    <w:rsid w:val="00B0730B"/>
    <w:rsid w:val="00B14058"/>
    <w:rsid w:val="00B30F47"/>
    <w:rsid w:val="00B64352"/>
    <w:rsid w:val="00B712C9"/>
    <w:rsid w:val="00B83BE8"/>
    <w:rsid w:val="00BC683F"/>
    <w:rsid w:val="00BE5ED7"/>
    <w:rsid w:val="00BF06E9"/>
    <w:rsid w:val="00C17C53"/>
    <w:rsid w:val="00C25523"/>
    <w:rsid w:val="00C40DA7"/>
    <w:rsid w:val="00CA20FC"/>
    <w:rsid w:val="00CB5040"/>
    <w:rsid w:val="00CB5D02"/>
    <w:rsid w:val="00CE76B4"/>
    <w:rsid w:val="00CF332D"/>
    <w:rsid w:val="00D0111E"/>
    <w:rsid w:val="00D20949"/>
    <w:rsid w:val="00D20E0E"/>
    <w:rsid w:val="00D626AC"/>
    <w:rsid w:val="00D75B25"/>
    <w:rsid w:val="00DB30FB"/>
    <w:rsid w:val="00E612C1"/>
    <w:rsid w:val="00E83657"/>
    <w:rsid w:val="00EA06C5"/>
    <w:rsid w:val="00EC7150"/>
    <w:rsid w:val="00ED75D2"/>
    <w:rsid w:val="00EF33CD"/>
    <w:rsid w:val="00F00B8A"/>
    <w:rsid w:val="00F112B8"/>
    <w:rsid w:val="00F51551"/>
    <w:rsid w:val="00F6019C"/>
    <w:rsid w:val="00F72216"/>
    <w:rsid w:val="00FD0AEC"/>
    <w:rsid w:val="00FD179E"/>
    <w:rsid w:val="00FD6A8B"/>
    <w:rsid w:val="00FF139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4E74"/>
  <w15:chartTrackingRefBased/>
  <w15:docId w15:val="{B2FFE5D8-016E-404E-9CB6-9ECA25E3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AC"/>
    <w:pPr>
      <w:spacing w:before="120" w:after="120" w:line="312" w:lineRule="auto"/>
      <w:jc w:val="both"/>
    </w:pPr>
    <w:rPr>
      <w:rFonts w:ascii="Times New Roman" w:hAnsi="Times New Roman"/>
      <w:sz w:val="28"/>
      <w:szCs w:val="22"/>
      <w:lang w:val="vi-VN" w:eastAsia="en-US"/>
    </w:rPr>
  </w:style>
  <w:style w:type="paragraph" w:styleId="Heading1">
    <w:name w:val="heading 1"/>
    <w:basedOn w:val="Normal"/>
    <w:next w:val="Normal"/>
    <w:link w:val="Heading1Char"/>
    <w:uiPriority w:val="9"/>
    <w:qFormat/>
    <w:rsid w:val="00D626AC"/>
    <w:pPr>
      <w:keepNext/>
      <w:keepLines/>
      <w:jc w:val="center"/>
      <w:outlineLvl w:val="0"/>
    </w:pPr>
    <w:rPr>
      <w:rFonts w:eastAsia="Times New Roman"/>
      <w:b/>
      <w:bCs/>
      <w:szCs w:val="28"/>
    </w:rPr>
  </w:style>
  <w:style w:type="paragraph" w:styleId="Heading2">
    <w:name w:val="heading 2"/>
    <w:basedOn w:val="Normal"/>
    <w:next w:val="Normal"/>
    <w:link w:val="Heading2Char"/>
    <w:uiPriority w:val="9"/>
    <w:unhideWhenUsed/>
    <w:qFormat/>
    <w:rsid w:val="00D626AC"/>
    <w:pPr>
      <w:keepNext/>
      <w:keepLines/>
      <w:spacing w:before="0" w:after="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626AC"/>
    <w:rPr>
      <w:rFonts w:ascii="Times New Roman" w:eastAsia="Times New Roman" w:hAnsi="Times New Roman" w:cs="Times New Roman"/>
      <w:b/>
      <w:bCs/>
      <w:sz w:val="28"/>
      <w:szCs w:val="28"/>
      <w:lang w:val="vi-VN"/>
    </w:rPr>
  </w:style>
  <w:style w:type="character" w:customStyle="1" w:styleId="Heading2Char">
    <w:name w:val="Heading 2 Char"/>
    <w:link w:val="Heading2"/>
    <w:uiPriority w:val="9"/>
    <w:rsid w:val="00D626AC"/>
    <w:rPr>
      <w:rFonts w:ascii="Times New Roman" w:eastAsia="Times New Roman" w:hAnsi="Times New Roman" w:cs="Times New Roman"/>
      <w:b/>
      <w:bCs/>
      <w:sz w:val="28"/>
      <w:szCs w:val="26"/>
      <w:lang w:val="vi-VN"/>
    </w:rPr>
  </w:style>
  <w:style w:type="paragraph" w:styleId="NormalWeb">
    <w:name w:val="Normal (Web)"/>
    <w:basedOn w:val="Normal"/>
    <w:uiPriority w:val="99"/>
    <w:unhideWhenUsed/>
    <w:rsid w:val="00D626AC"/>
    <w:pPr>
      <w:spacing w:before="100" w:beforeAutospacing="1" w:after="100" w:afterAutospacing="1" w:line="240" w:lineRule="auto"/>
      <w:jc w:val="left"/>
    </w:pPr>
    <w:rPr>
      <w:rFonts w:eastAsia="Times New Roman"/>
      <w:sz w:val="24"/>
      <w:szCs w:val="24"/>
      <w:lang w:val="en-US"/>
    </w:rPr>
  </w:style>
  <w:style w:type="paragraph" w:styleId="Header">
    <w:name w:val="header"/>
    <w:basedOn w:val="Normal"/>
    <w:link w:val="HeaderChar"/>
    <w:uiPriority w:val="99"/>
    <w:unhideWhenUsed/>
    <w:rsid w:val="00D626AC"/>
    <w:pPr>
      <w:tabs>
        <w:tab w:val="center" w:pos="4680"/>
        <w:tab w:val="right" w:pos="9360"/>
      </w:tabs>
      <w:spacing w:before="0" w:after="0" w:line="240" w:lineRule="auto"/>
    </w:pPr>
  </w:style>
  <w:style w:type="character" w:customStyle="1" w:styleId="HeaderChar">
    <w:name w:val="Header Char"/>
    <w:link w:val="Header"/>
    <w:uiPriority w:val="99"/>
    <w:rsid w:val="00D626AC"/>
    <w:rPr>
      <w:rFonts w:ascii="Times New Roman" w:eastAsia="Calibri" w:hAnsi="Times New Roman" w:cs="Times New Roman"/>
      <w:sz w:val="28"/>
      <w:lang w:val="vi-VN"/>
    </w:rPr>
  </w:style>
  <w:style w:type="character" w:customStyle="1" w:styleId="normal-h1">
    <w:name w:val="normal-h1"/>
    <w:rsid w:val="00D626AC"/>
    <w:rPr>
      <w:rFonts w:ascii="Times New Roman" w:hAnsi="Times New Roman" w:cs="Times New Roman" w:hint="default"/>
      <w:sz w:val="28"/>
      <w:szCs w:val="28"/>
    </w:rPr>
  </w:style>
  <w:style w:type="paragraph" w:customStyle="1" w:styleId="normal-p">
    <w:name w:val="normal-p"/>
    <w:basedOn w:val="Normal"/>
    <w:rsid w:val="00D626AC"/>
    <w:pPr>
      <w:spacing w:before="0" w:after="0" w:line="240" w:lineRule="auto"/>
      <w:jc w:val="left"/>
    </w:pPr>
    <w:rPr>
      <w:rFonts w:eastAsia="Times New Roman"/>
      <w:sz w:val="20"/>
      <w:szCs w:val="20"/>
      <w:lang w:val="en-US"/>
    </w:rPr>
  </w:style>
  <w:style w:type="character" w:styleId="CommentReference">
    <w:name w:val="annotation reference"/>
    <w:uiPriority w:val="99"/>
    <w:semiHidden/>
    <w:unhideWhenUsed/>
    <w:rsid w:val="00D626AC"/>
    <w:rPr>
      <w:sz w:val="16"/>
      <w:szCs w:val="16"/>
    </w:rPr>
  </w:style>
  <w:style w:type="paragraph" w:styleId="CommentText">
    <w:name w:val="annotation text"/>
    <w:basedOn w:val="Normal"/>
    <w:link w:val="CommentTextChar"/>
    <w:uiPriority w:val="99"/>
    <w:unhideWhenUsed/>
    <w:rsid w:val="00D626AC"/>
    <w:rPr>
      <w:sz w:val="20"/>
      <w:szCs w:val="20"/>
    </w:rPr>
  </w:style>
  <w:style w:type="character" w:customStyle="1" w:styleId="CommentTextChar">
    <w:name w:val="Comment Text Char"/>
    <w:link w:val="CommentText"/>
    <w:uiPriority w:val="99"/>
    <w:rsid w:val="00D626AC"/>
    <w:rPr>
      <w:rFonts w:ascii="Times New Roman" w:eastAsia="Calibri" w:hAnsi="Times New Roman" w:cs="Times New Roman"/>
      <w:sz w:val="20"/>
      <w:szCs w:val="20"/>
      <w:lang w:val="vi-VN"/>
    </w:rPr>
  </w:style>
  <w:style w:type="paragraph" w:styleId="BalloonText">
    <w:name w:val="Balloon Text"/>
    <w:basedOn w:val="Normal"/>
    <w:link w:val="BalloonTextChar"/>
    <w:uiPriority w:val="99"/>
    <w:semiHidden/>
    <w:unhideWhenUsed/>
    <w:rsid w:val="00D626AC"/>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626AC"/>
    <w:rPr>
      <w:rFonts w:ascii="Segoe UI" w:eastAsia="Calibri" w:hAnsi="Segoe UI" w:cs="Segoe UI"/>
      <w:sz w:val="18"/>
      <w:szCs w:val="18"/>
      <w:lang w:val="vi-VN"/>
    </w:rPr>
  </w:style>
  <w:style w:type="paragraph" w:styleId="Footer">
    <w:name w:val="footer"/>
    <w:basedOn w:val="Normal"/>
    <w:link w:val="FooterChar"/>
    <w:uiPriority w:val="99"/>
    <w:unhideWhenUsed/>
    <w:rsid w:val="003B2AF6"/>
    <w:pPr>
      <w:tabs>
        <w:tab w:val="center" w:pos="4680"/>
        <w:tab w:val="right" w:pos="9360"/>
      </w:tabs>
      <w:spacing w:before="0" w:after="0" w:line="240" w:lineRule="auto"/>
    </w:pPr>
  </w:style>
  <w:style w:type="character" w:customStyle="1" w:styleId="FooterChar">
    <w:name w:val="Footer Char"/>
    <w:link w:val="Footer"/>
    <w:uiPriority w:val="99"/>
    <w:rsid w:val="003B2AF6"/>
    <w:rPr>
      <w:rFonts w:ascii="Times New Roman" w:eastAsia="Calibri" w:hAnsi="Times New Roman" w:cs="Times New Roman"/>
      <w:sz w:val="28"/>
      <w:lang w:val="vi-VN"/>
    </w:rPr>
  </w:style>
  <w:style w:type="paragraph" w:styleId="CommentSubject">
    <w:name w:val="annotation subject"/>
    <w:basedOn w:val="CommentText"/>
    <w:next w:val="CommentText"/>
    <w:link w:val="CommentSubjectChar"/>
    <w:uiPriority w:val="99"/>
    <w:semiHidden/>
    <w:unhideWhenUsed/>
    <w:rsid w:val="006479B5"/>
    <w:pPr>
      <w:spacing w:line="240" w:lineRule="auto"/>
    </w:pPr>
    <w:rPr>
      <w:b/>
      <w:bCs/>
    </w:rPr>
  </w:style>
  <w:style w:type="character" w:customStyle="1" w:styleId="CommentSubjectChar">
    <w:name w:val="Comment Subject Char"/>
    <w:link w:val="CommentSubject"/>
    <w:uiPriority w:val="99"/>
    <w:semiHidden/>
    <w:rsid w:val="006479B5"/>
    <w:rPr>
      <w:rFonts w:ascii="Times New Roman" w:eastAsia="Calibri" w:hAnsi="Times New Roman" w:cs="Times New Roman"/>
      <w:b/>
      <w:bCs/>
      <w:sz w:val="20"/>
      <w:szCs w:val="20"/>
      <w:lang w:val="vi-VN"/>
    </w:rPr>
  </w:style>
  <w:style w:type="paragraph" w:styleId="Revision">
    <w:name w:val="Revision"/>
    <w:hidden/>
    <w:uiPriority w:val="99"/>
    <w:semiHidden/>
    <w:rsid w:val="006479B5"/>
    <w:rPr>
      <w:rFonts w:ascii="Times New Roman" w:hAnsi="Times New Roman"/>
      <w:sz w:val="28"/>
      <w:szCs w:val="22"/>
      <w:lang w:val="vi-VN" w:eastAsia="en-US"/>
    </w:rPr>
  </w:style>
  <w:style w:type="character" w:customStyle="1" w:styleId="Bodytext2">
    <w:name w:val="Body text (2)_"/>
    <w:link w:val="Bodytext20"/>
    <w:rsid w:val="00036C1A"/>
    <w:rPr>
      <w:rFonts w:ascii="Times New Roman" w:eastAsia="Times New Roman" w:hAnsi="Times New Roman"/>
      <w:color w:val="232324"/>
    </w:rPr>
  </w:style>
  <w:style w:type="paragraph" w:customStyle="1" w:styleId="Bodytext20">
    <w:name w:val="Body text (2)"/>
    <w:basedOn w:val="Normal"/>
    <w:link w:val="Bodytext2"/>
    <w:rsid w:val="00036C1A"/>
    <w:pPr>
      <w:widowControl w:val="0"/>
      <w:spacing w:before="0" w:after="0" w:line="240" w:lineRule="auto"/>
      <w:ind w:firstLine="10"/>
      <w:jc w:val="left"/>
    </w:pPr>
    <w:rPr>
      <w:rFonts w:eastAsia="Times New Roman"/>
      <w:color w:val="232324"/>
      <w:sz w:val="20"/>
      <w:szCs w:val="2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D3F92-8E53-46F2-B4EF-56308DA065F6}">
  <ds:schemaRefs>
    <ds:schemaRef ds:uri="http://schemas.microsoft.com/sharepoint/v3/contenttype/forms"/>
  </ds:schemaRefs>
</ds:datastoreItem>
</file>

<file path=customXml/itemProps2.xml><?xml version="1.0" encoding="utf-8"?>
<ds:datastoreItem xmlns:ds="http://schemas.openxmlformats.org/officeDocument/2006/customXml" ds:itemID="{9DDEE799-A749-47E5-80E7-A86BCE9E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440A92-8721-43EB-9A79-A3F6869068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Thi Hien (TTGSNH)</dc:creator>
  <cp:keywords/>
  <dc:description/>
  <cp:lastModifiedBy>HP</cp:lastModifiedBy>
  <cp:revision>13</cp:revision>
  <cp:lastPrinted>2024-06-27T02:43:00Z</cp:lastPrinted>
  <dcterms:created xsi:type="dcterms:W3CDTF">2024-07-02T09:49:00Z</dcterms:created>
  <dcterms:modified xsi:type="dcterms:W3CDTF">2024-07-02T09:54:00Z</dcterms:modified>
</cp:coreProperties>
</file>