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5F5CE6" w:rsidRPr="00A13C91" w14:paraId="575518E6" w14:textId="77777777" w:rsidTr="00F07E45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7EB8" w14:textId="45795D62" w:rsidR="005F5CE6" w:rsidRPr="00A13C91" w:rsidRDefault="00F07E45" w:rsidP="00F07E4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BỘ TÀI CHÍNH</w:t>
            </w:r>
            <w:r w:rsidR="005F5CE6"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5F5CE6"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7AB96149" w14:textId="0DD02EC3" w:rsidR="005F5CE6" w:rsidRPr="00A13C91" w:rsidRDefault="005F5CE6" w:rsidP="00F07E4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5F5CE6">
              <w:rPr>
                <w:rFonts w:ascii="Arial" w:hAnsi="Arial" w:cs="Arial"/>
                <w:color w:val="000000"/>
                <w:sz w:val="20"/>
                <w:szCs w:val="20"/>
              </w:rPr>
              <w:t>19/2026/TT-BTC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624E2" w14:textId="77777777" w:rsidR="005F5CE6" w:rsidRPr="00A13C91" w:rsidRDefault="005F5CE6" w:rsidP="00F07E4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1651B338" w14:textId="70D61DF7" w:rsidR="005F5CE6" w:rsidRPr="00A13C91" w:rsidRDefault="005F5CE6" w:rsidP="00F07E4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Hà Nội, ngày 10 tháng 3 năm 2026</w:t>
            </w:r>
          </w:p>
        </w:tc>
      </w:tr>
    </w:tbl>
    <w:p w14:paraId="66FBCFF8" w14:textId="77777777" w:rsidR="005F5CE6" w:rsidRDefault="005F5CE6" w:rsidP="00F07E45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</w:p>
    <w:p w14:paraId="4278FEF5" w14:textId="77777777" w:rsidR="005F5CE6" w:rsidRDefault="005F5CE6" w:rsidP="00F07E45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</w:p>
    <w:p w14:paraId="3AE689A0" w14:textId="32DD1859" w:rsidR="00B21F23" w:rsidRDefault="00694D3C" w:rsidP="00F07E45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THÔNG TƯ</w:t>
      </w:r>
    </w:p>
    <w:p w14:paraId="393A92D2" w14:textId="51584EFA" w:rsidR="00B21F23" w:rsidRDefault="00694D3C" w:rsidP="00F07E45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Bãi b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 xml:space="preserve"> Thông tư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338/2016/TT-BTC ngày 28 tháng 12 năm 2016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</w:t>
      </w:r>
      <w:r w:rsidR="007E677F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trư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ng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Tài chính 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l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toán,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và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t </w:t>
      </w:r>
      <w:r w:rsidR="007E677F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toán kinh phí ngân sách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đ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m cho công tác xây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ng văn </w:t>
      </w:r>
      <w:r w:rsidR="007E677F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quy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pháp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và hoàn thi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ng pháp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 xml:space="preserve">t và Thông tư </w:t>
      </w:r>
      <w:r w:rsidR="007E677F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42/2022/TT-BTC ngày 06 tháng 7 năm 2022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trư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ng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Tài </w:t>
      </w:r>
      <w:r w:rsidR="007E677F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chính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Thông tư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338/2016/TT-BTC</w:t>
      </w:r>
    </w:p>
    <w:p w14:paraId="11B29E62" w14:textId="77777777" w:rsidR="00F07E45" w:rsidRDefault="00F07E45" w:rsidP="00F07E45">
      <w:pPr>
        <w:adjustRightInd w:val="0"/>
        <w:snapToGrid w:val="0"/>
        <w:spacing w:after="0" w:line="240" w:lineRule="auto"/>
        <w:jc w:val="center"/>
        <w:rPr>
          <w:rFonts w:ascii="Arial" w:hAnsi="Arial"/>
          <w:i/>
          <w:sz w:val="20"/>
        </w:rPr>
      </w:pPr>
    </w:p>
    <w:p w14:paraId="171F5803" w14:textId="5C00470D" w:rsidR="00B21F23" w:rsidRDefault="00694D3C" w:rsidP="00F07E4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Ngân sách nhà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89/2025/QH15;</w:t>
      </w:r>
    </w:p>
    <w:p w14:paraId="288016C6" w14:textId="77777777" w:rsidR="00B21F23" w:rsidRDefault="00694D3C" w:rsidP="00F07E4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Ban hành văn b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quy ph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m pháp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64/2025/QH15,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b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i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87/2025/QH15;</w:t>
      </w:r>
    </w:p>
    <w:p w14:paraId="54F67FCC" w14:textId="77777777" w:rsidR="00B21F23" w:rsidRDefault="00694D3C" w:rsidP="00F07E4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quy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197/2025/QH15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Qu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c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v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cơ ch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, chính sách đ</w:t>
      </w:r>
      <w:r>
        <w:rPr>
          <w:rFonts w:ascii="Arial" w:hAnsi="Arial"/>
          <w:i/>
          <w:sz w:val="20"/>
        </w:rPr>
        <w:t>ặ</w:t>
      </w:r>
      <w:r>
        <w:rPr>
          <w:rFonts w:ascii="Arial" w:hAnsi="Arial"/>
          <w:i/>
          <w:sz w:val="20"/>
        </w:rPr>
        <w:t>c bi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t t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o đ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phá trong xây d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>ng và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thi hành pháp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t;</w:t>
      </w:r>
    </w:p>
    <w:p w14:paraId="0F919519" w14:textId="77777777" w:rsidR="00B21F23" w:rsidRDefault="00694D3C" w:rsidP="00F07E4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289/2025/NĐ-CP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hư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ng d</w:t>
      </w:r>
      <w:r>
        <w:rPr>
          <w:rFonts w:ascii="Arial" w:hAnsi="Arial"/>
          <w:i/>
          <w:sz w:val="20"/>
        </w:rPr>
        <w:t>ẫ</w:t>
      </w:r>
      <w:r>
        <w:rPr>
          <w:rFonts w:ascii="Arial" w:hAnsi="Arial"/>
          <w:i/>
          <w:sz w:val="20"/>
        </w:rPr>
        <w:t>n thi hành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quy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197/2025/QH15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Qu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c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v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cơ ch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, chính sách đ</w:t>
      </w:r>
      <w:r>
        <w:rPr>
          <w:rFonts w:ascii="Arial" w:hAnsi="Arial"/>
          <w:i/>
          <w:sz w:val="20"/>
        </w:rPr>
        <w:t>ặ</w:t>
      </w:r>
      <w:r>
        <w:rPr>
          <w:rFonts w:ascii="Arial" w:hAnsi="Arial"/>
          <w:i/>
          <w:sz w:val="20"/>
        </w:rPr>
        <w:t>c bi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t t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o đ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phá trong xây d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>ng và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thi hành pháp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t;</w:t>
      </w:r>
    </w:p>
    <w:p w14:paraId="5F118758" w14:textId="77777777" w:rsidR="00B21F23" w:rsidRDefault="00694D3C" w:rsidP="00F07E4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29/2025/NĐ-CP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năng, nhi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m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, quy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n 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n và cơ c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u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Tài chính,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t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i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166/2025/NĐ-CP;</w:t>
      </w:r>
    </w:p>
    <w:p w14:paraId="3E821BB4" w14:textId="77777777" w:rsidR="00B21F23" w:rsidRDefault="00694D3C" w:rsidP="00F07E4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Theo đ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 xml:space="preserve">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 xml:space="preserve"> Tài chính - Kinh t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 xml:space="preserve"> ngành;</w:t>
      </w:r>
    </w:p>
    <w:p w14:paraId="206D8EFA" w14:textId="77777777" w:rsidR="00B21F23" w:rsidRDefault="00694D3C" w:rsidP="00F07E4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Tài chính ban hành Thông tư bãi b</w:t>
      </w:r>
      <w:r>
        <w:rPr>
          <w:rFonts w:ascii="Arial" w:hAnsi="Arial"/>
          <w:i/>
          <w:sz w:val="20"/>
        </w:rPr>
        <w:t>ỏ</w:t>
      </w:r>
      <w:r>
        <w:rPr>
          <w:rFonts w:ascii="Arial" w:hAnsi="Arial"/>
          <w:i/>
          <w:sz w:val="20"/>
        </w:rPr>
        <w:t xml:space="preserve"> Thông tư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338/2016/TT-BTC ngày 28 tháng 12 năm 2016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Tài chính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l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p d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 xml:space="preserve"> toán, qu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lý,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 xml:space="preserve"> d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ng và quy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 xml:space="preserve">t toán kinh phí </w:t>
      </w:r>
      <w:r>
        <w:rPr>
          <w:rFonts w:ascii="Arial" w:hAnsi="Arial"/>
          <w:i/>
          <w:sz w:val="20"/>
        </w:rPr>
        <w:t>ngân sách nhà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b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o đ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m cho công tác xây d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>ng văn b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quy ph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m pháp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và hoàn thi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n h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th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ng pháp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và Thông tư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42/2022/TT-BTC ngày 06 tháng 7 năm 2022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Tài chính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Thông tư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338/2016/TT-BTC.</w:t>
      </w:r>
    </w:p>
    <w:p w14:paraId="2612C458" w14:textId="77777777" w:rsidR="00B21F23" w:rsidRDefault="00694D3C" w:rsidP="00F07E4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Bãi b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 xml:space="preserve"> toàn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các Thông tư</w:t>
      </w:r>
    </w:p>
    <w:p w14:paraId="39032E4C" w14:textId="77777777" w:rsidR="00B21F23" w:rsidRDefault="00694D3C" w:rsidP="00F07E4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338/2016/TT-BTC ngày 28 tháng 12 năm 2016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toán kinh phí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cho công tác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hoàn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4A13FAA4" w14:textId="77777777" w:rsidR="00B21F23" w:rsidRDefault="00694D3C" w:rsidP="00F07E4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42/2022/TT-BTC ngày 06 tháng 7 năm 2022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338/2016/TT-BTC.</w:t>
      </w:r>
    </w:p>
    <w:p w14:paraId="7B834808" w14:textId="77777777" w:rsidR="00B21F23" w:rsidRDefault="00694D3C" w:rsidP="00F07E4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thi hành</w:t>
      </w:r>
    </w:p>
    <w:p w14:paraId="766F4EAB" w14:textId="33A0BE7D" w:rsidR="00B21F23" w:rsidRDefault="00694D3C" w:rsidP="00F07E4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Thông tư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</w:t>
      </w:r>
      <w:r w:rsidR="00F07E45">
        <w:rPr>
          <w:rFonts w:ascii="Arial" w:hAnsi="Arial"/>
          <w:sz w:val="20"/>
        </w:rPr>
        <w:t xml:space="preserve">01 </w:t>
      </w:r>
      <w:r>
        <w:rPr>
          <w:rFonts w:ascii="Arial" w:hAnsi="Arial"/>
          <w:sz w:val="20"/>
        </w:rPr>
        <w:t xml:space="preserve">tháng </w:t>
      </w:r>
      <w:r w:rsidR="00F07E45">
        <w:rPr>
          <w:rFonts w:ascii="Arial" w:hAnsi="Arial"/>
          <w:sz w:val="20"/>
        </w:rPr>
        <w:t xml:space="preserve">5 </w:t>
      </w:r>
      <w:r>
        <w:rPr>
          <w:rFonts w:ascii="Arial" w:hAnsi="Arial"/>
          <w:sz w:val="20"/>
        </w:rPr>
        <w:t>nă</w:t>
      </w:r>
      <w:r>
        <w:rPr>
          <w:rFonts w:ascii="Arial" w:hAnsi="Arial"/>
          <w:sz w:val="20"/>
        </w:rPr>
        <w:t>m 2026.</w:t>
      </w:r>
    </w:p>
    <w:p w14:paraId="2729E863" w14:textId="77777777" w:rsidR="00B21F23" w:rsidRDefault="00694D3C" w:rsidP="00F07E4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Tài chính -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ngành,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các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và các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thi hành Thông tư này.</w:t>
      </w:r>
    </w:p>
    <w:p w14:paraId="0DC4F7F5" w14:textId="77777777" w:rsidR="00B21F23" w:rsidRDefault="00694D3C" w:rsidP="00F07E4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</w:t>
      </w:r>
    </w:p>
    <w:p w14:paraId="58692B3F" w14:textId="3BA89BF4" w:rsidR="00B21F23" w:rsidRDefault="00694D3C" w:rsidP="00F07E4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thanh toán,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t toán kinh phí ngân sách </w:t>
      </w:r>
      <w:r>
        <w:rPr>
          <w:rFonts w:ascii="Arial" w:hAnsi="Arial"/>
          <w:sz w:val="20"/>
        </w:rPr>
        <w:t>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cho công tác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hoàn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01 tháng 7 năm 2025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338/2016/TT-BTC ngày 28 tháng 12 năm 2016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oán,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toán kinh phí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cho công tác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hoàn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42/2022/TT-BTC ngày 06 tháng 7 năm 2022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338/2016/TT-BTC.</w:t>
      </w:r>
      <w:r w:rsidR="009939E1">
        <w:rPr>
          <w:rFonts w:ascii="Arial" w:hAnsi="Arial"/>
          <w:sz w:val="20"/>
        </w:rPr>
        <w:t>/.</w:t>
      </w:r>
    </w:p>
    <w:p w14:paraId="5F9DC10F" w14:textId="77777777" w:rsidR="00F07E45" w:rsidRDefault="00F07E45" w:rsidP="00F07E4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639"/>
      </w:tblGrid>
      <w:tr w:rsidR="00F07E45" w:rsidRPr="00904D3E" w14:paraId="60CCE488" w14:textId="77777777" w:rsidTr="00DC274B">
        <w:trPr>
          <w:tblCellSpacing w:w="0" w:type="dxa"/>
        </w:trPr>
        <w:tc>
          <w:tcPr>
            <w:tcW w:w="29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D29B6" w14:textId="77777777" w:rsidR="00F07E45" w:rsidRDefault="00F07E45" w:rsidP="00F07E45">
            <w:pPr>
              <w:adjustRightInd w:val="0"/>
              <w:snapToGrid w:val="0"/>
              <w:spacing w:after="0" w:line="240" w:lineRule="auto"/>
            </w:pPr>
            <w:r w:rsidRPr="00904D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 nhận:</w:t>
            </w:r>
            <w:r w:rsidRPr="00904D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</w:rPr>
              <w:t>- Ban Bí thư Trung ương Đảng;</w:t>
            </w:r>
          </w:p>
          <w:p w14:paraId="7CA610F1" w14:textId="77777777" w:rsidR="00F07E45" w:rsidRDefault="00F07E45" w:rsidP="00F07E45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Thủ tướng, c</w:t>
            </w:r>
            <w:bookmarkStart w:id="0" w:name="_GoBack"/>
            <w:bookmarkEnd w:id="0"/>
            <w:r>
              <w:rPr>
                <w:rFonts w:ascii="Arial" w:hAnsi="Arial"/>
                <w:sz w:val="20"/>
              </w:rPr>
              <w:t>ác Phó Thủ tướng Chính phủ;</w:t>
            </w:r>
          </w:p>
          <w:p w14:paraId="09E4E7FD" w14:textId="77777777" w:rsidR="00F07E45" w:rsidRDefault="00F07E45" w:rsidP="00F07E45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lastRenderedPageBreak/>
              <w:t>- Văn phòng Trung ương và các Ban của Đảng;</w:t>
            </w:r>
          </w:p>
          <w:p w14:paraId="2DA480E5" w14:textId="77777777" w:rsidR="00F07E45" w:rsidRDefault="00F07E45" w:rsidP="00F07E45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Tổng Bí thư;</w:t>
            </w:r>
          </w:p>
          <w:p w14:paraId="1AF19C92" w14:textId="77777777" w:rsidR="00F07E45" w:rsidRDefault="00F07E45" w:rsidP="00F07E45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Hội đồng Dân tộc và các Ủy ban của Quốc hội;</w:t>
            </w:r>
          </w:p>
          <w:p w14:paraId="42105C8A" w14:textId="77777777" w:rsidR="00F07E45" w:rsidRDefault="00F07E45" w:rsidP="00F07E45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Quốc hội;</w:t>
            </w:r>
          </w:p>
          <w:p w14:paraId="08BAE943" w14:textId="77777777" w:rsidR="00F07E45" w:rsidRDefault="00F07E45" w:rsidP="00F07E45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Chủ tịch nước;</w:t>
            </w:r>
          </w:p>
          <w:p w14:paraId="05935BA0" w14:textId="77777777" w:rsidR="00F07E45" w:rsidRDefault="00F07E45" w:rsidP="00F07E45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Chính phủ;</w:t>
            </w:r>
          </w:p>
          <w:p w14:paraId="012ECA04" w14:textId="77777777" w:rsidR="00F07E45" w:rsidRDefault="00F07E45" w:rsidP="00F07E45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Viện Kiểm sát nhân dân tối cao;</w:t>
            </w:r>
          </w:p>
          <w:p w14:paraId="7B08BA77" w14:textId="77777777" w:rsidR="00F07E45" w:rsidRDefault="00F07E45" w:rsidP="00F07E45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Tòa án nhân dân tối cao;</w:t>
            </w:r>
          </w:p>
          <w:p w14:paraId="18E65E38" w14:textId="77777777" w:rsidR="00F07E45" w:rsidRDefault="00F07E45" w:rsidP="00F07E45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Kiểm toán nhà nước;</w:t>
            </w:r>
          </w:p>
          <w:p w14:paraId="58B95A71" w14:textId="77777777" w:rsidR="00F07E45" w:rsidRDefault="00F07E45" w:rsidP="00F07E45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Các Bộ, cơ quan ngang Bộ, cơ quan thuộc Chính phủ;</w:t>
            </w:r>
          </w:p>
          <w:p w14:paraId="59CF818F" w14:textId="77777777" w:rsidR="00F07E45" w:rsidRDefault="00F07E45" w:rsidP="00F07E45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Ủy ban Trung ương Mặt trận Tổ quốc Việt Nam;</w:t>
            </w:r>
          </w:p>
          <w:p w14:paraId="08AA22FE" w14:textId="77777777" w:rsidR="00F07E45" w:rsidRDefault="00F07E45" w:rsidP="00F07E45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HĐND, UBND các tỉnh, thành phố;</w:t>
            </w:r>
          </w:p>
          <w:p w14:paraId="020D2E2A" w14:textId="6B358D80" w:rsidR="00F07E45" w:rsidRDefault="00F07E45" w:rsidP="00F07E45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S</w:t>
            </w:r>
            <w:r w:rsidR="00DC274B">
              <w:rPr>
                <w:rFonts w:ascii="Arial" w:hAnsi="Arial"/>
                <w:sz w:val="20"/>
              </w:rPr>
              <w:t>ở T</w:t>
            </w:r>
            <w:r>
              <w:rPr>
                <w:rFonts w:ascii="Arial" w:hAnsi="Arial"/>
                <w:sz w:val="20"/>
              </w:rPr>
              <w:t>ài chính các t</w:t>
            </w:r>
            <w:r w:rsidR="00DC274B">
              <w:rPr>
                <w:rFonts w:ascii="Arial" w:hAnsi="Arial"/>
                <w:sz w:val="20"/>
              </w:rPr>
              <w:t>ỉ</w:t>
            </w:r>
            <w:r>
              <w:rPr>
                <w:rFonts w:ascii="Arial" w:hAnsi="Arial"/>
                <w:sz w:val="20"/>
              </w:rPr>
              <w:t>nh, thành ph</w:t>
            </w:r>
            <w:r w:rsidR="00DC274B"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;</w:t>
            </w:r>
          </w:p>
          <w:p w14:paraId="4EB0A419" w14:textId="77777777" w:rsidR="00F07E45" w:rsidRDefault="00F07E45" w:rsidP="00F07E45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Các KBNN khu vực;</w:t>
            </w:r>
          </w:p>
          <w:p w14:paraId="69943EAE" w14:textId="77777777" w:rsidR="00F07E45" w:rsidRDefault="00F07E45" w:rsidP="00F07E45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Cục Kiểm tra văn bản và Quản lý xử lý vi phạm hành chính, Bộ Tư pháp;</w:t>
            </w:r>
          </w:p>
          <w:p w14:paraId="773583C2" w14:textId="77777777" w:rsidR="00F07E45" w:rsidRDefault="00F07E45" w:rsidP="00F07E45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Cổng báo, Cổng Thông tin điện tử Chính phủ;</w:t>
            </w:r>
          </w:p>
          <w:p w14:paraId="5B0C8E8E" w14:textId="77777777" w:rsidR="00F07E45" w:rsidRDefault="00F07E45" w:rsidP="00F07E45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Cổng Thông tin điện tử Bộ Tài chính;</w:t>
            </w:r>
          </w:p>
          <w:p w14:paraId="0BC5B8C7" w14:textId="77777777" w:rsidR="00F07E45" w:rsidRDefault="00F07E45" w:rsidP="00F07E45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Các đơn vị thuộc Bộ Tài chính;</w:t>
            </w:r>
          </w:p>
          <w:p w14:paraId="397F9211" w14:textId="56944056" w:rsidR="00F07E45" w:rsidRPr="00F07E45" w:rsidRDefault="00F07E45" w:rsidP="00F07E45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Lưu: VT, KTN. (90b)</w:t>
            </w:r>
          </w:p>
          <w:p w14:paraId="6E136260" w14:textId="77777777" w:rsidR="00F07E45" w:rsidRPr="00904D3E" w:rsidRDefault="00F07E45" w:rsidP="00F07E4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1F2A9" w14:textId="77777777" w:rsidR="00F07E45" w:rsidRPr="00904D3E" w:rsidRDefault="00F07E45" w:rsidP="00F07E4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4D3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KT. BỘ TRƯỞNG</w:t>
            </w:r>
          </w:p>
          <w:p w14:paraId="5DB72BEA" w14:textId="77777777" w:rsidR="00F07E45" w:rsidRPr="00904D3E" w:rsidRDefault="00F07E45" w:rsidP="00F07E4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4D3E">
              <w:rPr>
                <w:rFonts w:ascii="Arial" w:hAnsi="Arial" w:cs="Arial"/>
                <w:b/>
                <w:bCs/>
                <w:sz w:val="20"/>
                <w:szCs w:val="20"/>
              </w:rPr>
              <w:t>THỨ TRƯỞNG</w:t>
            </w:r>
          </w:p>
          <w:p w14:paraId="571C86D9" w14:textId="77777777" w:rsidR="00F07E45" w:rsidRPr="00904D3E" w:rsidRDefault="00F07E45" w:rsidP="00F07E4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6E20AC" w14:textId="77777777" w:rsidR="00F07E45" w:rsidRPr="00904D3E" w:rsidRDefault="00F07E45" w:rsidP="00F07E4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E871A1" w14:textId="77777777" w:rsidR="00F07E45" w:rsidRPr="00904D3E" w:rsidRDefault="00F07E45" w:rsidP="00F07E4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5BECCE" w14:textId="77777777" w:rsidR="00F07E45" w:rsidRPr="00904D3E" w:rsidRDefault="00F07E45" w:rsidP="00F07E4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9860F8" w14:textId="0B805EC9" w:rsidR="00F07E45" w:rsidRPr="00904D3E" w:rsidRDefault="00F07E45" w:rsidP="00F07E4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Nguyễn Thị Bích Ngọc</w:t>
            </w:r>
          </w:p>
        </w:tc>
      </w:tr>
    </w:tbl>
    <w:p w14:paraId="38CE4D98" w14:textId="77777777" w:rsidR="00F07E45" w:rsidRDefault="00F07E45" w:rsidP="00F07E45">
      <w:pPr>
        <w:adjustRightInd w:val="0"/>
        <w:snapToGrid w:val="0"/>
        <w:spacing w:after="120" w:line="240" w:lineRule="auto"/>
        <w:ind w:firstLine="720"/>
        <w:jc w:val="both"/>
      </w:pPr>
    </w:p>
    <w:sectPr w:rsidR="00F07E45" w:rsidSect="00F07E45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B31B5" w14:textId="77777777" w:rsidR="00694D3C" w:rsidRDefault="00694D3C">
      <w:pPr>
        <w:spacing w:after="0" w:line="240" w:lineRule="auto"/>
      </w:pPr>
      <w:r>
        <w:separator/>
      </w:r>
    </w:p>
  </w:endnote>
  <w:endnote w:type="continuationSeparator" w:id="0">
    <w:p w14:paraId="72F2203C" w14:textId="77777777" w:rsidR="00694D3C" w:rsidRDefault="0069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47FD2" w14:textId="77777777" w:rsidR="00694D3C" w:rsidRDefault="00694D3C">
      <w:pPr>
        <w:spacing w:after="0" w:line="240" w:lineRule="auto"/>
      </w:pPr>
      <w:r>
        <w:separator/>
      </w:r>
    </w:p>
  </w:footnote>
  <w:footnote w:type="continuationSeparator" w:id="0">
    <w:p w14:paraId="494181D1" w14:textId="77777777" w:rsidR="00694D3C" w:rsidRDefault="00694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23"/>
    <w:rsid w:val="000839DB"/>
    <w:rsid w:val="00195F8E"/>
    <w:rsid w:val="001C6C78"/>
    <w:rsid w:val="005246B6"/>
    <w:rsid w:val="005F5CE6"/>
    <w:rsid w:val="00694D3C"/>
    <w:rsid w:val="007E677F"/>
    <w:rsid w:val="008362D2"/>
    <w:rsid w:val="009939E1"/>
    <w:rsid w:val="00B21F23"/>
    <w:rsid w:val="00DB2E97"/>
    <w:rsid w:val="00DC274B"/>
    <w:rsid w:val="00F0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EDD56"/>
  <w15:docId w15:val="{2629A7BC-2828-41E4-B39A-D372A041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7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E45"/>
  </w:style>
  <w:style w:type="paragraph" w:styleId="Footer">
    <w:name w:val="footer"/>
    <w:basedOn w:val="Normal"/>
    <w:link w:val="FooterChar"/>
    <w:uiPriority w:val="99"/>
    <w:unhideWhenUsed/>
    <w:rsid w:val="00F07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4</cp:revision>
  <dcterms:created xsi:type="dcterms:W3CDTF">2026-03-12T07:40:00Z</dcterms:created>
  <dcterms:modified xsi:type="dcterms:W3CDTF">2026-03-13T02:07:00Z</dcterms:modified>
</cp:coreProperties>
</file>