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536"/>
        <w:gridCol w:w="5490"/>
      </w:tblGrid>
      <w:tr w:rsidR="00296754" w:rsidRPr="00296754" w14:paraId="10831A76" w14:textId="77777777" w:rsidTr="00275D5E">
        <w:tc>
          <w:tcPr>
            <w:tcW w:w="1959" w:type="pct"/>
          </w:tcPr>
          <w:p w14:paraId="7CC4CD2C" w14:textId="0244EB20" w:rsidR="00DF78A3" w:rsidRPr="00296754" w:rsidRDefault="0086662B" w:rsidP="00296754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6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  <w:r w:rsidRPr="00296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="00296754" w:rsidRPr="00296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96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TÀI</w:t>
            </w:r>
            <w:r w:rsidR="00296754" w:rsidRPr="00296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96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Pr="0029675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96754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="00296754" w:rsidRPr="00296754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US"/>
              </w:rPr>
              <w:br/>
            </w:r>
            <w:r w:rsidRPr="0029675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96754" w:rsidRPr="0029675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96754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96754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96754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296754" w:rsidRPr="0029675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96754">
              <w:rPr>
                <w:rFonts w:ascii="Arial" w:hAnsi="Arial" w:cs="Arial"/>
                <w:color w:val="000000" w:themeColor="text1"/>
                <w:sz w:val="20"/>
                <w:szCs w:val="20"/>
              </w:rPr>
              <w:t>147/2025/TT-BTC</w:t>
            </w:r>
          </w:p>
        </w:tc>
        <w:tc>
          <w:tcPr>
            <w:tcW w:w="3041" w:type="pct"/>
          </w:tcPr>
          <w:p w14:paraId="25001DC7" w14:textId="110C87A1" w:rsidR="00DF78A3" w:rsidRPr="00296754" w:rsidRDefault="0086662B" w:rsidP="00296754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6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296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296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296754" w:rsidRPr="00296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96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296754" w:rsidRPr="00296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96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296754" w:rsidRPr="00296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96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296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296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296754" w:rsidRPr="00296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96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296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296754" w:rsidRPr="00296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96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296754" w:rsidRPr="00296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96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296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296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296754" w:rsidRPr="00296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96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29675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96754" w:rsidRPr="00296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96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296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296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296754" w:rsidRPr="00296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96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296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296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296754" w:rsidRPr="00296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96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296754" w:rsidRPr="00296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96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296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296754" w:rsidRPr="00296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96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296754" w:rsidRPr="00296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96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296754" w:rsidRPr="00296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96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296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296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296754" w:rsidRPr="00296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967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29675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96754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29675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9675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</w:t>
            </w:r>
            <w:r w:rsidR="00296754" w:rsidRPr="0029675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9675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</w:t>
            </w:r>
            <w:r w:rsidRPr="0029675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29675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</w:t>
            </w:r>
            <w:r w:rsidR="00296754" w:rsidRPr="0029675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9675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</w:t>
            </w:r>
            <w:r w:rsidR="00296754" w:rsidRPr="0029675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9675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31</w:t>
            </w:r>
            <w:r w:rsidR="00296754" w:rsidRPr="0029675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9675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</w:t>
            </w:r>
            <w:r w:rsidR="00296754" w:rsidRPr="0029675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9675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12</w:t>
            </w:r>
            <w:r w:rsidR="00296754" w:rsidRPr="0029675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9675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="00296754" w:rsidRPr="0029675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9675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2025</w:t>
            </w:r>
          </w:p>
        </w:tc>
      </w:tr>
    </w:tbl>
    <w:p w14:paraId="25A1345E" w14:textId="77777777" w:rsidR="00296754" w:rsidRPr="00296754" w:rsidRDefault="00296754" w:rsidP="00296754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1AB1AEF" w14:textId="77777777" w:rsidR="00296754" w:rsidRPr="00296754" w:rsidRDefault="00296754" w:rsidP="00296754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09AD911" w14:textId="442EC793" w:rsidR="00DF78A3" w:rsidRPr="00296754" w:rsidRDefault="0086662B" w:rsidP="00296754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THÔNG TƯ</w:t>
      </w:r>
    </w:p>
    <w:p w14:paraId="1F861D7F" w14:textId="77777777" w:rsidR="00DF78A3" w:rsidRPr="00884328" w:rsidRDefault="0086662B" w:rsidP="00296754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nh qu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n lý, s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ng và quy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t toán v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u tư công và kinh phí s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br/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nghi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p t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 xml:space="preserve"> ngu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n ngân sách nhà nư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n Chương trình m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 xml:space="preserve">c tiêu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br/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qu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c gia phòng, ch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ng ma túy đ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n năm 2030</w:t>
      </w:r>
    </w:p>
    <w:p w14:paraId="4BF2FF09" w14:textId="77777777" w:rsidR="00296754" w:rsidRPr="00884328" w:rsidRDefault="00296754" w:rsidP="00296754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7264D14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 xml:space="preserve"> quy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 xml:space="preserve"> 163/2024/QH15 ngày 27 tháng 11 năm 2024 c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a Qu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c h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i phê duy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t ch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 xml:space="preserve"> trương đ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u tư Chương trình m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c tiêu qu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c gia phòng, ch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ng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 xml:space="preserve"> ma túy đ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n năm 2030;</w:t>
      </w:r>
    </w:p>
    <w:p w14:paraId="1367DE19" w14:textId="62C0914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 xml:space="preserve"> quy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 xml:space="preserve"> 1</w:t>
      </w:r>
      <w:r w:rsidR="00EC2EAC" w:rsidRPr="00A041D1">
        <w:rPr>
          <w:rFonts w:ascii="Arial" w:hAnsi="Arial" w:cs="Arial"/>
          <w:i/>
          <w:color w:val="000000" w:themeColor="text1"/>
          <w:sz w:val="20"/>
          <w:szCs w:val="20"/>
        </w:rPr>
        <w:t>1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1/2024/QH15 ngày 18 tháng 01 năm 2024 c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a Qu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c h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i v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 xml:space="preserve"> m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 xml:space="preserve"> cơ ch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, chính sách đ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ặ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c thù th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n chương trình m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c tiêu qu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c gia;</w:t>
      </w:r>
    </w:p>
    <w:p w14:paraId="12C012DE" w14:textId="32112ABA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t Ngân sách nhà nư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 xml:space="preserve"> 89</w:t>
      </w:r>
      <w:r w:rsidR="00A041D1" w:rsidRPr="00A041D1">
        <w:rPr>
          <w:rFonts w:ascii="Arial" w:hAnsi="Arial" w:cs="Arial"/>
          <w:i/>
          <w:color w:val="000000" w:themeColor="text1"/>
          <w:sz w:val="20"/>
          <w:szCs w:val="20"/>
        </w:rPr>
        <w:t>/2025/QH15, 83/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/2015/QH13;</w:t>
      </w:r>
    </w:p>
    <w:p w14:paraId="6DA08173" w14:textId="5CE6567A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u tư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 xml:space="preserve"> công s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 xml:space="preserve"> 58/20</w:t>
      </w:r>
      <w:r w:rsidR="00A041D1" w:rsidRPr="00A041D1">
        <w:rPr>
          <w:rFonts w:ascii="Arial" w:hAnsi="Arial" w:cs="Arial"/>
          <w:i/>
          <w:color w:val="000000" w:themeColor="text1"/>
          <w:sz w:val="20"/>
          <w:szCs w:val="20"/>
        </w:rPr>
        <w:t>2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4/QH1</w:t>
      </w:r>
      <w:r w:rsidR="00A041D1" w:rsidRPr="00A041D1">
        <w:rPr>
          <w:rFonts w:ascii="Arial" w:hAnsi="Arial" w:cs="Arial"/>
          <w:i/>
          <w:color w:val="000000" w:themeColor="text1"/>
          <w:sz w:val="20"/>
          <w:szCs w:val="20"/>
        </w:rPr>
        <w:t>4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 xml:space="preserve"> đư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="00296754" w:rsidRPr="0029675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90/20</w:t>
      </w:r>
      <w:r w:rsidR="00A041D1" w:rsidRPr="00A041D1">
        <w:rPr>
          <w:rFonts w:ascii="Arial" w:hAnsi="Arial" w:cs="Arial"/>
          <w:i/>
          <w:color w:val="000000" w:themeColor="text1"/>
          <w:sz w:val="20"/>
          <w:szCs w:val="20"/>
        </w:rPr>
        <w:t>2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5/QH1</w:t>
      </w:r>
      <w:r w:rsidR="00A041D1" w:rsidRPr="00A041D1">
        <w:rPr>
          <w:rFonts w:ascii="Arial" w:hAnsi="Arial" w:cs="Arial"/>
          <w:i/>
          <w:color w:val="000000" w:themeColor="text1"/>
          <w:sz w:val="20"/>
          <w:szCs w:val="20"/>
        </w:rPr>
        <w:t>5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;</w:t>
      </w:r>
    </w:p>
    <w:p w14:paraId="4192F876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 xml:space="preserve"> 163/2016/NĐ-CP ngày 21 tháng 12 năm 2016 c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nh chi ti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t thi hành m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a Lu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t ngân sách nhà nư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c;</w:t>
      </w:r>
    </w:p>
    <w:p w14:paraId="3E529F0F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 xml:space="preserve"> 85/2025/NĐ-CP ngày 08 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tháng 4 năm 2025 c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nh chi ti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t thi hành m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a Lu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u tư công đư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i Ngh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 xml:space="preserve"> 275/2025/NĐ-CP ngày 18 tháng 10 năm 2025 c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;</w:t>
      </w:r>
    </w:p>
    <w:p w14:paraId="02ACD446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 xml:space="preserve"> 29/2025/NĐ-CP ngày 24 tháng 2 năm 2025 c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a Chính p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h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nh ch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c năng, nhi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m v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, quy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n h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n và cơ c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u t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c c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 xml:space="preserve"> Tài chính đư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i Ngh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 xml:space="preserve"> 166/2025/NĐ-CP ngày 30 tháng 6 năm 2025 c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;</w:t>
      </w:r>
    </w:p>
    <w:p w14:paraId="3B584265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a V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ng V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 xml:space="preserve"> Qu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c phòng, an ninh, đ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ặ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c bi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t;</w:t>
      </w:r>
    </w:p>
    <w:p w14:paraId="43F7E2AD" w14:textId="77777777" w:rsidR="00DF78A3" w:rsidRPr="00296754" w:rsidRDefault="0086662B" w:rsidP="00296754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B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 xml:space="preserve"> Tài chính 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ban hành Thông tư quy đ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nh qu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n lý, s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ng và quy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t toán v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n đ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u tư công và kinh phí s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 xml:space="preserve"> nghi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p t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ừ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 xml:space="preserve"> ngu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n ngân sách nhà nư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c th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n Chương trình m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c tiêu qu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c gia phòng, ch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ng ma túy đ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n năm 2030.</w:t>
      </w:r>
    </w:p>
    <w:p w14:paraId="07FE1BD4" w14:textId="77777777" w:rsidR="00296754" w:rsidRPr="00884328" w:rsidRDefault="00296754" w:rsidP="00296754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7BFEA5B" w14:textId="28FCDEDA" w:rsidR="00DF78A3" w:rsidRPr="00296754" w:rsidRDefault="0086662B" w:rsidP="00296754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Chương I</w:t>
      </w:r>
    </w:p>
    <w:p w14:paraId="388E60ED" w14:textId="77777777" w:rsidR="00DF78A3" w:rsidRPr="00296754" w:rsidRDefault="0086662B" w:rsidP="00296754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NH CHUNG</w:t>
      </w:r>
    </w:p>
    <w:p w14:paraId="1C7D7C6F" w14:textId="77777777" w:rsidR="00296754" w:rsidRPr="00296754" w:rsidRDefault="00296754" w:rsidP="00296754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492942F5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u 1. Ph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m vi đi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4EFA8932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1.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hông tư này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và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tư công và kinh phí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Chương trình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tiêu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gia phòng,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ma túy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n năm 2030 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(sau đây g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ọ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i t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ắ</w:t>
      </w:r>
      <w:r w:rsidRPr="00296754">
        <w:rPr>
          <w:rFonts w:ascii="Arial" w:hAnsi="Arial" w:cs="Arial"/>
          <w:i/>
          <w:color w:val="000000" w:themeColor="text1"/>
          <w:sz w:val="20"/>
          <w:szCs w:val="20"/>
        </w:rPr>
        <w:t>t là Chương trình)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7619/QĐ-BCA ngày 08 tháng 9 năm 2025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Công an.</w:t>
      </w:r>
    </w:p>
    <w:p w14:paraId="7C6E14FB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vi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ngân sách nhà nư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mà nhà tài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có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nhà tài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và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Tài chính chưa có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dung,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chi thì áp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theo n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dung,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chi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Thông tư này.</w:t>
      </w:r>
    </w:p>
    <w:p w14:paraId="2627EEE0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các 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ng,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án thu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Chương trình có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ghép ngu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ngân sách trung ương, ngân sách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phương và các ngu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huy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pháp khác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Thông tư này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cơ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lý,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các chương trình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tiêu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gia,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6503CD6E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4. Thông tư này không áp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vi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ngân sách nhà nư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c đã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có hư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riêng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chi tiêu tài chính.</w:t>
      </w:r>
    </w:p>
    <w:p w14:paraId="5DECEECB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u 2. Đ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ng áp d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6591C8EC" w14:textId="77777777" w:rsidR="00DF78A3" w:rsidRPr="00296754" w:rsidRDefault="0086662B" w:rsidP="00296754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Thông tư này áp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các cơ quan, đơn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c, cá nhân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ng,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toán và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hư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tư công và kinh phí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Chương trình.</w:t>
      </w:r>
    </w:p>
    <w:p w14:paraId="3C584CDE" w14:textId="77777777" w:rsidR="00296754" w:rsidRPr="00884328" w:rsidRDefault="00296754" w:rsidP="00296754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4D5E425" w14:textId="0BD9C49C" w:rsidR="00DF78A3" w:rsidRPr="00296754" w:rsidRDefault="0086662B" w:rsidP="00296754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bookmarkStart w:id="0" w:name="_GoBack"/>
      <w:bookmarkEnd w:id="0"/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Chương II</w:t>
      </w:r>
    </w:p>
    <w:p w14:paraId="3C9E3430" w14:textId="0B5E111F" w:rsidR="00DF78A3" w:rsidRPr="00884328" w:rsidRDefault="0086662B" w:rsidP="00296754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QUY Đ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 xml:space="preserve"> NGU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N KINH PHÍ S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P T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 xml:space="preserve"> NGÂN SÁCH NHÀ </w:t>
      </w:r>
      <w:r w:rsidR="00296754" w:rsidRPr="00884328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NƯ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N CHƯƠNG TRÌNH</w:t>
      </w:r>
    </w:p>
    <w:p w14:paraId="1A174FD3" w14:textId="77777777" w:rsidR="00296754" w:rsidRPr="00884328" w:rsidRDefault="00296754" w:rsidP="00296754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C44D9A0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u 3. Ngu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n kinh phí s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p t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 xml:space="preserve"> ngân sách nhà nư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185D8DD8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1. Ngân sách trung ương:</w:t>
      </w:r>
    </w:p>
    <w:p w14:paraId="58174C38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trí trong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toán chi ngân sá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ch nhà nư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hàng năm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các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cơ quan trung ương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giao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Chương trình.</w:t>
      </w:r>
    </w:p>
    <w:p w14:paraId="10D3D564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sung có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tiêu cho các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phương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khai các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án,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án thành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Chương trình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Chính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nguyên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c, tiêu chí,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phân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ngân sách trung ương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Chương trình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tiêu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gia phòng,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ma túy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năm 2030.</w:t>
      </w:r>
    </w:p>
    <w:p w14:paraId="29AE1706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2. Ngân sách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phương:</w:t>
      </w:r>
    </w:p>
    <w:p w14:paraId="16B615C7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Các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phương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ngân sách trung ương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(n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có); căn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năng cân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ngân sách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phương, tình hình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hàng năm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trí ngu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ngân sách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phương và huy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các ngu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tài chính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pháp khác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có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các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án,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án thành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Chương trình trên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bàn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nguyên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c, tiêu chí,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phân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ngân sách trung ương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Chương trình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tiêu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gia phòng,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ma túy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năm 2030.</w:t>
      </w:r>
    </w:p>
    <w:p w14:paraId="626E298A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u 4. L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p d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 xml:space="preserve"> toán, ch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p hành và quy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t toán kinh phí s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373C8074" w14:textId="23BFB881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1.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toán,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hành và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toán kinh phí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chương trình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tiêu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gia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c;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cơ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lý,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các chương trình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tiêu q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gia;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nguyên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c, tiêu chí,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phân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ngân sách trung ương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Chương trình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tiêu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gia phòng,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ma túy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năm 2030; văn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cơ quan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Chương trình; văn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các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cơ quan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phân công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trì các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án,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án thành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n;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Thông tư này và các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liên quan. Các cơ quan, đơn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phân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và giao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toán kinh phí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Chương trình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và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toán theo đúng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pháp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t. Các n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dung, nhi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Chương trình đã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trí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toán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kinh phí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các chương trình,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án,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án khác thì không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ng, thanh,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toán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kinh phí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Chương trình.</w:t>
      </w:r>
    </w:p>
    <w:p w14:paraId="2718BC82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mua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trang thi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tư, hàng hóa,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;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a, duy tu,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 dư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u;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hàng, giao nhi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công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ngân sách nhà nư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kinh phí chi thư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xuyên; xây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ng, công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ông tin;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công và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có liên quan trong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B047CF2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các 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ng, nhi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cơ quan, đơn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giao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toán (Bên A) ký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các cơ quan, đơn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khác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(Bên B)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t. Tài li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làm căn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thanh toán,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toán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lưu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Bên A g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m: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ng, biên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thu công vi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c, biên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thanh lý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ng, văn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thanh toán kinh phí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a Bên B, hóa đơn,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y nhi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chi 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phi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hi và các tài li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có liên quan khác. Các hóa đơn,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chi tiêu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do Bên B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lưu gi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hành. Bên B có trách nhi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tri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khai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Chương trình đã ký k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t,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kinh phí theo đún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g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63A592E" w14:textId="77777777" w:rsidR="00DF78A3" w:rsidRPr="00296754" w:rsidRDefault="0086662B" w:rsidP="00296754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4. Vi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thanh toán, chi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các kho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kinh phí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Chương trình qua Kho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Ngân sách nhà nư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c,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11/2020/NĐ-CP ngày 20 tháng 01 năm 2020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hành chính thu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Kho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c;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17/2024/TT-BTC ngày 14 tháng 3 năm 2024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Tài chính hư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soát, thanh toán các kho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chi thư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xuyên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qua Kho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và các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ăn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t,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sung, thay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(n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31C9B7C8" w14:textId="77777777" w:rsidR="00296754" w:rsidRPr="00884328" w:rsidRDefault="00296754" w:rsidP="00296754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77C30EC" w14:textId="350F94BC" w:rsidR="00DF78A3" w:rsidRPr="00296754" w:rsidRDefault="0086662B" w:rsidP="00296754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Chương III</w:t>
      </w:r>
    </w:p>
    <w:p w14:paraId="326DA746" w14:textId="77777777" w:rsidR="00DF78A3" w:rsidRPr="00884328" w:rsidRDefault="0086662B" w:rsidP="00296754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 xml:space="preserve"> NGU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N V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U TƯ CÔNG T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 xml:space="preserve"> NGÂN SÁCH NHÀ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br/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 xml:space="preserve"> NƯ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N CHƯƠNG TRÌNH</w:t>
      </w:r>
    </w:p>
    <w:p w14:paraId="5D39C224" w14:textId="77777777" w:rsidR="00296754" w:rsidRPr="00884328" w:rsidRDefault="00296754" w:rsidP="00296754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3B70498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u 5. Ngu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n v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u tư công t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 xml:space="preserve"> ngân sách nhà nư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0F37FEBC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lastRenderedPageBreak/>
        <w:t>Ngu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tư công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Chương trình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trí trong k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tư công trung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5 năm và trong k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tư công hàng năm. Ngân sách trung ương và ngân sách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phương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 cân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trí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Chương trình theo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đã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163/2024/QH15 ngày 27 tháng 11 năm 2024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phê duy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tư Chương trình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tiêu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gia phòng,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ma túy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năm 2030.</w:t>
      </w:r>
    </w:p>
    <w:p w14:paraId="723418A8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u 6. L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p d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 xml:space="preserve"> toán, ch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p hành và quy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t toán v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u tư công</w:t>
      </w:r>
    </w:p>
    <w:p w14:paraId="53A2E53C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toán,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n, thanh toán,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toán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ngu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tư công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Chương trình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c;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tư công;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cơ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lý,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các chương trình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tiêu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gia;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254/2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025/NĐ-CP ngày 26 tháng 9 năm 2025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lý, thanh toán,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toán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án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tư công;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91/2025/TT-BTC ngày 26 tháng 9 năm 2025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Tài chính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bi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ng trong công tác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toán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các n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dung, công vi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liên quan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tư sau khi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án hoàn thành 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vĩnh vi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n; văn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cơ quan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chương trình.</w:t>
      </w:r>
    </w:p>
    <w:p w14:paraId="2B41008C" w14:textId="1092344D" w:rsidR="00DF78A3" w:rsidRPr="00296754" w:rsidRDefault="0086662B" w:rsidP="00296754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tư công kh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tri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khai k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i,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bách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15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4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tư công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58/2024/QH15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90/2025/QH15 thì vi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n, thanh toán,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toán,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báo cáo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tư công kh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2A6FB063" w14:textId="77777777" w:rsidR="00296754" w:rsidRPr="00941784" w:rsidRDefault="00296754" w:rsidP="00296754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7BEB4DA" w14:textId="2D6C2FBA" w:rsidR="00DF78A3" w:rsidRPr="00296754" w:rsidRDefault="0086662B" w:rsidP="00296754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Chương IV</w:t>
      </w:r>
    </w:p>
    <w:p w14:paraId="6A2CFFA9" w14:textId="77777777" w:rsidR="00DF78A3" w:rsidRPr="00296754" w:rsidRDefault="0086662B" w:rsidP="00296754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 xml:space="preserve"> N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I DUNG CHI VÀ M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C CHI THƯ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NG XUYÊN</w:t>
      </w:r>
    </w:p>
    <w:p w14:paraId="2B7DCB6B" w14:textId="77777777" w:rsidR="00296754" w:rsidRPr="00941784" w:rsidRDefault="00296754" w:rsidP="00296754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B58E8F5" w14:textId="13F18F35" w:rsidR="00DF78A3" w:rsidRPr="00296754" w:rsidRDefault="0086662B" w:rsidP="00296754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c 1. QUY Đ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NH CHUNG V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 xml:space="preserve"> N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I DUNG CHI VÀ M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C CHI C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 xml:space="preserve">A </w:t>
      </w:r>
      <w:r w:rsidR="00296754" w:rsidRPr="00941784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CÁC D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 xml:space="preserve"> ÁN</w:t>
      </w:r>
    </w:p>
    <w:p w14:paraId="25FDDD36" w14:textId="77777777" w:rsidR="00296754" w:rsidRPr="00941784" w:rsidRDefault="00296754" w:rsidP="00296754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CEDF4CA" w14:textId="19CE9A30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u 7. M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 xml:space="preserve"> n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i dung chi và m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c chi chung</w:t>
      </w:r>
    </w:p>
    <w:p w14:paraId="4FD4D7E7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1. Chi đào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o,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nâng cao năng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cho ngư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tham gia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đào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o,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nâng cao năng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c:</w:t>
      </w:r>
    </w:p>
    <w:p w14:paraId="336B8FC3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a) N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dung chi và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chi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4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100/2025/TT-BTC ngày 28 tháng 10 năm 2025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Tài chính hư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toán,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và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toán kinh phí dành cho công tác đào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cán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(sau đây vi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là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100/2025/TT-BTC).</w:t>
      </w:r>
    </w:p>
    <w:p w14:paraId="4076F352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b) Ngu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kinh phí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trí trong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toán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Chương trình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cơ quan, đơ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giao nhi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o,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nâng cao năng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(bao g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chi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ăn, chi phí đi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i,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thuê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cho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viên).</w:t>
      </w:r>
    </w:p>
    <w:p w14:paraId="2E617592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giao cho cơ quan, đơn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trì đào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o,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n, nâng cao năng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không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chi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chi phí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ăn, đi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i,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thuê phòng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cho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viên thì cơ quan, đơn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trì đào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o,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n, nâng cao năng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có trách nhi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thông báo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(trong gi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y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i, tri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p)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cơ quan, đơn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viên thanh toán các kho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chi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lưu trú, đi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i,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thuê phòng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6BE82147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2. Chi công tác phí; chi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o:</w:t>
      </w:r>
    </w:p>
    <w:p w14:paraId="43518652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a) Chi công tác phí: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40/2017/TT-BTC ngày 28 tháng 4 năm 2017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Tài chính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công tác phí,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chi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và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12/2025/TT-BTC ngày 19 tháng 3 năm 2025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Tài chính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40/2017/TT-BTC ngày 28 tháng 4 năm 2017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Tài chính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công tác phí,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chi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(vi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là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40/2017/TT-BTC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12/2025/TT-BTC).</w:t>
      </w:r>
    </w:p>
    <w:p w14:paraId="299AD66D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b) Chi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40/2017/TT-BTC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12/2025/TT-BTC và các q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sau:</w:t>
      </w:r>
    </w:p>
    <w:p w14:paraId="3420D6E2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- Chi thuê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m,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(trong trư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cơ quan, đơn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không có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thuê 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c có nhưng không đáp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tham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) và các trang thi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đi kèm; chi tài li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u, văn phòng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m, nư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ng, thu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y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thông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hư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và trong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AE07A49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- Chi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công gi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viên,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ng, báo cáo viên: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lastRenderedPageBreak/>
        <w:t>2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4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100/2025/TT-BTC. Ngoài ra, tùy theo tình hình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và trong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giao,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cơ quan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giao nhi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các bu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đàm, giao lưu, các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giáo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truy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thông, tư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n, nói chuy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chuyên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ăn,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thuê phòng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phương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đi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cho gi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viên,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ng, báo cáo viên.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chi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4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100/2025/TT-BTC.</w:t>
      </w:r>
    </w:p>
    <w:p w14:paraId="40C028B9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- Chi bi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dương, tôn vinh, khen thư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cá nhân có thành tích xu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trong vi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Chương trình theo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n: N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dung và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chi khen thư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hành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thi đua, khen thư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6E711C2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- Các kho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chi khác liên quan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công tác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và trong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9A0FD12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3. Chi thông tin, truy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thông; tuyên truy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n,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giáo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t:</w:t>
      </w:r>
    </w:p>
    <w:p w14:paraId="00195ADC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a) Chi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t, biên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p, đăng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i, truy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n, phát sóng, phát hành các tài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u,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dư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các tác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báo chí, xu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và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thông tin, truy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thông khác:</w:t>
      </w:r>
    </w:p>
    <w:p w14:paraId="67BF49B0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-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chi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thông tin, tuyên truy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các lo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hình báo chí và xu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18/2014/NĐ-CP ngày 14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áng 3 năm 2014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nhu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bút trong lĩnh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báo chí, xu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theo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kinh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trong 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báo chí, xu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(sau đây g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là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18/2014/NĐ-CP) 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theo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kinh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trong 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báo chí, xu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do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cơ quan trung ương và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phương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05/2024/TT-BTTTT ngày 14 tháng 6 năm 2024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Thông tin và Truy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thông (nay là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ch) hư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xây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và ban hành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kinh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công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ngân sách nhà nư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trong lĩnh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báo chí thu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307AE5BE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-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thông tin, tuyên truy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hình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nh,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t, nhi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nh, sân kh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và các lo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hình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bi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di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khác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21/2015/NĐ-CP ngày 14 tháng 02 năm 2015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nhu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bút, thù lao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tác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nh,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t, nhi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nh, sân kh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và các lo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hình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bi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di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khác 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theo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kinh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lĩnh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nh,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t, nhi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nh, sân kh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và các lo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hình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bi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di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khác.</w:t>
      </w:r>
    </w:p>
    <w:p w14:paraId="75CC7459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t, biên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p, đăng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i, phát sóng, phá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hành các tài li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u,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dư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các tác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báo chí, xu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và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truy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thông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chưa có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kinh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chi phí do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ban hành; chi mua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hàng hóa,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khác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các 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truy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thông: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cơ quan, đơn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giao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thông căn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giao,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toán kinh phí,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chi tiêu tài chính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hành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hình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c, n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dung tuyên truy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n, chương trình truy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thông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m,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 đúng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hàng, giao nhi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và trong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F9881BA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b) Chi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công biên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các n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dung truy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thông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ng: 100.000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ng/tin, bài dư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350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; 150.000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ng/ti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n, bài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350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600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; 200.000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ng/bài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600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lên;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công phát thanh viên: 60.000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ng/ngư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i/bu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58B59F1A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c) Chi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các bu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đàm, tuyên truy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n, các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giáo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truy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thông, tư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n, nói chuy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chuyên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chính sách: n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ung chi,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chi áp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theo n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dung chi,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chi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4AA57CD0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Riêng chi thuê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m,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ng, bàn 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trang thi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(n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có); chi tài li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u, văn phòng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m; chi in k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u, lưu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thành tài li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Chương trình; chi khác liên quan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công tác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đàm, các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giáo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truy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thông, tư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n, nói chuy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chuyên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chính sách: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và trong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9B225A2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d) Chi tư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n, hư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tuyên truy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n, giáo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ng:</w:t>
      </w:r>
    </w:p>
    <w:p w14:paraId="525A8B2C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- Chi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chi phí đi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cho ngư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tư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40/2017/TT-BTC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12/2025/TT-BTC.</w:t>
      </w:r>
    </w:p>
    <w:p w14:paraId="7699F039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- Chi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công tư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ho ngư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tư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n: 15.000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ng/ngư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n/l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n;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đa 03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tư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n/tháng;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đa 300.000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ng/ngư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tư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n/tháng.</w:t>
      </w:r>
    </w:p>
    <w:p w14:paraId="0AA1A15D" w14:textId="1A65F678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- Chi thù lao hàng tháng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không hư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lương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giao nhi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tư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n tâm lý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lastRenderedPageBreak/>
        <w:t>xã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i,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lý,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trái phép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ma túy; ngư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cai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gia đình,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ng; ngư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sau cai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ma túy theo phân công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E31895" w:rsidRPr="00E3189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y ban nhân dân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xã: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thù lao hàng tháng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đa không quá 0,6 (không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y sáu)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lương cơ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hành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34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116/2021/NĐ-CP ngày 21 tháng 12 năm 2021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Phòng,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ma túy,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hành chính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cai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ma túy và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lý sau cai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ma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túy (sau đây g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là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116/2021/NĐ-CP).</w:t>
      </w:r>
    </w:p>
    <w:p w14:paraId="75B81A90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đ) Chi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mít tinh, tháng hành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ng, chi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ch truy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thông, chi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ch truy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thông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ghép:</w:t>
      </w:r>
    </w:p>
    <w:p w14:paraId="32E005D7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-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c, giám sát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ch,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và tư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(ngoài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công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tác phí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hành): 50.000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ng/ngư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i/bu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574CE8F0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-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cho ngư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tham gia chi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ch: 50.000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ng/ngư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i/bu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i.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đơn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giao nhi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tham gia chi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ch tuyên truy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n, truy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thông trong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giao.</w:t>
      </w:r>
    </w:p>
    <w:p w14:paraId="3C91253E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-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công phát thanh viên: 60.000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ng/ngư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i/bu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274E7E23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-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chi phí xăng xe: 0,2 lít xăng/km tính theo kho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cách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gi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hành chính và giá xăng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0949CA8D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- Chi thuê phương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đi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m, bàn 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trang thi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và các chi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phí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khác: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và trong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EEC41C9" w14:textId="31DEE8CE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e) Chi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các cu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thi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công tác thông tin, tuyên truy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n,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n;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ngày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i, giao lưu, liên hoan, trình di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n, tái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chuyên môn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các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án,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án:</w:t>
      </w:r>
    </w:p>
    <w:p w14:paraId="78A4AF8E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- Chi công tác truy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thông, thông tin và tuyên truy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trên các phương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thông tin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chúng và các phương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truy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thông k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a pháp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và trong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0EFDE62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- Chi thuê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chương trình; chi biên so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thi, đáp án, thù lao cho ban giám kh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o, ban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c; chi gi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cho cá nhân,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; thuê văn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di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viên;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ăn,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huê phòng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cho thành viên ban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c, thành viên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t, thí sinh;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nhân, di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viên: áp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56/2023/TT-BTC ngày 18 tháng 8 năm 2023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Tài chính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toán,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và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toán kinh phí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 cho công tác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n, giáo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t, chu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pháp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và hòa gi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(sau đây vi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là Thông tư 56/2023/TT-BTC);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40/2017/TT-BTC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12/2025/TT-BTC; Thông tư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09/2016/TT-BVHTTDL ngày 14 tháng 10 năm 2016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ch ban hành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thi, liên hoan văn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chúng và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phát sinh trên cơ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các hóa đơn,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chi tiêu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pháp trong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giao.</w:t>
      </w:r>
    </w:p>
    <w:p w14:paraId="6D3342EB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- Chi thù lao cho Ban giám kh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o, các 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luy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n, bi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di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di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viên, ngư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tham gia cu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thi, ngày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i, giao lưu, liên hoan, trình di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n, tái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629B3219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+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thù lao thành viên Ban Giám kh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 (n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có):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đa không quá 1.000.000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đ/ngư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i/bu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76DDC551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+ Thù lao luy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chương trình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i: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thù lao cho 01 bu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chương trình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là 75.000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ng/ngư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i/bu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i/4 gi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. Trư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bu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không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 04 gi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thù lao cho 01 bu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chương trình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là 60.000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ng/ngư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i/bu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i.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bu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đa cho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chương trình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là 10 bu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34E7A545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+ Thù lao trong chương trình bi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di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lưu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ng: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thù lao cho 01 bu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di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lưu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vai chính là 100.000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ng/ngư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i.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tuyên truy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viên đóng vai chính trong các chương trình bi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di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n lưu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do Giám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Trung tâm Văn hóa, Trung tâm Thông tin tri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lãm 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Trung tâm Văn hóa -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thao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nh,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xã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nh.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thù lao cho 01 bu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di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lưu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các vai di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khác là 80.000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ng/ngư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35BC10D3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- Chi thuê phương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đi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rư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m, bàn 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trang thi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và các chi phí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khác: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và trong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ADE3071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g) Chi tuyên truy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n,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n, giáo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và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giúp pháp lý: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56/2023/TT-BTC.</w:t>
      </w:r>
    </w:p>
    <w:p w14:paraId="08F524F6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4. Chi xây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ng, in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nang,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tay hư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n;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tay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và các lo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, sách khác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lastRenderedPageBreak/>
        <w:t>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Chương trình: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và trong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toán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t. Trư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cán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c, ngư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biên so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nang,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tay hư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n;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tay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và các lo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sách khác thì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theo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chi xây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ng, biên so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tài li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các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đào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ng,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có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gian dư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05 ngày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4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100/2025/TT-BTC</w:t>
      </w:r>
    </w:p>
    <w:p w14:paraId="3F97B6E7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5. Chi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thông tin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chuyên môn các n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dung thu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Chương trình: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ý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thông tin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và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có liên quan; các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kinh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trong lĩnh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thông tin và truy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thông.</w:t>
      </w:r>
    </w:p>
    <w:p w14:paraId="3A5084F9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6. Chi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ch và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đính tài li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chuyên môn thu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Chương trình:</w:t>
      </w:r>
    </w:p>
    <w:p w14:paraId="3E0A221E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a) Chi thuê phiên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ch (d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ch nói),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ngoài sang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và ngư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11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71/2018/TT-BTC ngày 10 tháng 8 năm 2018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Tài chính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khách nư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ngoài vào làm vi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Nam,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chi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Nam và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khách trong nư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(sau đây vi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là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71/2018/TT-BTC).</w:t>
      </w:r>
    </w:p>
    <w:p w14:paraId="25CBB4B0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b) Chi thuê phiên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ch (d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ch nói)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sang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dân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và ngư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i: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công áp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chi thuê ngư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y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kiêm phiên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ch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dân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3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109/2016/TT-BTC ngày 30 tháng 6 năm 2016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Tài chính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toán,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và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toán kinh phí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các cu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tra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kê,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tra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kê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gia; Thông tư 37/2022/TT-BTC ngày 22 tháng 6 năm 2022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9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3 và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01 kèm theo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109/2016/TT-BTC (sau đây vi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là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109/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2016/TT-BTC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37/2022/TT-BTC).</w:t>
      </w:r>
    </w:p>
    <w:p w14:paraId="12DF8AF9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c) Chi thuê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ch và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đính tài li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4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338/2016/TT-BTC ngày 28 tháng 12 năm 2016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Tài chính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toán,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và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toán kinh phí ngân sách nhà nư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cho công tác xây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và hoàn thi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pháp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(sau đây vi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là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338/2016/TT-BTC)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sung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1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42/2022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/TT-BTC ngày 06 tháng 7 năm 2022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Tài chính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338/2016/TT-BTC (sau đây vi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là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42/2022/TT-BTC).</w:t>
      </w:r>
    </w:p>
    <w:p w14:paraId="24E32D6D" w14:textId="3B7591BE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d) Trư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các cơ quan, đơn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cán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các cơ quan, đơn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tham gia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công tác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ch và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đính tài li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thì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thanh toán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đa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50%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chi th</w:t>
      </w:r>
      <w:r w:rsidR="00F07E7F" w:rsidRPr="00F07E7F">
        <w:rPr>
          <w:rFonts w:ascii="Arial" w:hAnsi="Arial" w:cs="Arial"/>
          <w:color w:val="000000" w:themeColor="text1"/>
          <w:sz w:val="20"/>
          <w:szCs w:val="20"/>
        </w:rPr>
        <w:t>uê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ngoài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a, b và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3A528690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7. Chi thuê chuyên gia trong nư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và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chuyên môn: Căn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vào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tri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khai 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và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toán ngân sách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giao,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cơ quan, đơn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thuê chuyên gia trong nư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p.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chi thuê chuyên gia trong nư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004/2025/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TT-BNV ngày 07 tháng 5 năm 2025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lương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chuyên gia tư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trong nư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làm cơ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cho vi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giá gói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u. Trư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thuê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và trong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m vi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B012599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8. Chi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tra, kh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 sát,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kê n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dung chuyên môn thu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Chương trình: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tương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dung chi và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chi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3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109/2016/TT-BTC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sung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1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37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/2022/TT-BTC.</w:t>
      </w:r>
    </w:p>
    <w:p w14:paraId="460C058B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9. Chi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p, trao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kinh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trong và ngoài nư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c; chi ki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tra, giám sát, sơ k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t,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t,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; chi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khách nư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ngoài vào làm vi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Nam,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chi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Nam và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khách trong nư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06/2007/TT-BTC ngày 26 tháng 01 năm 2007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Tài chính hư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toán,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kinh phí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 cho công tác ki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tra vi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chính sách, chi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c,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y 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ch, k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ch (sau đây g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là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06/2007/TT-BTC);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40/2017/TT-BTC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12/2025/TT-BTC;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71/2018/TT-BTC;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102/2012/TT-BTC ngày 21 tháng 6 năm 2012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Tài chính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công tác phí cho cán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đi công tác ng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ngoài do ngân sách nhà nư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kinh phí.</w:t>
      </w:r>
    </w:p>
    <w:p w14:paraId="563D90B8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10. Chi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 khoa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trong nư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c, chi các 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mang tính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nghiên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Chương trình: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2,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3,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4 và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6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03/2023/TT-BTC ngày 10 tháng 01 năm 2023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Tài chính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toán,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lastRenderedPageBreak/>
        <w:t>lý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và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toán kinh phí ngân sách nhà nư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sung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65/2024/TT-BTC ngày 05 tháng 9 năm 2024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Tài chính (sau đây vi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là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03/2023/TT-BTC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65/2024/TT-BTC) và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02/2023/TT-BKHCN ngày 08 tháng 5 năm 20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23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hư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dung chuyên môn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công tác xây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toán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có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ngân sách nhà nư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(sau đây vi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là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02/2023/TT-BKHCN).</w:t>
      </w:r>
    </w:p>
    <w:p w14:paraId="12E5B9EA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11. Chi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àng hóa, trang thi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tư, g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thông báo k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chuyên môn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án,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án thành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(n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có):</w:t>
      </w:r>
    </w:p>
    <w:p w14:paraId="1219FC09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a) Trư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g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thông báo k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các phương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công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ng: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theo giá vé phương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ông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phương.</w:t>
      </w:r>
    </w:p>
    <w:p w14:paraId="09E69753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g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thông báo k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;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bưu chính: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theo giá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bưu chính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hành.</w:t>
      </w:r>
    </w:p>
    <w:p w14:paraId="6E480B83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c) Trư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thuê phương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(n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t):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à trong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CEEA1EA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d) Trư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túc phương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di chuy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: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0,2 lít xăng/km tính theo kho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cách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gi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hành chính và giá xăng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ng; Trư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chuy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hàng hóa, trang thi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tư trên cùng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phương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thì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thanh toán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đa không quá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nêu trên.</w:t>
      </w:r>
    </w:p>
    <w:p w14:paraId="49C67BA1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12. Chi ki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tra, giám sát, đánh giá, xây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giám sát, đánh giá vi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khai các n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dung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Chương trình/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án/Ti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án: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9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7 Thông tư này.</w:t>
      </w:r>
    </w:p>
    <w:p w14:paraId="5E819F5C" w14:textId="77777777" w:rsidR="00DF78A3" w:rsidRPr="00296754" w:rsidRDefault="0086662B" w:rsidP="00296754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13. Chi khác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án, k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ch, phương án, mô hình (n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có):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chi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chi tiêu tài chính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hành và theo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phát sinh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phê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duy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án, k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ch, phương án, mô hình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327A0E36" w14:textId="77777777" w:rsidR="00296754" w:rsidRPr="00941784" w:rsidRDefault="00296754" w:rsidP="00296754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DCB7E64" w14:textId="6E50D0EE" w:rsidR="00DF78A3" w:rsidRPr="00941784" w:rsidRDefault="0086662B" w:rsidP="00296754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c 2. QUY Đ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NH C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 xml:space="preserve"> V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 xml:space="preserve"> N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I DUNG CHI VÀ M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C CHI C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 xml:space="preserve">A </w:t>
      </w:r>
      <w:r w:rsidR="00296754" w:rsidRPr="00941784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CÁC D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 xml:space="preserve"> ÁN</w:t>
      </w:r>
    </w:p>
    <w:p w14:paraId="3B635F6E" w14:textId="77777777" w:rsidR="00296754" w:rsidRPr="00941784" w:rsidRDefault="00296754" w:rsidP="00296754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2BC805E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u 8. N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i dung chi và m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c chi th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n D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 xml:space="preserve"> án 1 - Phòng ng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a, đ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u tranh t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i ph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 xml:space="preserve"> ma túy có t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c, xuyên qu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c gia</w:t>
      </w:r>
    </w:p>
    <w:p w14:paraId="44957F46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1. Chi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phòng ng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a,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tranh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36407446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a) N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dung chi,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chi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phòng ng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a,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tranh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ma túy có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c, xuyên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gia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c,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chi tiêu tài chính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hành do cơ quan nhà nư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61B98515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dung chi chưa có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chi do cơ quan nhà nư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nh,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Công an,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phòng,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nhân dân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trung ương (ho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cơ quan, đơn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theo phân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phương)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chi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các nhi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n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dung chi có tính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tương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đã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nh, có hóa đơn,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pháp, trong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giao và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mình.</w:t>
      </w:r>
    </w:p>
    <w:p w14:paraId="253366CC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2. Chi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o,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tác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: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7 Thông tư này và các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sau:</w:t>
      </w:r>
    </w:p>
    <w:p w14:paraId="3FFB76BA" w14:textId="7656E9A5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các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o,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thuê chuyên gia nư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ngoài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y, trao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i chuyên môn thì chi phí ăn,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chuyên gia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chi dành cho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71/2018/TT-BTC. Chi phí </w:t>
      </w:r>
      <w:r w:rsidR="00D5303B" w:rsidRPr="00D5303B">
        <w:rPr>
          <w:rFonts w:ascii="Arial" w:hAnsi="Arial" w:cs="Arial"/>
          <w:color w:val="000000" w:themeColor="text1"/>
          <w:sz w:val="20"/>
          <w:szCs w:val="20"/>
        </w:rPr>
        <w:t>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và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Nam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chuyên gia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chi theo hóa đơn,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pháp,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trong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giao; chi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công gi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viên nư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ngoài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Thô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100/2025/TT-BTC.</w:t>
      </w:r>
    </w:p>
    <w:p w14:paraId="2D069683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theo yêu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theo thông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giao,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cơ quan đón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các đoàn khách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làm vi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là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Lãnh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xem xét,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quà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cho thành viên chính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đoàn tro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ch,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án đón đoàn;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chi mua quà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12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71/2018/TT-BTC nhưng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đa không quá 10.000.000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ng/đoàn.</w:t>
      </w:r>
    </w:p>
    <w:p w14:paraId="70C8EA5E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3. Chi cho công tác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p,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tranh phòng,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ma túy; chi cho công tác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tác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lastRenderedPageBreak/>
        <w:t>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phòng,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ma túy: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các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100/2025/TT-BTC;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40/2017/TT-BTC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12/2025/TT-BTC;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76/2018/TT-BTC ngày 17 tháng 8 năm 2018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Tài chính hư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dung,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chi xây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chương trình đào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o, biên so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giáo trình môn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giáo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c, giáo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p;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Thi đua, khen thư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và các văn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pháp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liên quan.</w:t>
      </w:r>
    </w:p>
    <w:p w14:paraId="66D3FCA0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u 9. N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i dung chi và m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c chi th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n D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 xml:space="preserve"> án 2 - 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ng khoa h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 xml:space="preserve">c 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và công ngh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 xml:space="preserve"> trong phòng, ch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ng ma túy</w:t>
      </w:r>
    </w:p>
    <w:p w14:paraId="6D8F764A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1. Chi xây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thông tin; xây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các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ng;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tư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trang thi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hành,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lý cơ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cai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ma túy thông minh: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n 5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7 Thông tư này.</w:t>
      </w:r>
    </w:p>
    <w:p w14:paraId="33B9F1DD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2. Chi đào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o,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n, nâng cao năng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c,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hóa tài li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và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bài gi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7 Thông tư này.</w:t>
      </w:r>
    </w:p>
    <w:p w14:paraId="7F808439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u 10. N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i dung chi và m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c chi th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n D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 xml:space="preserve"> án 3 - Nâng cao năng l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c công tác đ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u tranh phòng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, ch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ng t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i ph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m ma túy c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a B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c phòng</w:t>
      </w:r>
    </w:p>
    <w:p w14:paraId="005D6FDA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1. N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dung chi và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chi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án 1 (D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án 3) - Mua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trang thi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nâng cao năng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phòng,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ma túy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Biên phòng:</w:t>
      </w:r>
    </w:p>
    <w:p w14:paraId="1B98BC77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a) Chi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o, g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iao ban,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n, nâng cao năng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7 Thông tư này.</w:t>
      </w:r>
    </w:p>
    <w:p w14:paraId="4D82D289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b) Chi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đoàn công tác, kh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 sát,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tranh chuyên án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năng các nư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7 Thông tư này.</w:t>
      </w:r>
    </w:p>
    <w:p w14:paraId="2ED3A790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c) Chi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trong công tác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phòng,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ma túy trong và ngoài nư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c:</w:t>
      </w:r>
    </w:p>
    <w:p w14:paraId="08D01855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- N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dung chi,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chi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trong công tác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phòng,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ma túy trong và ngoài nư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c,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chi tiêu tài chính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hành do cơ quan nhà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32422043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-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dung chi chưa có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chi do cơ quan nhà nư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nh,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phòng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chi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các nhi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n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dung chi có tính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tương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đã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nh, có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hóa đơn,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pháp, trong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giao và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mình.</w:t>
      </w:r>
    </w:p>
    <w:p w14:paraId="2DDC8AB3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2. N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dung chi và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chi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án 2 (D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án 3) - Nâng cao năng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công tác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tranh phòng,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ma túy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sát bi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Nam:</w:t>
      </w:r>
    </w:p>
    <w:p w14:paraId="00C1BF23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Chi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p, đào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o, nâng cao năng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7 Thông tư này.</w:t>
      </w:r>
    </w:p>
    <w:p w14:paraId="23CE477B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u 11. N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i dung chi và m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c chi th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n D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 xml:space="preserve"> án 4 - Nâng cao hi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 xml:space="preserve"> công tác phòng, ch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 xml:space="preserve">ng ma túy 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 xml:space="preserve"> cơ s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ở</w:t>
      </w:r>
    </w:p>
    <w:p w14:paraId="3B990224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1. Chi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o, giao ban,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tuyên truy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n, đào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o,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nâng cao năng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c, 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 sát: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7 Thông tư này.</w:t>
      </w:r>
    </w:p>
    <w:p w14:paraId="77F3F6DB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2. Chi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sung trang thi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phương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cho các đơn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đăng ký và tư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cai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ma túy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6552148F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N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dung chi và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chi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sung trang thi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phương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cho các đơn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đăng ký và tư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cai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ma túy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 tuân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ngân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ách nhà nư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tư công, mua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m,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u,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công, trong đó:</w:t>
      </w:r>
    </w:p>
    <w:p w14:paraId="18EBAC76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a) Chi mua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m,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sung trang thi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98/2025/NĐ-CP ngày 06 tháng 5 năm 2025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toán,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và q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toán chi thư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xuyên ngân sách nhà nư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mua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m,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tài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n, trang thi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; chi thuê hàng hóa,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;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ng, xây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công trình trong các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và các nhi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khác (sau đây g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là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98/2025/NĐ-CP).</w:t>
      </w:r>
    </w:p>
    <w:p w14:paraId="2443DDAC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b) Chi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phòng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đăng ký và tư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cai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ma túy:</w:t>
      </w:r>
    </w:p>
    <w:p w14:paraId="5A9BC8CE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- Vi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toán,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và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toán kinh phí duy tu,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 dư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n theo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lastRenderedPageBreak/>
        <w:t>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65/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2021/TT-BTC và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chuyên ngành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công tác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a, duy tu,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 dư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công trình.</w:t>
      </w:r>
    </w:p>
    <w:p w14:paraId="25735EF4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- Vi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thanh toán kinh phí duy tu,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 dư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kho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3 Thông tư này và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65/2021/TT-BTC.</w:t>
      </w:r>
    </w:p>
    <w:p w14:paraId="560E817E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3. Chi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phương:</w:t>
      </w:r>
    </w:p>
    <w:p w14:paraId="058AAA39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a) Chi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n, đào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nâng cao năng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chuyên môn: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7 Thông tư này.</w:t>
      </w:r>
    </w:p>
    <w:p w14:paraId="33B11251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b) Chi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kê ngư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n, ngư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trái phép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ma túy, ngư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cai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ma túy và ngư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sau cai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ma túy trên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bàn: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3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109/2016/TT-BTC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37/2022/TT-BTC.</w:t>
      </w:r>
    </w:p>
    <w:p w14:paraId="2B187D73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c) Chi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sơ:</w:t>
      </w:r>
    </w:p>
    <w:p w14:paraId="65917E51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- Chi cho công tác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pháp đưa vào cơ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cai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1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4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62/2022/TT-BTC ngày 05 tháng 10 năm 2022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Tài chính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lý và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kinh phí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pháp đưa vào cơ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cai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ma túy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c; công tác cai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ma túy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gia đình,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ng, cơ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cai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ma túy và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lý sau cai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ma túy (sau đây vi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là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62/2022/TT-BTC).</w:t>
      </w:r>
    </w:p>
    <w:p w14:paraId="19A7C597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- Chi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p, xét duy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sơ đăng ký cai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ma túy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gia đình,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6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62/2022/TT-BTC.</w:t>
      </w:r>
    </w:p>
    <w:p w14:paraId="5453F55D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- Chi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sơ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lý sau cai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nơi cư trú: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8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62/2022/TT-BTC.</w:t>
      </w:r>
    </w:p>
    <w:p w14:paraId="33F8E3E0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- Chi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sơ cho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“ngư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trái phép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t ma túy” theo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105/2021/NĐ-CP ngày 04 tháng 12 năm 2021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và hư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thi hành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Phòng,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ma túy: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tương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các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62/2022/TT-BTC,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chi 30.000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/h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sơ.</w:t>
      </w:r>
    </w:p>
    <w:p w14:paraId="6E4AE236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d) Chi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ma túy trong nh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ngày đi trên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đưa vào cơ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cai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ma túy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trung tâm, cơ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xã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ngày tìm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c; chi công tác truy tìm ngư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ma túy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trong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gian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đưa vào cơ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cai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3,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4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62/2022/TT-BTC.</w:t>
      </w:r>
    </w:p>
    <w:p w14:paraId="49D529A7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đ) Chi công tác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n, tư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n, đăng ký cai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ma túy cho ngư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n, ngư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trái phép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ma túy và ngư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n lý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sau cai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ma túy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bàn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trách: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chi 50.000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ng/ngư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11ABC536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e) Chi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mua que test nhanh các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ma túy: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và trong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5B95E6B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g) Chi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tra, phát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n, phá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di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tích cây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có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ma túy:</w:t>
      </w:r>
    </w:p>
    <w:p w14:paraId="3367F262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- Chi truy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thông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các cơ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chi tài li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u, in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nhân dân; chi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phát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phong trào, tuyên truy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n,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ng,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cho nhân dân: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7 Thông tư này.</w:t>
      </w:r>
    </w:p>
    <w:p w14:paraId="35CA6654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- Chi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cho ngư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có công phát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giác, giúp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năng tri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phá: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đa 200.000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ng/ngư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i/l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giác.</w:t>
      </w:r>
    </w:p>
    <w:p w14:paraId="30C47E5B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- Chi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cho ngư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không hư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lương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khi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tham gia phá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di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tích cây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có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ma túy: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đa 150.000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ng/ngư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i/ngày.</w:t>
      </w:r>
    </w:p>
    <w:p w14:paraId="7D303ABA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h)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chi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hàng năm cho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phương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Công an rà soát, tính toán, xác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căn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28/2025/QĐ-TTg ngày 24 tháng 8 năm 2025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ban hành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iêu chí xác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bàn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ma túy,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bàn không ma túy và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nguyên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c, tiêu chí,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phân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ngân sách trung ương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Chương trình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tiêu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gia phòng,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ma túy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năm 2030.</w:t>
      </w:r>
    </w:p>
    <w:p w14:paraId="3E49F153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k) Chi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tranh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phòng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ma túy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35BBCB74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- N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dung chi,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chi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phòng ng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a,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tranh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ma túy có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c, xuyên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gia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c,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chi tiêu tài chính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hành do cơ quan nhà nư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lastRenderedPageBreak/>
        <w:t>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078F3DE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dung chi chưa có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chi do cơ quan nhà nư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nh,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Công an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chi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các nhi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n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dung chi có tính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tương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đã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nh, có hóa đơn,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pháp, trong p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giao và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mình.</w:t>
      </w:r>
    </w:p>
    <w:p w14:paraId="3B302D24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u 12. N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i dung chi và m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c chi th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n D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 xml:space="preserve"> án 5 - Nâng cao hi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 xml:space="preserve"> cai nghi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n ma túy và qu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n lý sau cai nghi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42409F56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1. Chi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o,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đàm, kh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 sát, đào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nâng cao năng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c, tuyên truy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7 Thông tư này.</w:t>
      </w:r>
    </w:p>
    <w:p w14:paraId="442D82B4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2. Chi biên so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các chương trình, tài li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n, hư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năng cho ngư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làm công tác ma túy: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7 Thông tư n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ày.</w:t>
      </w:r>
    </w:p>
    <w:p w14:paraId="20FC12C7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3. Chi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 cơ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t, trang thi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đơn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công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cung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cai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ma túy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gia đình,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ng: n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dung chi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116/2021/NĐ-CP;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chi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và trong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169188A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4. Chi xây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và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án, k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ch, phương án,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mô hình:</w:t>
      </w:r>
    </w:p>
    <w:p w14:paraId="37DF1B1C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a) Chi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mô hình (bao g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kh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 sát, đánh giá; thành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án, mô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hình; xây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khung k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t;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đơn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hàng, giao nhi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;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đơn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;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giá trong phương án mua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tư, hàng hóa,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):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7 Thông tư này.</w:t>
      </w:r>
    </w:p>
    <w:p w14:paraId="051FC4C3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b) Chi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ri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khai, đánh giá,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rút kinh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40/2017/TT-BTC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Thông tư 12/2025/TT-BTC.</w:t>
      </w:r>
    </w:p>
    <w:p w14:paraId="2ECC25A3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c) Chi khác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án, k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ch, phương án, mô hình (n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có):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chi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chi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tiêu tài chính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hành và theo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phát sinh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án, k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ch, phương án, mô hình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68CCABEA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d)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dung chi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thù khác duy trì 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mô hình:</w:t>
      </w:r>
    </w:p>
    <w:p w14:paraId="0EEC17B6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- Chi cho công tác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cai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ma túy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gia đình,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ng;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lý sau cai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ma túy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nơi cư trú: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62/2022/TT-BTC.</w:t>
      </w:r>
    </w:p>
    <w:p w14:paraId="12566395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- Chi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mua que test nhanh các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ma túy: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và trong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p có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7370307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- Chi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không hư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lương tham gia tư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n, giúp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cai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gia đình,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ng; ngư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sau cai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n: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đa 10 ngư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tư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n/mô hình;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7 Thông tư này.</w:t>
      </w:r>
    </w:p>
    <w:p w14:paraId="347BEA5A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- Chi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các 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sinh 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: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đàm, tư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n, nói chuy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chuyên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các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giáo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truy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thông, giao lưu văn hóa văn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giao lưu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thao và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khác: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7 Thông tư này;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và trong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0DA4B20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- Chi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cho ngư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cai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ma túy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gia đình,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ng, ngư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sau cai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ma túy chưa có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có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nhưng không còn phù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p: trư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có nhu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và tham gia đào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chính sách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7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152/2016/TT-BTC ngày 17 tháng 10 năm 2016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Tài chính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lý và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kinh phí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 trình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sơ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p và đào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 dư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3 tháng.</w:t>
      </w:r>
    </w:p>
    <w:p w14:paraId="2180C898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- Chi ki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tra, đánh giá, sơ k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t,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t, nhân 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mô hình có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7 Thông tư này.</w:t>
      </w:r>
    </w:p>
    <w:p w14:paraId="649C2B02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u 13. N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i dung chi và m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c chi th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n D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 xml:space="preserve"> án 6 - Tăng cư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 xml:space="preserve">ng, đáp 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ng y t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 xml:space="preserve"> trong phòng, ch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ng ma túy</w:t>
      </w:r>
    </w:p>
    <w:p w14:paraId="562AE9FB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1. Chi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iên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03/2023/TT-BTC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65/2024/TT-BTC.</w:t>
      </w:r>
    </w:p>
    <w:p w14:paraId="475F1E7F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2. Chi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o,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n, đào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o, nâng cao năng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7 Thông tư này.</w:t>
      </w:r>
    </w:p>
    <w:p w14:paraId="2721BF96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lastRenderedPageBreak/>
        <w:t>3. Chi mua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trang thi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cho các cơ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cơ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phát thu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methadone (bao g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m: máy tính, máy in, máy in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máy quét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bơm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phát):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98/2025/NĐ-CP;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chi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theo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tuân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đúng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và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công.</w:t>
      </w:r>
    </w:p>
    <w:p w14:paraId="54BFA1FA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4. Chi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phát thu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methadone nhi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ngày cho các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(bao g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m: túi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c, chai/l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phi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giám sát):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và trong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t; trong đó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chi phi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giám sát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đa 50.000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ng/phi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56B5CE68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5. Chi mua test xét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nư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và trong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7BC5CC7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6. Chi thí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các bi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pháp can thi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và các phương pháp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ma túy cho ngư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ng, ngư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ma túy: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chuyên môn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mô hình, bi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pháp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i, trong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q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và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toàn di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03FEE79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7. Chi phân tích ma túy trong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ch sinh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u;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hàng, giao nhi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công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ngân sách nhà nư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kinh phí chi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xuyên;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mua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máy móc, trang thi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kinh phí chi thư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xuyên và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có liên quan trong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FAC69EE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8. Chi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tư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lý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nhân: Chú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tư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lý,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thông tin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và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có liên quan trong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t; chi phí duy trì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đa 500.000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ng/cơ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/năm.</w:t>
      </w:r>
    </w:p>
    <w:p w14:paraId="34689E5D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9. Chi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tra, giám sát và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2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II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06/2007/TT-BTC và Chương II, Chương III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40/2017/TT-BTC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12/2025/TT-BTC.</w:t>
      </w:r>
    </w:p>
    <w:p w14:paraId="2C901387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u 14. N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i dung chi và m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c chi th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n D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 xml:space="preserve"> án 7 - Truy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n thông, giáo d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 xml:space="preserve"> phòng, ch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ng ma túy</w:t>
      </w:r>
    </w:p>
    <w:p w14:paraId="2E49EF4C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1. N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dung chi và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chi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án 1 (D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án 7) - Truy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thông, giáo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phòng,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ma túy:</w:t>
      </w:r>
    </w:p>
    <w:p w14:paraId="656DF480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a) Chi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các chuyên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chuyên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xu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t, đăng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các tác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báo chí tuyên truy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phòng,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ma túy: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7 Thông tư này.</w:t>
      </w:r>
    </w:p>
    <w:p w14:paraId="4649ADB0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b) Chi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o,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n, đào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o, nâng cao năng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7 Thông tư này.</w:t>
      </w:r>
    </w:p>
    <w:p w14:paraId="139914F4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c)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hi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và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p phát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tuyên truy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u,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bá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phòng,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ma túy và mô hình cai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ma túy: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a và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7 Thông tư này.</w:t>
      </w:r>
    </w:p>
    <w:p w14:paraId="72C58A36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d) Chi 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rà soát, đánh giá xu hư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thông tin; đánh gi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á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công tác thông tin, tuyên truy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56/2023/TT-BTC.</w:t>
      </w:r>
    </w:p>
    <w:p w14:paraId="1F5434F4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2. N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dung chi và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chi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án 2 (D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án 7) - Nâng cao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thông, giáo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phòng,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ma túy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bàn cơ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7C802783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a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) Chi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các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o,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n, giáo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sung ki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c, nâng cao k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năng: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7 Thông tư này.</w:t>
      </w:r>
    </w:p>
    <w:p w14:paraId="5B78D99B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b) Chi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các 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văn hóa,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t;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thi,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thi phòng,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ma túy: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7 Thông tư này,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và trong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640E374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3. N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dung chi và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chi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án 3 (D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án 7) - Tăng cư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công tác tuyên truy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giáo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phòng,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ma túy cho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sinh, sinh viên:</w:t>
      </w:r>
    </w:p>
    <w:p w14:paraId="4262B24E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a) Chi xây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tài li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phòng,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ma túy; chi cho thi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các bài gi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năng phòng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ma túy cho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sinh, sinh viên các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7 Thông tư này, theo q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và trong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lastRenderedPageBreak/>
        <w:t>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F5F3A05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b) Chi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cho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ngũ giáo viên, cán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các cơ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pháp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t, k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năng phòng,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ma túy; chuyên môn,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năng tuyên truy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phòng,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ma túy: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7 Thông tư này,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và trong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341A9EE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c) Chi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thi,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thi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phòng,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ma túy; chi 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tuyên truy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n, giáo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c, truy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thông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phòng,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ma túy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các cơ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c; chi khen thư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các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cá nhân có thành tích xu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trong công tác giáo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phòng,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ma túy: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7 Thông tư này,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và trong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92100AD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d) Chi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tra, đôn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các cơ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khai,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Chương trình: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7 Thông tư này,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và trong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223D84C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4. N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dung chi và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chi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án 4 (D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án 7) - Nâng cao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công tác tuyên truy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phòng,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ma túy cho công nhân lao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các khu công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p:</w:t>
      </w:r>
    </w:p>
    <w:p w14:paraId="242DA138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a) Chi biên so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n, in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n, phát hành tài li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tuyên truy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hóa tài li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u, xu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bán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m; xây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bài gi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; các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truy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thông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; chi thi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các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truy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thông: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7 Thông tư này,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và trong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58EB15F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b) Chi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o,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đàm; đào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ng,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nâng cao năng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c; chi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các cu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thi,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thi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phòng,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ma túy; chi các 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thông tin, tuyên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ruy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và truy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thông thư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xuyên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phòng,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ma túy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các khu công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7 Thông tư này,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và trong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E373CB0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c) Chi xây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và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hà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mô hình không gian phòng truy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thông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phòng,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ma túy cho công nhân lao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các doanh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trong các khu công nghi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có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2000 công nhân lao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lên: Kinh phí xây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7 Thông tư này,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và trong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t.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chi kinh phí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hành thư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xuyên theo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chi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đa không quá 20.000.000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ng/năm/mô hình.</w:t>
      </w:r>
    </w:p>
    <w:p w14:paraId="3820081A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u 15. N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i dung chi và m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 xml:space="preserve">c chi 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th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n D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 xml:space="preserve"> án 8 - Nâng cao kh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 xml:space="preserve"> năng ti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p c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n, th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 xml:space="preserve"> hư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ng v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 xml:space="preserve"> giúp pháp lý ch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t lư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ng và giáo d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c pháp lu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t trong phòng, ch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ng ma túy</w:t>
      </w:r>
    </w:p>
    <w:p w14:paraId="3FE390F5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1. Chi xây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chương trình, phóng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và các lo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hình truy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thông phù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khác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giúp pháp lý,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có ngư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giúp pháp lý liên quan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ma túy: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7 Thông tư này.</w:t>
      </w:r>
    </w:p>
    <w:p w14:paraId="183CD3BC" w14:textId="7D1226CF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2. Chi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D5303B" w:rsidRPr="00D5303B">
        <w:rPr>
          <w:rFonts w:ascii="Arial" w:hAnsi="Arial" w:cs="Arial"/>
          <w:color w:val="000000" w:themeColor="text1"/>
          <w:sz w:val="20"/>
          <w:szCs w:val="20"/>
        </w:rPr>
        <w:t>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n, đào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o, nâng cao năng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c, nói chuy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chuyên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7 Thông tư này.</w:t>
      </w:r>
    </w:p>
    <w:p w14:paraId="709386C5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3. Chi xây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g tài li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giúp pháp lý có liên quan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ma túy và tài li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năng truy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pháp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phòng,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ma túy: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56/2023/TT-BTC.</w:t>
      </w:r>
    </w:p>
    <w:p w14:paraId="66A62B99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4. Chi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giúp pháp lý tham gia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ng có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tính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hình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ma túy cho ngư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giúp pháp lý theo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thù lao,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và chi phí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giúp pháp lý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giúp pháp lý: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13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144/2017/NĐ-C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ngày 15 tháng 12 năm 2017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giúp pháp lý.</w:t>
      </w:r>
    </w:p>
    <w:p w14:paraId="0FE38C7D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u 16. N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i dung chi và m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c chi th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n D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 xml:space="preserve"> án 9 - Qu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n lý, giám sát, đánh giá chương trình</w:t>
      </w:r>
    </w:p>
    <w:p w14:paraId="27914D36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1. Chi xây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theo dõi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n, khung k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Chương trình; xây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chương trình,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án, k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ch và các văn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(bao g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m: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các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tiêu,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tiêu đánh giá k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án, tiêu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án; xây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chi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giám sát và đánh giá,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báo cáo, cơ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thông tin; n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dung, cơ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báo cáo; cách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thông tin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giám sát và đánh giá cho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lý và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n); xây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chương trình,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án, k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ch; các văn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lý,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o, hư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các chương trình,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án, k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ch: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lastRenderedPageBreak/>
        <w:t>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338/2016/TT-BTC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sung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42/2022/TT-BTC.</w:t>
      </w:r>
    </w:p>
    <w:p w14:paraId="0C4BD422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2. Chi xây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ng, thí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m,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giám sát đánh giá, nâng cao năng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giám sát, đánh giá cho các cơ quan, đơn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tham gia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Chư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ơng trình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trung ương và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phương: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7 Thông tư này.</w:t>
      </w:r>
    </w:p>
    <w:p w14:paraId="5415C2B7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3. Chi tuyên truy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n, bi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dương, thi đua, khen thư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gương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hình tiên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trong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Chương trình: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u 7 Thông tư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này.</w:t>
      </w:r>
    </w:p>
    <w:p w14:paraId="61DBC051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4. Chi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tra, giám sát và đánh giá k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n Chương trình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trung ương và các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phương:</w:t>
      </w:r>
    </w:p>
    <w:p w14:paraId="466DDB76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a) N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dung chi và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chi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giám sát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tư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ng, huy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dân tham gia giám sát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ng; giám sát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chính sách xã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Chương trình; chi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Chương trình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bàn phù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p; ki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tra, giám sát và đánh giá k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n Chương trình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trung ương và các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phương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2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II Thô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06/2007/TT-BTC và Chương II, Chương III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40/2017/TT-BTC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12/2025/TT-BTC.</w:t>
      </w:r>
    </w:p>
    <w:p w14:paraId="7F891741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thuê chuyên gia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đánh giá k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các chính sách, chương trình,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án, tiêu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án: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ơ quan, đơn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thuê chuyên gia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p, phê duy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toán chi thuê chuyên gia trong nư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lương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004/2025/TT-BNV ngày 07 tháng 5 năm 2025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c lương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chuyên gia tư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trong nư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làm cơ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cho vi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giá gói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494E0D34" w14:textId="77777777" w:rsidR="00DF78A3" w:rsidRPr="00296754" w:rsidRDefault="0086662B" w:rsidP="00296754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đoàn công tác ki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tra, đánh giá liên ngành, liên cơ quan: Cơ quan, đơn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trì đoàn công tác 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chương trình (đư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trí kinh phí ki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tra, giám sát, đánh giá)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thanh toán chi phí cho chuy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công tác theo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(ti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tàu xe đi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i,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lưu trú,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thuê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nơi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và cư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hành lý, tài li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mang theo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làm vi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c) cho các thành viên trong Đoàn.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tránh chi trùng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p, cơ quan, đơn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trì đoàn công tác 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chương trình thông báo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(trong gi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y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i, tri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p) cho cơ quan, đơn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đi công tác ngu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kinh phí ki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tra, đánh giá và nêu rõ cơ quan, đơn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không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thanh toán các kho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chi này.</w:t>
      </w:r>
    </w:p>
    <w:p w14:paraId="5F4E7425" w14:textId="77777777" w:rsidR="00296754" w:rsidRPr="00911C62" w:rsidRDefault="00296754" w:rsidP="00296754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99C15A2" w14:textId="73F6D4CB" w:rsidR="00296754" w:rsidRPr="00911C62" w:rsidRDefault="0086662B" w:rsidP="00296754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V </w:t>
      </w:r>
    </w:p>
    <w:p w14:paraId="525D4FA4" w14:textId="03C00C14" w:rsidR="00DF78A3" w:rsidRPr="00296754" w:rsidRDefault="0086662B" w:rsidP="00296754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N THI HÀNH</w:t>
      </w:r>
    </w:p>
    <w:p w14:paraId="77C7E369" w14:textId="77777777" w:rsidR="00296754" w:rsidRPr="00911C62" w:rsidRDefault="00296754" w:rsidP="00296754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0C538EB" w14:textId="5FCA87C8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u 17. Đi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n chuy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n ti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09257042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kinh phí tri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khai Chương trình đã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và phân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Thông tư này có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thì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theo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và các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7C504221" w14:textId="613ADFBC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các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phương đã ban hành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dung chi,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chi,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và rà soát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Thô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tư này. Trư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không còn phù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p thì </w:t>
      </w:r>
      <w:r w:rsidR="00E31895" w:rsidRPr="00E3189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y ban nhân dân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trình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nhân dân cùng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sung cho phù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2E05E7FF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u 18. T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33A1ECCA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1. Thông tư này có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thi hành k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ngày 01 tháng 01 năm 2026.</w:t>
      </w:r>
    </w:p>
    <w:p w14:paraId="5BEF0D3D" w14:textId="4786E37A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2. Thông tư liên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96/2014/TTLT-BTC-BCA ngày 17 tháng 7 năm</w:t>
      </w:r>
      <w:r w:rsidR="00296754" w:rsidRPr="0029675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2014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Tài chính,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Công an hư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lý và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kinh phí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Chương trình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tiêu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gia phòng,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ma túy giai đo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n 2012 </w:t>
      </w:r>
      <w:r w:rsidR="00296754" w:rsidRPr="00296754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2015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thi hành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ngày Thông tư này có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thi hành.</w:t>
      </w:r>
    </w:p>
    <w:p w14:paraId="7CDBCEF9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3. Các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, cơ quan trung ương,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y ban nhân dân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Trung ương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 các cơ quan đơn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giao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toán chi Chương trình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và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toán kinh phí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c;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cơ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lý,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các chương trình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tiêu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gia và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Thông tư này; báo cáo cơ quan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trên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báo cáo cơ quan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lý chương trình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tiêu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gia.</w:t>
      </w:r>
    </w:p>
    <w:p w14:paraId="17A0234A" w14:textId="0B124525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4. Trư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trong quá trình tri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khai,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Chương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trình có phát sinh các kho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chi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thù chưa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trong các văn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Tài chính và Thông tư này thì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</w:t>
      </w:r>
      <w:r w:rsidR="00296754" w:rsidRPr="0029675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trung ương xem xét,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lastRenderedPageBreak/>
        <w:t>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theo p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hân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lý ngân sách, đ</w:t>
      </w:r>
      <w:r w:rsidR="00D5303B" w:rsidRPr="00222D6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 phù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kh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năng ngân sách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phương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75769908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5. Trư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trong quá trình tri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khai,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Chương trình có phát sinh các kho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chi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thù liên quan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lĩnh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q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phòng, an ninh chưa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trong các văn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Tài chính và Thông tư này thì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phòng,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Công an xem xét,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theo phân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lý ngân sách,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o đúng q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c,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ngân sách nhà nư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phòng, an ninh.</w:t>
      </w:r>
    </w:p>
    <w:p w14:paraId="61D9CF3A" w14:textId="77777777" w:rsidR="00DF78A3" w:rsidRPr="00296754" w:rsidRDefault="0086662B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6. Trư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các văn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trích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Thông tư này đư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sung 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thay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g văn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thì áp d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các văn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sung ho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thay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BEFBFB4" w14:textId="38D0BC6E" w:rsidR="00DF78A3" w:rsidRPr="00296754" w:rsidRDefault="0086662B" w:rsidP="00296754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6754">
        <w:rPr>
          <w:rFonts w:ascii="Arial" w:hAnsi="Arial" w:cs="Arial"/>
          <w:color w:val="000000" w:themeColor="text1"/>
          <w:sz w:val="20"/>
          <w:szCs w:val="20"/>
        </w:rPr>
        <w:t>7. Trong quá trình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 có vư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n ánh k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Tài chính đ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u, gi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i  quy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96754">
        <w:rPr>
          <w:rFonts w:ascii="Arial" w:hAnsi="Arial" w:cs="Arial"/>
          <w:color w:val="000000" w:themeColor="text1"/>
          <w:sz w:val="20"/>
          <w:szCs w:val="20"/>
        </w:rPr>
        <w:t>t./</w:t>
      </w:r>
      <w:r w:rsidR="00296754" w:rsidRPr="0029675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3CD2FD0" w14:textId="77777777" w:rsidR="00296754" w:rsidRPr="00296754" w:rsidRDefault="00296754" w:rsidP="00296754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17"/>
      </w:tblGrid>
      <w:tr w:rsidR="00296754" w:rsidRPr="00296754" w14:paraId="52FF5E78" w14:textId="77777777" w:rsidTr="00275D5E">
        <w:tc>
          <w:tcPr>
            <w:tcW w:w="2498" w:type="pct"/>
          </w:tcPr>
          <w:p w14:paraId="2A390265" w14:textId="7EAF1FDE" w:rsidR="00296754" w:rsidRPr="00296754" w:rsidRDefault="00296754" w:rsidP="00296754">
            <w:pPr>
              <w:widowControl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6754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 nhận:</w:t>
            </w:r>
            <w:r w:rsidRPr="0029675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 Ban Bí thư Trung ương;</w:t>
            </w:r>
            <w:r w:rsidRPr="0029675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Thủ tướng Chính phủ; các Phó TTCP;</w:t>
            </w:r>
            <w:r w:rsidRPr="0029675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Trung ương và các Ban của Đảng;</w:t>
            </w:r>
            <w:r w:rsidRPr="0029675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Tổng Bí thư;</w:t>
            </w:r>
            <w:r w:rsidRPr="0029675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Quốc hội;</w:t>
            </w:r>
            <w:r w:rsidRPr="0029675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Chủ tịch nước;</w:t>
            </w:r>
            <w:r w:rsidRPr="0029675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Chính phủ;</w:t>
            </w:r>
            <w:r w:rsidRPr="0029675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Tòa án nhân dân tối cao;</w:t>
            </w:r>
            <w:r w:rsidRPr="0029675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Viện Kiểm sát nhân dân tối cao;</w:t>
            </w:r>
            <w:r w:rsidRPr="0029675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Kiểm toán Nhà nước;</w:t>
            </w:r>
            <w:r w:rsidRPr="0029675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Ủy ban giám sát tài chính quốc gia;</w:t>
            </w:r>
            <w:r w:rsidRPr="0029675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Các Bộ, cơ quan ngang Bộ, cơ quan thuộc Chính phủ;</w:t>
            </w:r>
            <w:r w:rsidRPr="0029675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HĐND, UBND các tỉnh, thành phố trực thuộc TW;</w:t>
            </w:r>
            <w:r w:rsidRPr="0029675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Sở Tài chính, Sở Tư pháp các tỉnh, thành phố trực thuộc TW;</w:t>
            </w:r>
            <w:r w:rsidRPr="0029675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Cục Kiểm tra văn bản và Quản lý xử lý vi phạm hành chính (Bộ Tư pháp);</w:t>
            </w:r>
            <w:r w:rsidRPr="0029675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Công báo;</w:t>
            </w:r>
            <w:r w:rsidRPr="0029675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- </w:t>
            </w:r>
            <w:r w:rsidR="00F07E7F" w:rsidRPr="00911C6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Cổng </w:t>
            </w:r>
            <w:r w:rsidR="00911C6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</w:t>
            </w:r>
            <w:r w:rsidRPr="00296754">
              <w:rPr>
                <w:rFonts w:ascii="Arial" w:hAnsi="Arial" w:cs="Arial"/>
                <w:color w:val="000000" w:themeColor="text1"/>
                <w:sz w:val="20"/>
                <w:szCs w:val="20"/>
              </w:rPr>
              <w:t>hông tin điện tử: Chính phủ, Bộ Tài chính;</w:t>
            </w:r>
            <w:r w:rsidRPr="0029675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Các cơ quan, đơn vị thuộc Bộ Tài chính;</w:t>
            </w:r>
            <w:r w:rsidRPr="0029675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Lưu: VT, VI (50b).</w:t>
            </w:r>
          </w:p>
        </w:tc>
        <w:tc>
          <w:tcPr>
            <w:tcW w:w="2502" w:type="pct"/>
          </w:tcPr>
          <w:p w14:paraId="681D9C3A" w14:textId="1EE42399" w:rsidR="00296754" w:rsidRPr="00296754" w:rsidRDefault="00296754" w:rsidP="00296754">
            <w:pPr>
              <w:widowControl w:val="0"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9675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KT. BỘ TRƯỞNG</w:t>
            </w:r>
            <w:r w:rsidRPr="0029675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THỨ TRƯỞNG</w:t>
            </w:r>
            <w:r w:rsidRPr="0029675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29675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29675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29675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29675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29675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29675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Trần Quốc Phương</w:t>
            </w:r>
          </w:p>
        </w:tc>
      </w:tr>
    </w:tbl>
    <w:p w14:paraId="0310DBE6" w14:textId="77777777" w:rsidR="00296754" w:rsidRPr="00296754" w:rsidRDefault="00296754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DAFADC9" w14:textId="19F8E703" w:rsidR="00DF78A3" w:rsidRPr="00296754" w:rsidRDefault="00DF78A3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846BD2B" w14:textId="77777777" w:rsidR="00296754" w:rsidRPr="00296754" w:rsidRDefault="00296754" w:rsidP="00296754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296754" w:rsidRPr="00296754" w:rsidSect="00296754">
      <w:pgSz w:w="11906" w:h="16838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2E81F" w14:textId="77777777" w:rsidR="0086662B" w:rsidRDefault="0086662B">
      <w:pPr>
        <w:spacing w:after="0" w:line="240" w:lineRule="auto"/>
      </w:pPr>
      <w:r>
        <w:separator/>
      </w:r>
    </w:p>
  </w:endnote>
  <w:endnote w:type="continuationSeparator" w:id="0">
    <w:p w14:paraId="6E724ED8" w14:textId="77777777" w:rsidR="0086662B" w:rsidRDefault="00866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3B3A2" w14:textId="77777777" w:rsidR="0086662B" w:rsidRDefault="0086662B">
      <w:pPr>
        <w:spacing w:after="0" w:line="240" w:lineRule="auto"/>
      </w:pPr>
      <w:r>
        <w:separator/>
      </w:r>
    </w:p>
  </w:footnote>
  <w:footnote w:type="continuationSeparator" w:id="0">
    <w:p w14:paraId="3095312F" w14:textId="77777777" w:rsidR="0086662B" w:rsidRDefault="008666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8A3"/>
    <w:rsid w:val="00222D61"/>
    <w:rsid w:val="00275D5E"/>
    <w:rsid w:val="00296754"/>
    <w:rsid w:val="002F0E4B"/>
    <w:rsid w:val="004E5DF1"/>
    <w:rsid w:val="006076D4"/>
    <w:rsid w:val="0076290C"/>
    <w:rsid w:val="0086662B"/>
    <w:rsid w:val="00884070"/>
    <w:rsid w:val="00884328"/>
    <w:rsid w:val="00911C62"/>
    <w:rsid w:val="00941784"/>
    <w:rsid w:val="009A6656"/>
    <w:rsid w:val="00A041D1"/>
    <w:rsid w:val="00BE5868"/>
    <w:rsid w:val="00D5303B"/>
    <w:rsid w:val="00DC4881"/>
    <w:rsid w:val="00DF57D4"/>
    <w:rsid w:val="00DF78A3"/>
    <w:rsid w:val="00E31895"/>
    <w:rsid w:val="00E77B54"/>
    <w:rsid w:val="00EC2EAC"/>
    <w:rsid w:val="00F07E7F"/>
    <w:rsid w:val="00F5292E"/>
    <w:rsid w:val="00FF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46FCE"/>
  <w15:docId w15:val="{53058354-FFB9-4C62-A597-13770795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vi-V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754"/>
  </w:style>
  <w:style w:type="paragraph" w:styleId="Footer">
    <w:name w:val="footer"/>
    <w:basedOn w:val="Normal"/>
    <w:link w:val="FooterChar"/>
    <w:uiPriority w:val="99"/>
    <w:unhideWhenUsed/>
    <w:rsid w:val="00296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754"/>
  </w:style>
  <w:style w:type="table" w:styleId="TableGrid">
    <w:name w:val="Table Grid"/>
    <w:basedOn w:val="TableNormal"/>
    <w:uiPriority w:val="39"/>
    <w:rsid w:val="00296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8125</Words>
  <Characters>46317</Characters>
  <Application>Microsoft Office Word</Application>
  <DocSecurity>0</DocSecurity>
  <Lines>385</Lines>
  <Paragraphs>108</Paragraphs>
  <ScaleCrop>false</ScaleCrop>
  <Company/>
  <LinksUpToDate>false</LinksUpToDate>
  <CharactersWithSpaces>54334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19</cp:revision>
  <dcterms:created xsi:type="dcterms:W3CDTF">2026-01-12T07:33:00Z</dcterms:created>
  <dcterms:modified xsi:type="dcterms:W3CDTF">2026-01-21T02:14:00Z</dcterms:modified>
</cp:coreProperties>
</file>