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2710C0" w:rsidRPr="002710C0" w14:paraId="7AD646E9" w14:textId="77777777" w:rsidTr="00AB3DA2">
        <w:tc>
          <w:tcPr>
            <w:tcW w:w="2116" w:type="pct"/>
          </w:tcPr>
          <w:p w14:paraId="532B4798" w14:textId="68659223" w:rsidR="008D7F09" w:rsidRPr="002710C0" w:rsidRDefault="00611422" w:rsidP="002710C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34/2026/TT-BTC</w:t>
            </w:r>
          </w:p>
        </w:tc>
        <w:tc>
          <w:tcPr>
            <w:tcW w:w="2884" w:type="pct"/>
          </w:tcPr>
          <w:p w14:paraId="3E666FA8" w14:textId="1BA426AD" w:rsidR="008D7F09" w:rsidRPr="002710C0" w:rsidRDefault="00611422" w:rsidP="002710C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  <w:r w:rsid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  <w:r w:rsid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60A4BC42" w14:textId="77777777" w:rsidR="002710C0" w:rsidRPr="002710C0" w:rsidRDefault="002710C0" w:rsidP="002710C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F00D521" w14:textId="77777777" w:rsidR="002710C0" w:rsidRPr="002710C0" w:rsidRDefault="002710C0" w:rsidP="002710C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96B5268" w14:textId="5CEF3A84" w:rsidR="008D7F09" w:rsidRPr="002710C0" w:rsidRDefault="00611422" w:rsidP="002710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754519B3" w14:textId="77777777" w:rsidR="008D7F09" w:rsidRPr="002710C0" w:rsidRDefault="00611422" w:rsidP="002710C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 đi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m kinh t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- k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br/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khoán c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a S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Giao d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ch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t Nam và công ty con,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br/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công ty Lưu ký và Bù tr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t Nam và công ty con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br/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do Nhà nư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nh giá</w:t>
      </w:r>
    </w:p>
    <w:p w14:paraId="186C53E9" w14:textId="77777777" w:rsidR="002710C0" w:rsidRPr="002710C0" w:rsidRDefault="002710C0" w:rsidP="002710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6F7D186" w14:textId="5CB8B22C" w:rsidR="008D7F09" w:rsidRPr="002710C0" w:rsidRDefault="00611422" w:rsidP="002710C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t Giá s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16/2023/QH15 đư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7C211F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40/2025/QH15;</w:t>
      </w:r>
    </w:p>
    <w:p w14:paraId="1C2DF84B" w14:textId="77777777" w:rsidR="008D7F09" w:rsidRPr="002710C0" w:rsidRDefault="00611422" w:rsidP="002710C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t Ch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ng 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khoán s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54/2019/QH14 đư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56/2024/QH15;</w:t>
      </w:r>
    </w:p>
    <w:p w14:paraId="2A9B1D67" w14:textId="3A05EB46" w:rsidR="008D7F09" w:rsidRPr="002710C0" w:rsidRDefault="00611422" w:rsidP="002710C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85/2024/NĐ-CP c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t và hư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n </w:t>
      </w:r>
      <w:r w:rsidR="007C211F">
        <w:rPr>
          <w:rFonts w:ascii="Arial" w:hAnsi="Arial" w:cs="Arial"/>
          <w:i/>
          <w:color w:val="000000" w:themeColor="text1"/>
          <w:sz w:val="20"/>
          <w:szCs w:val="20"/>
        </w:rPr>
        <w:t>thi hành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m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t Giá;</w:t>
      </w:r>
    </w:p>
    <w:p w14:paraId="1BC3CF30" w14:textId="77777777" w:rsidR="008D7F09" w:rsidRPr="002710C0" w:rsidRDefault="00611422" w:rsidP="002710C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c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đư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166/2025/NĐ-CP;</w:t>
      </w:r>
    </w:p>
    <w:p w14:paraId="41F024F3" w14:textId="20B0EE7F" w:rsidR="008D7F09" w:rsidRPr="002710C0" w:rsidRDefault="00611422" w:rsidP="002710C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a Ch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ch </w:t>
      </w:r>
      <w:r w:rsidR="002710C0">
        <w:rPr>
          <w:rFonts w:ascii="Arial" w:hAnsi="Arial" w:cs="Arial"/>
          <w:i/>
          <w:color w:val="000000" w:themeColor="text1"/>
          <w:sz w:val="20"/>
          <w:szCs w:val="20"/>
        </w:rPr>
        <w:t>Ủy ban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ng khoán Nhà nư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34C6672E" w14:textId="4A72A134" w:rsidR="008D7F09" w:rsidRPr="002710C0" w:rsidRDefault="00611422" w:rsidP="002710C0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 hành Thông tư quy 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nh 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 đi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m kinh t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- k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ỹ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thu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t c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a d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ch v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trong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lĩnh v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 ch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ng khoán c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a S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Giao d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ch Ch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t Nam và công ty con, T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ng công ty Lưu ký và Bù tr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ừ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t Nam và công ty con do Nhà nư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c 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nh giá</w:t>
      </w:r>
      <w:r w:rsidR="00A011B4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6E9D5885" w14:textId="77777777" w:rsidR="002710C0" w:rsidRPr="002710C0" w:rsidRDefault="002710C0" w:rsidP="002710C0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710E94" w14:textId="77777777" w:rsidR="008D7F09" w:rsidRPr="002710C0" w:rsidRDefault="00611422" w:rsidP="002710C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nh và đ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E490674" w14:textId="77777777" w:rsidR="008D7F09" w:rsidRPr="002710C0" w:rsidRDefault="00611422" w:rsidP="002710C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color w:val="000000" w:themeColor="text1"/>
          <w:sz w:val="20"/>
          <w:szCs w:val="20"/>
        </w:rPr>
        <w:t>1. Thông tư này quy đ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m kinh t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khoán c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t Nam và công ty con, T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t Nam và công ty con do Nhà nư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nh giá.</w:t>
      </w:r>
    </w:p>
    <w:p w14:paraId="72895CF0" w14:textId="77777777" w:rsidR="008D7F09" w:rsidRPr="002710C0" w:rsidRDefault="00611422" w:rsidP="002710C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a Thông tư này bao g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m: S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khoán Vi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t Nam và công ty con, T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t Nam và công ty con, các cơ quan, t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 và cá nhân có liên quan.</w:t>
      </w:r>
    </w:p>
    <w:p w14:paraId="1ABF6A5C" w14:textId="01682100" w:rsidR="008D7F09" w:rsidRPr="002710C0" w:rsidRDefault="00611422" w:rsidP="002710C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 đi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m kinh t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khoán c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a S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Giao d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ch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Nam và công ty con, T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công ty Lưu ký và Bù tr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t Nam và công ty con do Nhà nư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nh giá</w:t>
      </w:r>
    </w:p>
    <w:p w14:paraId="3C6018F9" w14:textId="77777777" w:rsidR="008D7F09" w:rsidRPr="002710C0" w:rsidRDefault="00611422" w:rsidP="002710C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m kinh t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khoán c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t Nam và công ty con, T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t Nam và công ty con do Nhà nư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nh giá quy đ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 ban hành kèm theo Thông tư này.</w:t>
      </w:r>
    </w:p>
    <w:p w14:paraId="4DAAE238" w14:textId="77777777" w:rsidR="008D7F09" w:rsidRPr="002710C0" w:rsidRDefault="00611422" w:rsidP="002710C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u 3. Đi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2FB56F69" w14:textId="77777777" w:rsidR="008D7F09" w:rsidRPr="002710C0" w:rsidRDefault="00611422" w:rsidP="002710C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ngày 15 tháng 5 năm 2026.</w:t>
      </w:r>
    </w:p>
    <w:p w14:paraId="5E7FECA7" w14:textId="07F446E0" w:rsidR="008D7F09" w:rsidRPr="002710C0" w:rsidRDefault="00611422" w:rsidP="00AB3DA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2710C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 lý giá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ch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t Nam và công ty con, T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công ty Lưu ký và Bù tr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t Nam và công ty con, các cơ quan, t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c và cá nhân có liên quan ch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t>m thi hành Thông tư này./.</w:t>
      </w:r>
    </w:p>
    <w:p w14:paraId="04ED4E11" w14:textId="77777777" w:rsidR="002710C0" w:rsidRPr="002710C0" w:rsidRDefault="002710C0" w:rsidP="002710C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2710C0" w:rsidRPr="002710C0" w14:paraId="5E3EE738" w14:textId="77777777" w:rsidTr="00AB3DA2">
        <w:tc>
          <w:tcPr>
            <w:tcW w:w="2500" w:type="pct"/>
          </w:tcPr>
          <w:p w14:paraId="7B52636F" w14:textId="3648D532" w:rsidR="008D7F09" w:rsidRPr="002710C0" w:rsidRDefault="00611422" w:rsidP="002710C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2710C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đoàn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bookmarkStart w:id="0" w:name="_GoBack"/>
            <w:bookmarkEnd w:id="0"/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UBCK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(50b).</w:t>
            </w:r>
          </w:p>
        </w:tc>
        <w:tc>
          <w:tcPr>
            <w:tcW w:w="2500" w:type="pct"/>
          </w:tcPr>
          <w:p w14:paraId="22BD9662" w14:textId="4FD0F91E" w:rsidR="008D7F09" w:rsidRPr="002710C0" w:rsidRDefault="00611422" w:rsidP="002710C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KT.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Phương</w:t>
            </w:r>
          </w:p>
        </w:tc>
      </w:tr>
    </w:tbl>
    <w:p w14:paraId="76EC0E16" w14:textId="77777777" w:rsidR="002710C0" w:rsidRPr="002710C0" w:rsidRDefault="002710C0" w:rsidP="002710C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0E6E180" w14:textId="77777777" w:rsidR="002710C0" w:rsidRPr="002710C0" w:rsidRDefault="002710C0" w:rsidP="002710C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B685B7" w14:textId="77777777" w:rsidR="003F10E0" w:rsidRDefault="003F10E0" w:rsidP="002710C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3F10E0" w:rsidSect="002710C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E394356" w14:textId="58E5547B" w:rsidR="008D7F09" w:rsidRPr="002710C0" w:rsidRDefault="00611422" w:rsidP="002710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65D8F49C" w14:textId="77777777" w:rsidR="008D7F09" w:rsidRPr="002710C0" w:rsidRDefault="00611422" w:rsidP="002710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 ĐI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M KINH T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- K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br/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KHOÁN C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A S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GIAO D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CH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T NAM VÀ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br/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TY CON, T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CÔNG TY LƯU KÝ VÀ BÙ TR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KHOÁN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br/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T NAM VÀ CÔNG TY CON DO NHÀ NƯ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NH GIÁ</w:t>
      </w:r>
    </w:p>
    <w:p w14:paraId="4F2CF19E" w14:textId="77777777" w:rsidR="008D7F09" w:rsidRDefault="00611422" w:rsidP="002710C0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(Kèm theo Thông tư s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34/2026/TT-BTC ngày 30 tháng 3 năm 2026 c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Pr="002710C0">
        <w:rPr>
          <w:rFonts w:ascii="Arial" w:hAnsi="Arial" w:cs="Arial"/>
          <w:color w:val="000000" w:themeColor="text1"/>
          <w:sz w:val="20"/>
          <w:szCs w:val="20"/>
        </w:rPr>
        <w:br/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710C0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chính)</w:t>
      </w:r>
    </w:p>
    <w:p w14:paraId="01AD9FE4" w14:textId="77777777" w:rsidR="002710C0" w:rsidRPr="002710C0" w:rsidRDefault="002710C0" w:rsidP="002710C0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B3672DA" w14:textId="7C4AACB2" w:rsidR="008D7F09" w:rsidRPr="002710C0" w:rsidRDefault="00611422" w:rsidP="003F10E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A. Đ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 đi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m kinh t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="003F10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3F10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khoán c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a S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Giao d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ch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t Nam và 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công ty con do Nhà nư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nh giá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16"/>
        <w:gridCol w:w="4099"/>
        <w:gridCol w:w="4201"/>
      </w:tblGrid>
      <w:tr w:rsidR="002710C0" w:rsidRPr="002710C0" w14:paraId="73B99A6C" w14:textId="77777777" w:rsidTr="00AB3DA2">
        <w:trPr>
          <w:trHeight w:val="20"/>
        </w:trPr>
        <w:tc>
          <w:tcPr>
            <w:tcW w:w="397" w:type="pct"/>
          </w:tcPr>
          <w:p w14:paraId="42E0CFDD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273" w:type="pct"/>
          </w:tcPr>
          <w:p w14:paraId="459333BE" w14:textId="31B3862A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</w:p>
        </w:tc>
        <w:tc>
          <w:tcPr>
            <w:tcW w:w="2330" w:type="pct"/>
          </w:tcPr>
          <w:p w14:paraId="3B34CD6D" w14:textId="0ABAB7A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</w:p>
        </w:tc>
      </w:tr>
      <w:tr w:rsidR="002710C0" w:rsidRPr="002710C0" w14:paraId="4FF94FBE" w14:textId="77777777" w:rsidTr="00AB3DA2">
        <w:trPr>
          <w:trHeight w:val="20"/>
        </w:trPr>
        <w:tc>
          <w:tcPr>
            <w:tcW w:w="397" w:type="pct"/>
          </w:tcPr>
          <w:p w14:paraId="32661A8B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4603" w:type="pct"/>
            <w:gridSpan w:val="2"/>
          </w:tcPr>
          <w:p w14:paraId="12152356" w14:textId="05E80EB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áp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</w:p>
        </w:tc>
      </w:tr>
      <w:tr w:rsidR="002710C0" w:rsidRPr="002710C0" w14:paraId="3F1880E1" w14:textId="77777777" w:rsidTr="00AB3DA2">
        <w:trPr>
          <w:trHeight w:val="20"/>
        </w:trPr>
        <w:tc>
          <w:tcPr>
            <w:tcW w:w="397" w:type="pct"/>
          </w:tcPr>
          <w:p w14:paraId="2A74FA07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73" w:type="pct"/>
          </w:tcPr>
          <w:p w14:paraId="64A89563" w14:textId="0E88CAB3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viên</w:t>
            </w:r>
          </w:p>
        </w:tc>
        <w:tc>
          <w:tcPr>
            <w:tcW w:w="2330" w:type="pct"/>
          </w:tcPr>
          <w:p w14:paraId="3277F5AB" w14:textId="477652B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trì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Nam,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sát,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trì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tuân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nghĩa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khoán.</w:t>
            </w:r>
          </w:p>
        </w:tc>
      </w:tr>
      <w:tr w:rsidR="002710C0" w:rsidRPr="002710C0" w14:paraId="722C21AF" w14:textId="77777777" w:rsidTr="00AB3DA2">
        <w:trPr>
          <w:trHeight w:val="20"/>
        </w:trPr>
        <w:tc>
          <w:tcPr>
            <w:tcW w:w="397" w:type="pct"/>
          </w:tcPr>
          <w:p w14:paraId="2A1516D3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73" w:type="pct"/>
          </w:tcPr>
          <w:p w14:paraId="06196363" w14:textId="505061C1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330" w:type="pct"/>
          </w:tcPr>
          <w:p w14:paraId="1706926D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40A6FD0E" w14:textId="77777777" w:rsidTr="00AB3DA2">
        <w:trPr>
          <w:trHeight w:val="20"/>
        </w:trPr>
        <w:tc>
          <w:tcPr>
            <w:tcW w:w="397" w:type="pct"/>
          </w:tcPr>
          <w:p w14:paraId="2215185C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273" w:type="pct"/>
          </w:tcPr>
          <w:p w14:paraId="1E54368C" w14:textId="7AC6B7E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2330" w:type="pct"/>
          </w:tcPr>
          <w:p w14:paraId="1FBD6A62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644D961A" w14:textId="77777777" w:rsidTr="00AB3DA2">
        <w:trPr>
          <w:trHeight w:val="20"/>
        </w:trPr>
        <w:tc>
          <w:tcPr>
            <w:tcW w:w="397" w:type="pct"/>
          </w:tcPr>
          <w:p w14:paraId="6146D88D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273" w:type="pct"/>
          </w:tcPr>
          <w:p w14:paraId="75EE8A96" w14:textId="3ABF0B75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</w:p>
        </w:tc>
        <w:tc>
          <w:tcPr>
            <w:tcW w:w="2330" w:type="pct"/>
          </w:tcPr>
          <w:p w14:paraId="5B4795E0" w14:textId="1CCDDD6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xem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xét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t.</w:t>
            </w:r>
          </w:p>
        </w:tc>
      </w:tr>
      <w:tr w:rsidR="002710C0" w:rsidRPr="002710C0" w14:paraId="6C5CF54E" w14:textId="77777777" w:rsidTr="00AB3DA2">
        <w:trPr>
          <w:trHeight w:val="20"/>
        </w:trPr>
        <w:tc>
          <w:tcPr>
            <w:tcW w:w="397" w:type="pct"/>
          </w:tcPr>
          <w:p w14:paraId="0F845A96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273" w:type="pct"/>
          </w:tcPr>
          <w:p w14:paraId="6393D8A0" w14:textId="32A9303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330" w:type="pct"/>
          </w:tcPr>
          <w:p w14:paraId="39EA4B71" w14:textId="48604EF6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xem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xét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m.</w:t>
            </w:r>
          </w:p>
        </w:tc>
      </w:tr>
      <w:tr w:rsidR="002710C0" w:rsidRPr="002710C0" w14:paraId="45B0AC1C" w14:textId="77777777" w:rsidTr="00AB3DA2">
        <w:trPr>
          <w:trHeight w:val="20"/>
        </w:trPr>
        <w:tc>
          <w:tcPr>
            <w:tcW w:w="397" w:type="pct"/>
          </w:tcPr>
          <w:p w14:paraId="453BA793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2273" w:type="pct"/>
          </w:tcPr>
          <w:p w14:paraId="1C987E28" w14:textId="4B3E25D8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330" w:type="pct"/>
          </w:tcPr>
          <w:p w14:paraId="212C9083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49A3FD69" w14:textId="77777777" w:rsidTr="00AB3DA2">
        <w:trPr>
          <w:trHeight w:val="20"/>
        </w:trPr>
        <w:tc>
          <w:tcPr>
            <w:tcW w:w="397" w:type="pct"/>
          </w:tcPr>
          <w:p w14:paraId="25C782B1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273" w:type="pct"/>
          </w:tcPr>
          <w:p w14:paraId="71ED95F1" w14:textId="258EB8C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</w:p>
        </w:tc>
        <w:tc>
          <w:tcPr>
            <w:tcW w:w="2330" w:type="pct"/>
          </w:tcPr>
          <w:p w14:paraId="429E2FFE" w14:textId="316D6FC1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xem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xét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ETF),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chấp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thuận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đổi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yết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yết,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quản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đầu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yết.</w:t>
            </w:r>
          </w:p>
        </w:tc>
      </w:tr>
      <w:tr w:rsidR="002710C0" w:rsidRPr="002710C0" w14:paraId="02926172" w14:textId="77777777" w:rsidTr="00AB3DA2">
        <w:trPr>
          <w:trHeight w:val="20"/>
        </w:trPr>
        <w:tc>
          <w:tcPr>
            <w:tcW w:w="397" w:type="pct"/>
          </w:tcPr>
          <w:p w14:paraId="005DA08F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273" w:type="pct"/>
          </w:tcPr>
          <w:p w14:paraId="22E53091" w14:textId="10A5F28A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330" w:type="pct"/>
          </w:tcPr>
          <w:p w14:paraId="4D85015E" w14:textId="59349C2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xem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xét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m.</w:t>
            </w:r>
          </w:p>
        </w:tc>
      </w:tr>
      <w:tr w:rsidR="002710C0" w:rsidRPr="002710C0" w14:paraId="01D71849" w14:textId="77777777" w:rsidTr="00AB3DA2">
        <w:trPr>
          <w:trHeight w:val="20"/>
        </w:trPr>
        <w:tc>
          <w:tcPr>
            <w:tcW w:w="397" w:type="pct"/>
          </w:tcPr>
          <w:p w14:paraId="44B11447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73" w:type="pct"/>
          </w:tcPr>
          <w:p w14:paraId="5863B4AC" w14:textId="2C6C052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330" w:type="pct"/>
          </w:tcPr>
          <w:p w14:paraId="041702E7" w14:textId="3840BA6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m: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dõi,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sát,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tuân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nghĩa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cáo,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nghĩa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khoán.</w:t>
            </w:r>
          </w:p>
        </w:tc>
      </w:tr>
      <w:tr w:rsidR="002710C0" w:rsidRPr="002710C0" w14:paraId="351D6AEC" w14:textId="77777777" w:rsidTr="00AB3DA2">
        <w:trPr>
          <w:trHeight w:val="20"/>
        </w:trPr>
        <w:tc>
          <w:tcPr>
            <w:tcW w:w="397" w:type="pct"/>
          </w:tcPr>
          <w:p w14:paraId="33CB5D1F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273" w:type="pct"/>
          </w:tcPr>
          <w:p w14:paraId="1BC03560" w14:textId="76CF4D6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2330" w:type="pct"/>
          </w:tcPr>
          <w:p w14:paraId="37CC5674" w14:textId="1F067DBF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khoán.</w:t>
            </w:r>
          </w:p>
        </w:tc>
      </w:tr>
      <w:tr w:rsidR="002710C0" w:rsidRPr="002710C0" w14:paraId="6A0FC872" w14:textId="77777777" w:rsidTr="00AB3DA2">
        <w:trPr>
          <w:trHeight w:val="20"/>
        </w:trPr>
        <w:tc>
          <w:tcPr>
            <w:tcW w:w="397" w:type="pct"/>
          </w:tcPr>
          <w:p w14:paraId="449B9DDA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273" w:type="pct"/>
          </w:tcPr>
          <w:p w14:paraId="21037DED" w14:textId="1E3939FA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2330" w:type="pct"/>
          </w:tcPr>
          <w:p w14:paraId="1E02BCC0" w14:textId="01308B7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ng.</w:t>
            </w:r>
          </w:p>
        </w:tc>
      </w:tr>
      <w:tr w:rsidR="002710C0" w:rsidRPr="002710C0" w14:paraId="60D2D5EA" w14:textId="77777777" w:rsidTr="00AB3DA2">
        <w:trPr>
          <w:trHeight w:val="20"/>
        </w:trPr>
        <w:tc>
          <w:tcPr>
            <w:tcW w:w="397" w:type="pct"/>
          </w:tcPr>
          <w:p w14:paraId="7A89AE2E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273" w:type="pct"/>
          </w:tcPr>
          <w:p w14:paraId="0EEC02B7" w14:textId="479384F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2330" w:type="pct"/>
          </w:tcPr>
          <w:p w14:paraId="0F30DE75" w14:textId="7EB4313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ng.</w:t>
            </w:r>
          </w:p>
        </w:tc>
      </w:tr>
      <w:tr w:rsidR="002710C0" w:rsidRPr="002710C0" w14:paraId="1F235736" w14:textId="77777777" w:rsidTr="00AB3DA2">
        <w:trPr>
          <w:trHeight w:val="20"/>
        </w:trPr>
        <w:tc>
          <w:tcPr>
            <w:tcW w:w="397" w:type="pct"/>
          </w:tcPr>
          <w:p w14:paraId="136560AE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273" w:type="pct"/>
          </w:tcPr>
          <w:p w14:paraId="333AB18D" w14:textId="6D05937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lên</w:t>
            </w:r>
          </w:p>
        </w:tc>
        <w:tc>
          <w:tcPr>
            <w:tcW w:w="2330" w:type="pct"/>
          </w:tcPr>
          <w:p w14:paraId="6DBA4CDB" w14:textId="59A0480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lên.</w:t>
            </w:r>
          </w:p>
        </w:tc>
      </w:tr>
      <w:tr w:rsidR="002710C0" w:rsidRPr="002710C0" w14:paraId="6AC5C64F" w14:textId="77777777" w:rsidTr="00AB3DA2">
        <w:trPr>
          <w:trHeight w:val="20"/>
        </w:trPr>
        <w:tc>
          <w:tcPr>
            <w:tcW w:w="397" w:type="pct"/>
          </w:tcPr>
          <w:p w14:paraId="29D56A97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2273" w:type="pct"/>
          </w:tcPr>
          <w:p w14:paraId="7B66F0A1" w14:textId="0F1AC99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ETF),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</w:p>
        </w:tc>
        <w:tc>
          <w:tcPr>
            <w:tcW w:w="2330" w:type="pct"/>
          </w:tcPr>
          <w:p w14:paraId="372A3F29" w14:textId="02AA063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ETF),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khoán.</w:t>
            </w:r>
          </w:p>
        </w:tc>
      </w:tr>
      <w:tr w:rsidR="002710C0" w:rsidRPr="002710C0" w14:paraId="25405422" w14:textId="77777777" w:rsidTr="00AB3DA2">
        <w:trPr>
          <w:trHeight w:val="20"/>
        </w:trPr>
        <w:tc>
          <w:tcPr>
            <w:tcW w:w="397" w:type="pct"/>
          </w:tcPr>
          <w:p w14:paraId="4055AA4D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273" w:type="pct"/>
          </w:tcPr>
          <w:p w14:paraId="31733180" w14:textId="1BF2944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2330" w:type="pct"/>
          </w:tcPr>
          <w:p w14:paraId="2B3EDA10" w14:textId="2CD3078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ETF),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ng.</w:t>
            </w:r>
          </w:p>
        </w:tc>
      </w:tr>
      <w:tr w:rsidR="002710C0" w:rsidRPr="002710C0" w14:paraId="747FD1CD" w14:textId="77777777" w:rsidTr="00AB3DA2">
        <w:trPr>
          <w:trHeight w:val="20"/>
        </w:trPr>
        <w:tc>
          <w:tcPr>
            <w:tcW w:w="397" w:type="pct"/>
          </w:tcPr>
          <w:p w14:paraId="2FE8584C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273" w:type="pct"/>
          </w:tcPr>
          <w:p w14:paraId="7F901B12" w14:textId="6C179DC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2330" w:type="pct"/>
          </w:tcPr>
          <w:p w14:paraId="566B7BF9" w14:textId="1D57A453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ETF),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ng.</w:t>
            </w:r>
          </w:p>
        </w:tc>
      </w:tr>
      <w:tr w:rsidR="002710C0" w:rsidRPr="002710C0" w14:paraId="625AFCA0" w14:textId="77777777" w:rsidTr="00AB3DA2">
        <w:trPr>
          <w:trHeight w:val="20"/>
        </w:trPr>
        <w:tc>
          <w:tcPr>
            <w:tcW w:w="397" w:type="pct"/>
          </w:tcPr>
          <w:p w14:paraId="66A09736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273" w:type="pct"/>
          </w:tcPr>
          <w:p w14:paraId="39D5E8A1" w14:textId="7A9971D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lên</w:t>
            </w:r>
          </w:p>
        </w:tc>
        <w:tc>
          <w:tcPr>
            <w:tcW w:w="2330" w:type="pct"/>
          </w:tcPr>
          <w:p w14:paraId="5E4A458C" w14:textId="75585D97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ETF),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lên.</w:t>
            </w:r>
          </w:p>
        </w:tc>
      </w:tr>
      <w:tr w:rsidR="002710C0" w:rsidRPr="002710C0" w14:paraId="4918092A" w14:textId="77777777" w:rsidTr="00AB3DA2">
        <w:trPr>
          <w:trHeight w:val="20"/>
        </w:trPr>
        <w:tc>
          <w:tcPr>
            <w:tcW w:w="397" w:type="pct"/>
          </w:tcPr>
          <w:p w14:paraId="5A7F9FF5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2273" w:type="pct"/>
          </w:tcPr>
          <w:p w14:paraId="6D286E24" w14:textId="6E8DD0B8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</w:t>
            </w:r>
          </w:p>
        </w:tc>
        <w:tc>
          <w:tcPr>
            <w:tcW w:w="2330" w:type="pct"/>
          </w:tcPr>
          <w:p w14:paraId="431649BF" w14:textId="3B363A88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khoán.</w:t>
            </w:r>
          </w:p>
        </w:tc>
      </w:tr>
      <w:tr w:rsidR="002710C0" w:rsidRPr="002710C0" w14:paraId="102F05ED" w14:textId="77777777" w:rsidTr="00AB3DA2">
        <w:trPr>
          <w:trHeight w:val="20"/>
        </w:trPr>
        <w:tc>
          <w:tcPr>
            <w:tcW w:w="397" w:type="pct"/>
          </w:tcPr>
          <w:p w14:paraId="3A2475DC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2273" w:type="pct"/>
          </w:tcPr>
          <w:p w14:paraId="23CA5E74" w14:textId="0BA4049F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330" w:type="pct"/>
          </w:tcPr>
          <w:p w14:paraId="25964057" w14:textId="2A2CC597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khoán.</w:t>
            </w:r>
          </w:p>
        </w:tc>
      </w:tr>
      <w:tr w:rsidR="002710C0" w:rsidRPr="002710C0" w14:paraId="71CA8540" w14:textId="77777777" w:rsidTr="00AB3DA2">
        <w:trPr>
          <w:trHeight w:val="20"/>
        </w:trPr>
        <w:tc>
          <w:tcPr>
            <w:tcW w:w="397" w:type="pct"/>
          </w:tcPr>
          <w:p w14:paraId="7703110A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73" w:type="pct"/>
          </w:tcPr>
          <w:p w14:paraId="4BB19276" w14:textId="6125F8A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2330" w:type="pct"/>
          </w:tcPr>
          <w:p w14:paraId="764C8D02" w14:textId="2D2D45C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sinh)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m: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ng.</w:t>
            </w:r>
          </w:p>
        </w:tc>
      </w:tr>
      <w:tr w:rsidR="002710C0" w:rsidRPr="002710C0" w14:paraId="4085EB71" w14:textId="77777777" w:rsidTr="00AB3DA2">
        <w:trPr>
          <w:trHeight w:val="20"/>
        </w:trPr>
        <w:tc>
          <w:tcPr>
            <w:tcW w:w="397" w:type="pct"/>
          </w:tcPr>
          <w:p w14:paraId="0166EE73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2273" w:type="pct"/>
          </w:tcPr>
          <w:p w14:paraId="64D6718A" w14:textId="0ACE4AE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2330" w:type="pct"/>
          </w:tcPr>
          <w:p w14:paraId="11CEAB14" w14:textId="08F0D83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sinh).</w:t>
            </w:r>
          </w:p>
        </w:tc>
      </w:tr>
      <w:tr w:rsidR="002710C0" w:rsidRPr="002710C0" w14:paraId="6D388C61" w14:textId="77777777" w:rsidTr="00AB3DA2">
        <w:trPr>
          <w:trHeight w:val="20"/>
        </w:trPr>
        <w:tc>
          <w:tcPr>
            <w:tcW w:w="397" w:type="pct"/>
          </w:tcPr>
          <w:p w14:paraId="6CA62B56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273" w:type="pct"/>
          </w:tcPr>
          <w:p w14:paraId="3DD9618D" w14:textId="15B1AB6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ETF)</w:t>
            </w:r>
          </w:p>
        </w:tc>
        <w:tc>
          <w:tcPr>
            <w:tcW w:w="2330" w:type="pct"/>
          </w:tcPr>
          <w:p w14:paraId="578039DC" w14:textId="4276AD1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niêm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ETF).</w:t>
            </w:r>
          </w:p>
        </w:tc>
      </w:tr>
      <w:tr w:rsidR="002710C0" w:rsidRPr="002710C0" w14:paraId="6AF84B76" w14:textId="77777777" w:rsidTr="00AB3DA2">
        <w:trPr>
          <w:trHeight w:val="20"/>
        </w:trPr>
        <w:tc>
          <w:tcPr>
            <w:tcW w:w="397" w:type="pct"/>
          </w:tcPr>
          <w:p w14:paraId="2D6E4ED0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b</w:t>
            </w:r>
          </w:p>
        </w:tc>
        <w:tc>
          <w:tcPr>
            <w:tcW w:w="2273" w:type="pct"/>
          </w:tcPr>
          <w:p w14:paraId="7BD258DA" w14:textId="1CC1F67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</w:t>
            </w:r>
          </w:p>
        </w:tc>
        <w:tc>
          <w:tcPr>
            <w:tcW w:w="2330" w:type="pct"/>
          </w:tcPr>
          <w:p w14:paraId="4FA7947C" w14:textId="35A1FA2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ETF.</w:t>
            </w:r>
          </w:p>
        </w:tc>
      </w:tr>
      <w:tr w:rsidR="002710C0" w:rsidRPr="002710C0" w14:paraId="41EFF3D6" w14:textId="77777777" w:rsidTr="00AB3DA2">
        <w:trPr>
          <w:trHeight w:val="20"/>
        </w:trPr>
        <w:tc>
          <w:tcPr>
            <w:tcW w:w="397" w:type="pct"/>
          </w:tcPr>
          <w:p w14:paraId="5273D5B8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273" w:type="pct"/>
          </w:tcPr>
          <w:p w14:paraId="40DAC464" w14:textId="3D1EA20F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330" w:type="pct"/>
          </w:tcPr>
          <w:p w14:paraId="23AD1449" w14:textId="61C7033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p.</w:t>
            </w:r>
          </w:p>
        </w:tc>
      </w:tr>
      <w:tr w:rsidR="002710C0" w:rsidRPr="002710C0" w14:paraId="7A2D3B2E" w14:textId="77777777" w:rsidTr="00AB3DA2">
        <w:trPr>
          <w:trHeight w:val="20"/>
        </w:trPr>
        <w:tc>
          <w:tcPr>
            <w:tcW w:w="397" w:type="pct"/>
          </w:tcPr>
          <w:p w14:paraId="2D6A1EE0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2273" w:type="pct"/>
          </w:tcPr>
          <w:p w14:paraId="5B2F51D0" w14:textId="4CFD6015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</w:p>
        </w:tc>
        <w:tc>
          <w:tcPr>
            <w:tcW w:w="2330" w:type="pct"/>
          </w:tcPr>
          <w:p w14:paraId="41627B9E" w14:textId="00D08EF1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công.</w:t>
            </w:r>
          </w:p>
        </w:tc>
      </w:tr>
      <w:tr w:rsidR="002710C0" w:rsidRPr="002710C0" w14:paraId="63A7A7DA" w14:textId="77777777" w:rsidTr="00AB3DA2">
        <w:trPr>
          <w:trHeight w:val="20"/>
        </w:trPr>
        <w:tc>
          <w:tcPr>
            <w:tcW w:w="397" w:type="pct"/>
          </w:tcPr>
          <w:p w14:paraId="34444B4C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</w:p>
        </w:tc>
        <w:tc>
          <w:tcPr>
            <w:tcW w:w="2273" w:type="pct"/>
          </w:tcPr>
          <w:p w14:paraId="3B09788E" w14:textId="1CD5F71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9D3B76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PCOM).</w:t>
            </w:r>
          </w:p>
        </w:tc>
        <w:tc>
          <w:tcPr>
            <w:tcW w:w="2330" w:type="pct"/>
          </w:tcPr>
          <w:p w14:paraId="7562A02C" w14:textId="05B2AAD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ch.</w:t>
            </w:r>
          </w:p>
        </w:tc>
      </w:tr>
      <w:tr w:rsidR="002710C0" w:rsidRPr="002710C0" w14:paraId="73B1E7A5" w14:textId="77777777" w:rsidTr="00AB3DA2">
        <w:trPr>
          <w:trHeight w:val="20"/>
        </w:trPr>
        <w:tc>
          <w:tcPr>
            <w:tcW w:w="397" w:type="pct"/>
          </w:tcPr>
          <w:p w14:paraId="31DF3761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2273" w:type="pct"/>
          </w:tcPr>
          <w:p w14:paraId="5B5C4E44" w14:textId="408F3EB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330" w:type="pct"/>
          </w:tcPr>
          <w:p w14:paraId="7F337239" w14:textId="7FB432A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m.</w:t>
            </w:r>
          </w:p>
        </w:tc>
      </w:tr>
      <w:tr w:rsidR="002710C0" w:rsidRPr="002710C0" w14:paraId="777121E7" w14:textId="77777777" w:rsidTr="00AB3DA2">
        <w:trPr>
          <w:trHeight w:val="20"/>
        </w:trPr>
        <w:tc>
          <w:tcPr>
            <w:tcW w:w="397" w:type="pct"/>
          </w:tcPr>
          <w:p w14:paraId="0B10975C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2273" w:type="pct"/>
          </w:tcPr>
          <w:p w14:paraId="168B65FD" w14:textId="5A375A3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repo)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</w:p>
        </w:tc>
        <w:tc>
          <w:tcPr>
            <w:tcW w:w="2330" w:type="pct"/>
          </w:tcPr>
          <w:p w14:paraId="7CD44BE9" w14:textId="5F8A48A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công.</w:t>
            </w:r>
          </w:p>
        </w:tc>
      </w:tr>
      <w:tr w:rsidR="002710C0" w:rsidRPr="002710C0" w14:paraId="5E2754D6" w14:textId="77777777" w:rsidTr="00AB3DA2">
        <w:trPr>
          <w:trHeight w:val="20"/>
        </w:trPr>
        <w:tc>
          <w:tcPr>
            <w:tcW w:w="397" w:type="pct"/>
          </w:tcPr>
          <w:p w14:paraId="4A2E8949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273" w:type="pct"/>
          </w:tcPr>
          <w:p w14:paraId="7655A4C9" w14:textId="639C25F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</w:p>
        </w:tc>
        <w:tc>
          <w:tcPr>
            <w:tcW w:w="2330" w:type="pct"/>
          </w:tcPr>
          <w:p w14:paraId="4E9FA91B" w14:textId="01D6ADF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ngày.</w:t>
            </w:r>
          </w:p>
        </w:tc>
      </w:tr>
      <w:tr w:rsidR="002710C0" w:rsidRPr="002710C0" w14:paraId="0AA37469" w14:textId="77777777" w:rsidTr="00AB3DA2">
        <w:trPr>
          <w:trHeight w:val="20"/>
        </w:trPr>
        <w:tc>
          <w:tcPr>
            <w:tcW w:w="397" w:type="pct"/>
          </w:tcPr>
          <w:p w14:paraId="25EE8264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273" w:type="pct"/>
          </w:tcPr>
          <w:p w14:paraId="4A0CF857" w14:textId="62A0A89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</w:p>
        </w:tc>
        <w:tc>
          <w:tcPr>
            <w:tcW w:w="2330" w:type="pct"/>
          </w:tcPr>
          <w:p w14:paraId="6E9FFC6B" w14:textId="5F6BD573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Quản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đến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ngày.</w:t>
            </w:r>
          </w:p>
        </w:tc>
      </w:tr>
      <w:tr w:rsidR="002710C0" w:rsidRPr="002710C0" w14:paraId="77970D78" w14:textId="77777777" w:rsidTr="00AB3DA2">
        <w:trPr>
          <w:trHeight w:val="20"/>
        </w:trPr>
        <w:tc>
          <w:tcPr>
            <w:tcW w:w="397" w:type="pct"/>
          </w:tcPr>
          <w:p w14:paraId="5EDA06AA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273" w:type="pct"/>
          </w:tcPr>
          <w:p w14:paraId="6D3E82A5" w14:textId="504E2D41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</w:p>
        </w:tc>
        <w:tc>
          <w:tcPr>
            <w:tcW w:w="2330" w:type="pct"/>
          </w:tcPr>
          <w:p w14:paraId="1226DA72" w14:textId="4B2EFD0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ngày.</w:t>
            </w:r>
          </w:p>
        </w:tc>
      </w:tr>
      <w:tr w:rsidR="002710C0" w:rsidRPr="002710C0" w14:paraId="78693600" w14:textId="77777777" w:rsidTr="00AB3DA2">
        <w:trPr>
          <w:trHeight w:val="20"/>
        </w:trPr>
        <w:tc>
          <w:tcPr>
            <w:tcW w:w="397" w:type="pct"/>
          </w:tcPr>
          <w:p w14:paraId="78ECAE6D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2273" w:type="pct"/>
          </w:tcPr>
          <w:p w14:paraId="2AEC72ED" w14:textId="6368F83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</w:p>
        </w:tc>
        <w:tc>
          <w:tcPr>
            <w:tcW w:w="2330" w:type="pct"/>
          </w:tcPr>
          <w:p w14:paraId="4C01B428" w14:textId="67A582F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công.</w:t>
            </w:r>
          </w:p>
        </w:tc>
      </w:tr>
      <w:tr w:rsidR="002710C0" w:rsidRPr="002710C0" w14:paraId="23CA98A8" w14:textId="77777777" w:rsidTr="00AB3DA2">
        <w:trPr>
          <w:trHeight w:val="20"/>
        </w:trPr>
        <w:tc>
          <w:tcPr>
            <w:tcW w:w="397" w:type="pct"/>
          </w:tcPr>
          <w:p w14:paraId="7749852C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2273" w:type="pct"/>
          </w:tcPr>
          <w:p w14:paraId="5A86EDD5" w14:textId="2AB2085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</w:p>
        </w:tc>
        <w:tc>
          <w:tcPr>
            <w:tcW w:w="2330" w:type="pct"/>
          </w:tcPr>
          <w:p w14:paraId="055EE02C" w14:textId="5016B17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công.</w:t>
            </w:r>
          </w:p>
        </w:tc>
      </w:tr>
      <w:tr w:rsidR="002710C0" w:rsidRPr="002710C0" w14:paraId="1DD39A6B" w14:textId="77777777" w:rsidTr="00AB3DA2">
        <w:trPr>
          <w:trHeight w:val="20"/>
        </w:trPr>
        <w:tc>
          <w:tcPr>
            <w:tcW w:w="397" w:type="pct"/>
          </w:tcPr>
          <w:p w14:paraId="2E4F2000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273" w:type="pct"/>
          </w:tcPr>
          <w:p w14:paraId="2C8B77F8" w14:textId="066C397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</w:p>
        </w:tc>
        <w:tc>
          <w:tcPr>
            <w:tcW w:w="2330" w:type="pct"/>
          </w:tcPr>
          <w:p w14:paraId="7D862202" w14:textId="36E6624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ngày.</w:t>
            </w:r>
          </w:p>
        </w:tc>
      </w:tr>
      <w:tr w:rsidR="002710C0" w:rsidRPr="002710C0" w14:paraId="741CDA61" w14:textId="77777777" w:rsidTr="00AB3DA2">
        <w:trPr>
          <w:trHeight w:val="20"/>
        </w:trPr>
        <w:tc>
          <w:tcPr>
            <w:tcW w:w="397" w:type="pct"/>
          </w:tcPr>
          <w:p w14:paraId="59D7BFBB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273" w:type="pct"/>
          </w:tcPr>
          <w:p w14:paraId="44E34000" w14:textId="43E6B37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</w:p>
        </w:tc>
        <w:tc>
          <w:tcPr>
            <w:tcW w:w="2330" w:type="pct"/>
          </w:tcPr>
          <w:p w14:paraId="5D1B1C63" w14:textId="563C39B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ngày.</w:t>
            </w:r>
          </w:p>
        </w:tc>
      </w:tr>
      <w:tr w:rsidR="002710C0" w:rsidRPr="002710C0" w14:paraId="296A11C2" w14:textId="77777777" w:rsidTr="00AB3DA2">
        <w:trPr>
          <w:trHeight w:val="20"/>
        </w:trPr>
        <w:tc>
          <w:tcPr>
            <w:tcW w:w="397" w:type="pct"/>
          </w:tcPr>
          <w:p w14:paraId="11F2A1F8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273" w:type="pct"/>
          </w:tcPr>
          <w:p w14:paraId="243C5BC5" w14:textId="67303DF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</w:p>
        </w:tc>
        <w:tc>
          <w:tcPr>
            <w:tcW w:w="2330" w:type="pct"/>
          </w:tcPr>
          <w:p w14:paraId="3A9962A4" w14:textId="5287829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ngày.</w:t>
            </w:r>
          </w:p>
        </w:tc>
      </w:tr>
      <w:tr w:rsidR="002710C0" w:rsidRPr="002710C0" w14:paraId="567482F9" w14:textId="77777777" w:rsidTr="00AB3DA2">
        <w:trPr>
          <w:trHeight w:val="20"/>
        </w:trPr>
        <w:tc>
          <w:tcPr>
            <w:tcW w:w="397" w:type="pct"/>
          </w:tcPr>
          <w:p w14:paraId="653813B2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73" w:type="pct"/>
          </w:tcPr>
          <w:p w14:paraId="335873CC" w14:textId="1FF1DD3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tuy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330" w:type="pct"/>
          </w:tcPr>
          <w:p w14:paraId="635F34AB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1B4296D2" w14:textId="77777777" w:rsidTr="00AB3DA2">
        <w:trPr>
          <w:trHeight w:val="20"/>
        </w:trPr>
        <w:tc>
          <w:tcPr>
            <w:tcW w:w="397" w:type="pct"/>
          </w:tcPr>
          <w:p w14:paraId="4ED17827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5.1</w:t>
            </w:r>
          </w:p>
        </w:tc>
        <w:tc>
          <w:tcPr>
            <w:tcW w:w="2273" w:type="pct"/>
          </w:tcPr>
          <w:p w14:paraId="54FB4702" w14:textId="6FBB709F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2330" w:type="pct"/>
          </w:tcPr>
          <w:p w14:paraId="46E00592" w14:textId="5A8921D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n.</w:t>
            </w:r>
          </w:p>
        </w:tc>
      </w:tr>
      <w:tr w:rsidR="002710C0" w:rsidRPr="002710C0" w14:paraId="744ADC42" w14:textId="77777777" w:rsidTr="00AB3DA2">
        <w:trPr>
          <w:trHeight w:val="20"/>
        </w:trPr>
        <w:tc>
          <w:tcPr>
            <w:tcW w:w="397" w:type="pct"/>
          </w:tcPr>
          <w:p w14:paraId="64A0B587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2273" w:type="pct"/>
          </w:tcPr>
          <w:p w14:paraId="0460E193" w14:textId="27DE928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trì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</w:p>
        </w:tc>
        <w:tc>
          <w:tcPr>
            <w:tcW w:w="2330" w:type="pct"/>
          </w:tcPr>
          <w:p w14:paraId="13BA7C9A" w14:textId="34CB297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trì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năm.</w:t>
            </w:r>
          </w:p>
        </w:tc>
      </w:tr>
      <w:tr w:rsidR="002710C0" w:rsidRPr="002710C0" w14:paraId="7E218347" w14:textId="77777777" w:rsidTr="00AB3DA2">
        <w:trPr>
          <w:trHeight w:val="20"/>
        </w:trPr>
        <w:tc>
          <w:tcPr>
            <w:tcW w:w="397" w:type="pct"/>
          </w:tcPr>
          <w:p w14:paraId="76F0D8A5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73" w:type="pct"/>
          </w:tcPr>
          <w:p w14:paraId="10B417C6" w14:textId="025C6148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cu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330" w:type="pct"/>
          </w:tcPr>
          <w:p w14:paraId="6800B4B5" w14:textId="4C2F10F5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/máy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kênh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Internet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kênh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môi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7C211F">
              <w:rPr>
                <w:rFonts w:ascii="Arial" w:hAnsi="Arial" w:cs="Arial"/>
                <w:color w:val="000000" w:themeColor="text1"/>
                <w:sz w:val="20"/>
                <w:szCs w:val="20"/>
              </w:rPr>
              <w:t>an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710C0" w:rsidRPr="002710C0" w14:paraId="3987744A" w14:textId="77777777" w:rsidTr="00AB3DA2">
        <w:trPr>
          <w:trHeight w:val="20"/>
        </w:trPr>
        <w:tc>
          <w:tcPr>
            <w:tcW w:w="397" w:type="pct"/>
          </w:tcPr>
          <w:p w14:paraId="66B640D6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73" w:type="pct"/>
          </w:tcPr>
          <w:p w14:paraId="78E2504B" w14:textId="23B688F3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giá,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</w:p>
        </w:tc>
        <w:tc>
          <w:tcPr>
            <w:tcW w:w="2330" w:type="pct"/>
          </w:tcPr>
          <w:p w14:paraId="1D2F456F" w14:textId="1EC680A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nghiệp,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phần,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phần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vốn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góp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loại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được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đấu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dựng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luật.</w:t>
            </w:r>
          </w:p>
        </w:tc>
      </w:tr>
      <w:tr w:rsidR="002710C0" w:rsidRPr="002710C0" w14:paraId="0A60045A" w14:textId="77777777" w:rsidTr="00AB3DA2">
        <w:trPr>
          <w:trHeight w:val="20"/>
        </w:trPr>
        <w:tc>
          <w:tcPr>
            <w:tcW w:w="397" w:type="pct"/>
          </w:tcPr>
          <w:p w14:paraId="1CAABE12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73" w:type="pct"/>
          </w:tcPr>
          <w:p w14:paraId="5D4A7561" w14:textId="341F3DF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xây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lãnh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phương</w:t>
            </w:r>
          </w:p>
        </w:tc>
        <w:tc>
          <w:tcPr>
            <w:tcW w:w="2330" w:type="pct"/>
          </w:tcPr>
          <w:p w14:paraId="0C85F6F6" w14:textId="63C30BA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xây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phương.</w:t>
            </w:r>
          </w:p>
        </w:tc>
      </w:tr>
      <w:tr w:rsidR="002710C0" w:rsidRPr="002710C0" w14:paraId="2710A7F2" w14:textId="77777777" w:rsidTr="00AB3DA2">
        <w:trPr>
          <w:trHeight w:val="20"/>
        </w:trPr>
        <w:tc>
          <w:tcPr>
            <w:tcW w:w="397" w:type="pct"/>
          </w:tcPr>
          <w:p w14:paraId="2093A107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73" w:type="pct"/>
          </w:tcPr>
          <w:p w14:paraId="5A954316" w14:textId="24F2D72A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lãnh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phương</w:t>
            </w:r>
          </w:p>
        </w:tc>
        <w:tc>
          <w:tcPr>
            <w:tcW w:w="2330" w:type="pct"/>
          </w:tcPr>
          <w:p w14:paraId="2B3B9004" w14:textId="2C440953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phương.</w:t>
            </w:r>
          </w:p>
        </w:tc>
      </w:tr>
      <w:tr w:rsidR="002710C0" w:rsidRPr="002710C0" w14:paraId="6723DA3E" w14:textId="77777777" w:rsidTr="00AB3DA2">
        <w:trPr>
          <w:trHeight w:val="20"/>
        </w:trPr>
        <w:tc>
          <w:tcPr>
            <w:tcW w:w="397" w:type="pct"/>
          </w:tcPr>
          <w:p w14:paraId="4507B51F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73" w:type="pct"/>
          </w:tcPr>
          <w:p w14:paraId="53BC47AB" w14:textId="59FA2565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lãnh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phương</w:t>
            </w:r>
          </w:p>
        </w:tc>
        <w:tc>
          <w:tcPr>
            <w:tcW w:w="2330" w:type="pct"/>
          </w:tcPr>
          <w:p w14:paraId="79164A0D" w14:textId="2E6109C6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phương.</w:t>
            </w:r>
          </w:p>
        </w:tc>
      </w:tr>
      <w:tr w:rsidR="002710C0" w:rsidRPr="002710C0" w14:paraId="3A479E68" w14:textId="77777777" w:rsidTr="00AB3DA2">
        <w:trPr>
          <w:trHeight w:val="20"/>
        </w:trPr>
        <w:tc>
          <w:tcPr>
            <w:tcW w:w="397" w:type="pct"/>
          </w:tcPr>
          <w:p w14:paraId="657870BC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4603" w:type="pct"/>
            <w:gridSpan w:val="2"/>
          </w:tcPr>
          <w:p w14:paraId="5889D1EF" w14:textId="7159AAE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áp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sinh</w:t>
            </w:r>
          </w:p>
        </w:tc>
      </w:tr>
      <w:tr w:rsidR="002710C0" w:rsidRPr="002710C0" w14:paraId="11983DB3" w14:textId="77777777" w:rsidTr="00AB3DA2">
        <w:trPr>
          <w:trHeight w:val="20"/>
        </w:trPr>
        <w:tc>
          <w:tcPr>
            <w:tcW w:w="397" w:type="pct"/>
          </w:tcPr>
          <w:p w14:paraId="6894DACA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73" w:type="pct"/>
          </w:tcPr>
          <w:p w14:paraId="319A5D83" w14:textId="63650386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sinh</w:t>
            </w:r>
          </w:p>
        </w:tc>
        <w:tc>
          <w:tcPr>
            <w:tcW w:w="2330" w:type="pct"/>
          </w:tcPr>
          <w:p w14:paraId="0A02342C" w14:textId="546CEB08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sinh)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thương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nhánh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ngoài.</w:t>
            </w:r>
          </w:p>
        </w:tc>
      </w:tr>
      <w:tr w:rsidR="002710C0" w:rsidRPr="002710C0" w14:paraId="5DCB6024" w14:textId="77777777" w:rsidTr="00AB3DA2">
        <w:trPr>
          <w:trHeight w:val="20"/>
        </w:trPr>
        <w:tc>
          <w:tcPr>
            <w:tcW w:w="397" w:type="pct"/>
          </w:tcPr>
          <w:p w14:paraId="1883BAF8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273" w:type="pct"/>
          </w:tcPr>
          <w:p w14:paraId="10A885C0" w14:textId="59AA0176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sinh</w:t>
            </w:r>
          </w:p>
        </w:tc>
        <w:tc>
          <w:tcPr>
            <w:tcW w:w="2330" w:type="pct"/>
          </w:tcPr>
          <w:p w14:paraId="2C1FDF6F" w14:textId="0F0FD28F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trì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Nam,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sát,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trì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tuân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nghĩa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luật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dịch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khoán.</w:t>
            </w:r>
          </w:p>
        </w:tc>
      </w:tr>
      <w:tr w:rsidR="002710C0" w:rsidRPr="002710C0" w14:paraId="03AF8D8B" w14:textId="77777777" w:rsidTr="00AB3DA2">
        <w:trPr>
          <w:trHeight w:val="20"/>
        </w:trPr>
        <w:tc>
          <w:tcPr>
            <w:tcW w:w="397" w:type="pct"/>
          </w:tcPr>
          <w:p w14:paraId="274F539F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73" w:type="pct"/>
          </w:tcPr>
          <w:p w14:paraId="2947D367" w14:textId="53680C25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sinh</w:t>
            </w:r>
          </w:p>
        </w:tc>
        <w:tc>
          <w:tcPr>
            <w:tcW w:w="2330" w:type="pct"/>
          </w:tcPr>
          <w:p w14:paraId="4385EBB0" w14:textId="315CC84A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m: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ng.</w:t>
            </w:r>
          </w:p>
        </w:tc>
      </w:tr>
    </w:tbl>
    <w:p w14:paraId="54399AB1" w14:textId="77777777" w:rsidR="002710C0" w:rsidRPr="002710C0" w:rsidRDefault="002710C0" w:rsidP="002710C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0B56086" w14:textId="620FF3D7" w:rsidR="008D7F09" w:rsidRPr="002710C0" w:rsidRDefault="00611422" w:rsidP="003F10E0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B. Đ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 đi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m kinh t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- k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khoán c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công ty Lưu ký và Bù tr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ng khoán Vi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 xml:space="preserve">t Nam (VSDC) và công 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ty con do Nhà nư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0C0">
        <w:rPr>
          <w:rFonts w:ascii="Arial" w:hAnsi="Arial" w:cs="Arial"/>
          <w:b/>
          <w:color w:val="000000" w:themeColor="text1"/>
          <w:sz w:val="20"/>
          <w:szCs w:val="20"/>
        </w:rPr>
        <w:t>nh giá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5"/>
        <w:gridCol w:w="4097"/>
        <w:gridCol w:w="4344"/>
      </w:tblGrid>
      <w:tr w:rsidR="002710C0" w:rsidRPr="002710C0" w14:paraId="288EFAAA" w14:textId="77777777" w:rsidTr="00AB3DA2">
        <w:trPr>
          <w:trHeight w:val="20"/>
        </w:trPr>
        <w:tc>
          <w:tcPr>
            <w:tcW w:w="319" w:type="pct"/>
          </w:tcPr>
          <w:p w14:paraId="6944B112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272" w:type="pct"/>
          </w:tcPr>
          <w:p w14:paraId="0B49F451" w14:textId="460E4673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</w:p>
        </w:tc>
        <w:tc>
          <w:tcPr>
            <w:tcW w:w="2409" w:type="pct"/>
          </w:tcPr>
          <w:p w14:paraId="2F2E9175" w14:textId="07582E84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</w:p>
        </w:tc>
      </w:tr>
      <w:tr w:rsidR="002710C0" w:rsidRPr="002710C0" w14:paraId="1C36D05C" w14:textId="77777777" w:rsidTr="00AB3DA2">
        <w:trPr>
          <w:trHeight w:val="20"/>
        </w:trPr>
        <w:tc>
          <w:tcPr>
            <w:tcW w:w="319" w:type="pct"/>
          </w:tcPr>
          <w:p w14:paraId="10331856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4681" w:type="pct"/>
            <w:gridSpan w:val="2"/>
          </w:tcPr>
          <w:p w14:paraId="13396726" w14:textId="29040C3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áp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</w:p>
        </w:tc>
      </w:tr>
      <w:tr w:rsidR="002710C0" w:rsidRPr="002710C0" w14:paraId="2A87E897" w14:textId="77777777" w:rsidTr="00AB3DA2">
        <w:trPr>
          <w:trHeight w:val="20"/>
        </w:trPr>
        <w:tc>
          <w:tcPr>
            <w:tcW w:w="319" w:type="pct"/>
          </w:tcPr>
          <w:p w14:paraId="7DE40BB2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72" w:type="pct"/>
          </w:tcPr>
          <w:p w14:paraId="30A1A74C" w14:textId="1BF983F5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ký</w:t>
            </w:r>
          </w:p>
        </w:tc>
        <w:tc>
          <w:tcPr>
            <w:tcW w:w="2409" w:type="pct"/>
          </w:tcPr>
          <w:p w14:paraId="449BDD5C" w14:textId="703272C7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trì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sát,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trì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tuân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nghĩa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VSDC.</w:t>
            </w:r>
          </w:p>
        </w:tc>
      </w:tr>
      <w:tr w:rsidR="002710C0" w:rsidRPr="002710C0" w14:paraId="3671ED51" w14:textId="77777777" w:rsidTr="00AB3DA2">
        <w:trPr>
          <w:trHeight w:val="20"/>
        </w:trPr>
        <w:tc>
          <w:tcPr>
            <w:tcW w:w="319" w:type="pct"/>
          </w:tcPr>
          <w:p w14:paraId="3AF2BE59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72" w:type="pct"/>
          </w:tcPr>
          <w:p w14:paraId="0D7D3FD7" w14:textId="6838632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ho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lư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ký</w:t>
            </w:r>
          </w:p>
        </w:tc>
        <w:tc>
          <w:tcPr>
            <w:tcW w:w="2409" w:type="pct"/>
          </w:tcPr>
          <w:p w14:paraId="1906D6FA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7361E677" w14:textId="77777777" w:rsidTr="00AB3DA2">
        <w:trPr>
          <w:trHeight w:val="20"/>
        </w:trPr>
        <w:tc>
          <w:tcPr>
            <w:tcW w:w="319" w:type="pct"/>
          </w:tcPr>
          <w:p w14:paraId="4BAA149E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272" w:type="pct"/>
          </w:tcPr>
          <w:p w14:paraId="56E5C338" w14:textId="6D579DB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2409" w:type="pct"/>
          </w:tcPr>
          <w:p w14:paraId="477F22AB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0CB08A92" w14:textId="77777777" w:rsidTr="00AB3DA2">
        <w:trPr>
          <w:trHeight w:val="20"/>
        </w:trPr>
        <w:tc>
          <w:tcPr>
            <w:tcW w:w="319" w:type="pct"/>
          </w:tcPr>
          <w:p w14:paraId="0DD35619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272" w:type="pct"/>
          </w:tcPr>
          <w:p w14:paraId="7F9AC216" w14:textId="29A1242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2409" w:type="pct"/>
          </w:tcPr>
          <w:p w14:paraId="6F14D15B" w14:textId="1E9794A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khoán)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sau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toàn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dõi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trung.</w:t>
            </w:r>
          </w:p>
        </w:tc>
      </w:tr>
      <w:tr w:rsidR="002710C0" w:rsidRPr="002710C0" w14:paraId="476100BD" w14:textId="77777777" w:rsidTr="00AB3DA2">
        <w:trPr>
          <w:trHeight w:val="20"/>
        </w:trPr>
        <w:tc>
          <w:tcPr>
            <w:tcW w:w="319" w:type="pct"/>
          </w:tcPr>
          <w:p w14:paraId="3C1E854B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272" w:type="pct"/>
          </w:tcPr>
          <w:p w14:paraId="79EC665C" w14:textId="36EFB8B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2409" w:type="pct"/>
          </w:tcPr>
          <w:p w14:paraId="7D1FC8A3" w14:textId="3F1AA55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khoán)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sau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toàn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dõi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trung.</w:t>
            </w:r>
          </w:p>
        </w:tc>
      </w:tr>
      <w:tr w:rsidR="002710C0" w:rsidRPr="002710C0" w14:paraId="4C9EE609" w14:textId="77777777" w:rsidTr="00AB3DA2">
        <w:trPr>
          <w:trHeight w:val="20"/>
        </w:trPr>
        <w:tc>
          <w:tcPr>
            <w:tcW w:w="319" w:type="pct"/>
          </w:tcPr>
          <w:p w14:paraId="6F661F4F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</w:t>
            </w:r>
          </w:p>
        </w:tc>
        <w:tc>
          <w:tcPr>
            <w:tcW w:w="2272" w:type="pct"/>
          </w:tcPr>
          <w:p w14:paraId="1EFF30C5" w14:textId="28D52F7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lên</w:t>
            </w:r>
          </w:p>
        </w:tc>
        <w:tc>
          <w:tcPr>
            <w:tcW w:w="2409" w:type="pct"/>
          </w:tcPr>
          <w:p w14:paraId="3EFEB628" w14:textId="7C0E580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lên,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khoán)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sau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toàn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dõi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trung.</w:t>
            </w:r>
          </w:p>
        </w:tc>
      </w:tr>
      <w:tr w:rsidR="002710C0" w:rsidRPr="002710C0" w14:paraId="61A444D0" w14:textId="77777777" w:rsidTr="00AB3DA2">
        <w:trPr>
          <w:trHeight w:val="20"/>
        </w:trPr>
        <w:tc>
          <w:tcPr>
            <w:tcW w:w="319" w:type="pct"/>
          </w:tcPr>
          <w:p w14:paraId="06EBC861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2272" w:type="pct"/>
          </w:tcPr>
          <w:p w14:paraId="1E72F44D" w14:textId="0ADD6F9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sung,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</w:p>
        </w:tc>
        <w:tc>
          <w:tcPr>
            <w:tcW w:w="2409" w:type="pct"/>
          </w:tcPr>
          <w:p w14:paraId="3B12F741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26D20E1E" w14:textId="77777777" w:rsidTr="00AB3DA2">
        <w:trPr>
          <w:trHeight w:val="20"/>
        </w:trPr>
        <w:tc>
          <w:tcPr>
            <w:tcW w:w="319" w:type="pct"/>
          </w:tcPr>
          <w:p w14:paraId="75F0D559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272" w:type="pct"/>
          </w:tcPr>
          <w:p w14:paraId="3335A5DA" w14:textId="1F90D86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ETF)</w:t>
            </w:r>
          </w:p>
        </w:tc>
        <w:tc>
          <w:tcPr>
            <w:tcW w:w="2409" w:type="pct"/>
          </w:tcPr>
          <w:p w14:paraId="2C28730A" w14:textId="519F58D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sung,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ETF);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tăng/gi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tăng/gi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VSDC.</w:t>
            </w:r>
          </w:p>
        </w:tc>
      </w:tr>
      <w:tr w:rsidR="002710C0" w:rsidRPr="002710C0" w14:paraId="28A36315" w14:textId="77777777" w:rsidTr="00AB3DA2">
        <w:trPr>
          <w:trHeight w:val="20"/>
        </w:trPr>
        <w:tc>
          <w:tcPr>
            <w:tcW w:w="319" w:type="pct"/>
          </w:tcPr>
          <w:p w14:paraId="63745350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272" w:type="pct"/>
          </w:tcPr>
          <w:p w14:paraId="00AD09AB" w14:textId="5014EB2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</w:t>
            </w:r>
          </w:p>
        </w:tc>
        <w:tc>
          <w:tcPr>
            <w:tcW w:w="2409" w:type="pct"/>
          </w:tcPr>
          <w:p w14:paraId="0958A44A" w14:textId="4C9088F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hoặc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hủy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một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phần;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nhận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tăng/giảm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lượng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cấu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tiết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đến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khoản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người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hữu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VSDC.</w:t>
            </w:r>
          </w:p>
        </w:tc>
      </w:tr>
      <w:tr w:rsidR="002710C0" w:rsidRPr="002710C0" w14:paraId="46F1583C" w14:textId="77777777" w:rsidTr="00AB3DA2">
        <w:trPr>
          <w:trHeight w:val="20"/>
        </w:trPr>
        <w:tc>
          <w:tcPr>
            <w:tcW w:w="319" w:type="pct"/>
          </w:tcPr>
          <w:p w14:paraId="69A8F750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272" w:type="pct"/>
          </w:tcPr>
          <w:p w14:paraId="12249F9E" w14:textId="26265A3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409" w:type="pct"/>
          </w:tcPr>
          <w:p w14:paraId="220C24ED" w14:textId="6C1B175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tăng/gi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tăng/gi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VSDC.</w:t>
            </w:r>
          </w:p>
        </w:tc>
      </w:tr>
      <w:tr w:rsidR="002710C0" w:rsidRPr="002710C0" w14:paraId="04C95413" w14:textId="77777777" w:rsidTr="00AB3DA2">
        <w:trPr>
          <w:trHeight w:val="20"/>
        </w:trPr>
        <w:tc>
          <w:tcPr>
            <w:tcW w:w="319" w:type="pct"/>
          </w:tcPr>
          <w:p w14:paraId="33D2E238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72" w:type="pct"/>
          </w:tcPr>
          <w:p w14:paraId="3C3D51D0" w14:textId="7B906F8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Lưu</w:t>
            </w:r>
            <w:r w:rsidR="002710C0"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ký</w:t>
            </w:r>
            <w:r w:rsidR="002710C0"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</w:t>
            </w:r>
            <w:r w:rsidR="002710C0"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khoán</w:t>
            </w:r>
          </w:p>
        </w:tc>
        <w:tc>
          <w:tcPr>
            <w:tcW w:w="2409" w:type="pct"/>
          </w:tcPr>
          <w:p w14:paraId="17787FBE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4BFE07B5" w14:textId="77777777" w:rsidTr="00AB3DA2">
        <w:trPr>
          <w:trHeight w:val="20"/>
        </w:trPr>
        <w:tc>
          <w:tcPr>
            <w:tcW w:w="319" w:type="pct"/>
          </w:tcPr>
          <w:p w14:paraId="3AAB0B49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272" w:type="pct"/>
          </w:tcPr>
          <w:p w14:paraId="4EDCB3B4" w14:textId="133D36D8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409" w:type="pct"/>
          </w:tcPr>
          <w:p w14:paraId="03E6E579" w14:textId="396B6C3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yêu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ký.</w:t>
            </w:r>
          </w:p>
        </w:tc>
      </w:tr>
      <w:tr w:rsidR="002710C0" w:rsidRPr="002710C0" w14:paraId="3D624555" w14:textId="77777777" w:rsidTr="00AB3DA2">
        <w:trPr>
          <w:trHeight w:val="20"/>
        </w:trPr>
        <w:tc>
          <w:tcPr>
            <w:tcW w:w="319" w:type="pct"/>
          </w:tcPr>
          <w:p w14:paraId="6B7A7FCC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272" w:type="pct"/>
          </w:tcPr>
          <w:p w14:paraId="5585952B" w14:textId="585DCA3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2409" w:type="pct"/>
          </w:tcPr>
          <w:p w14:paraId="00B8675F" w14:textId="1F5E81E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yêu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ký.</w:t>
            </w:r>
          </w:p>
        </w:tc>
      </w:tr>
      <w:tr w:rsidR="002710C0" w:rsidRPr="002710C0" w14:paraId="52E169D3" w14:textId="77777777" w:rsidTr="00AB3DA2">
        <w:trPr>
          <w:trHeight w:val="20"/>
        </w:trPr>
        <w:tc>
          <w:tcPr>
            <w:tcW w:w="319" w:type="pct"/>
          </w:tcPr>
          <w:p w14:paraId="7E0AB2F4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</w:t>
            </w:r>
          </w:p>
        </w:tc>
        <w:tc>
          <w:tcPr>
            <w:tcW w:w="2272" w:type="pct"/>
          </w:tcPr>
          <w:p w14:paraId="7B804794" w14:textId="00A3C6EF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</w:p>
        </w:tc>
        <w:tc>
          <w:tcPr>
            <w:tcW w:w="2409" w:type="pct"/>
          </w:tcPr>
          <w:p w14:paraId="0346EC3C" w14:textId="46079248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yêu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ký.</w:t>
            </w:r>
          </w:p>
        </w:tc>
      </w:tr>
      <w:tr w:rsidR="002710C0" w:rsidRPr="002710C0" w14:paraId="669FF861" w14:textId="77777777" w:rsidTr="00AB3DA2">
        <w:trPr>
          <w:trHeight w:val="20"/>
        </w:trPr>
        <w:tc>
          <w:tcPr>
            <w:tcW w:w="319" w:type="pct"/>
          </w:tcPr>
          <w:p w14:paraId="2CA5AE0E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72" w:type="pct"/>
          </w:tcPr>
          <w:p w14:paraId="6B1316DD" w14:textId="49052196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</w:p>
        </w:tc>
        <w:tc>
          <w:tcPr>
            <w:tcW w:w="2409" w:type="pct"/>
          </w:tcPr>
          <w:p w14:paraId="56611CF0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792B8988" w14:textId="77777777" w:rsidTr="00AB3DA2">
        <w:trPr>
          <w:trHeight w:val="20"/>
        </w:trPr>
        <w:tc>
          <w:tcPr>
            <w:tcW w:w="319" w:type="pct"/>
          </w:tcPr>
          <w:p w14:paraId="22088F3C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2272" w:type="pct"/>
          </w:tcPr>
          <w:p w14:paraId="3D6BBD26" w14:textId="3FC68B35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nhau</w:t>
            </w:r>
          </w:p>
        </w:tc>
        <w:tc>
          <w:tcPr>
            <w:tcW w:w="2409" w:type="pct"/>
          </w:tcPr>
          <w:p w14:paraId="6944382A" w14:textId="772E1D0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n)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này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sang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yêu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ký.</w:t>
            </w:r>
          </w:p>
        </w:tc>
      </w:tr>
      <w:tr w:rsidR="002710C0" w:rsidRPr="002710C0" w14:paraId="6016265C" w14:textId="77777777" w:rsidTr="00AB3DA2">
        <w:trPr>
          <w:trHeight w:val="20"/>
        </w:trPr>
        <w:tc>
          <w:tcPr>
            <w:tcW w:w="319" w:type="pct"/>
          </w:tcPr>
          <w:p w14:paraId="1648244A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2272" w:type="pct"/>
          </w:tcPr>
          <w:p w14:paraId="68A4E45A" w14:textId="76EC2F9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</w:p>
        </w:tc>
        <w:tc>
          <w:tcPr>
            <w:tcW w:w="2409" w:type="pct"/>
          </w:tcPr>
          <w:p w14:paraId="18D936C0" w14:textId="5D5A04A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sang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nghĩa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khoán.</w:t>
            </w:r>
          </w:p>
        </w:tc>
      </w:tr>
      <w:tr w:rsidR="002710C0" w:rsidRPr="002710C0" w14:paraId="24DF8B97" w14:textId="77777777" w:rsidTr="00AB3DA2">
        <w:trPr>
          <w:trHeight w:val="20"/>
        </w:trPr>
        <w:tc>
          <w:tcPr>
            <w:tcW w:w="319" w:type="pct"/>
          </w:tcPr>
          <w:p w14:paraId="4CCA839E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72" w:type="pct"/>
          </w:tcPr>
          <w:p w14:paraId="10282955" w14:textId="45C2824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2710C0"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2710C0"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09" w:type="pct"/>
          </w:tcPr>
          <w:p w14:paraId="6FC648B0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554BF344" w14:textId="77777777" w:rsidTr="00AB3DA2">
        <w:trPr>
          <w:trHeight w:val="20"/>
        </w:trPr>
        <w:tc>
          <w:tcPr>
            <w:tcW w:w="319" w:type="pct"/>
          </w:tcPr>
          <w:p w14:paraId="2EFAD8E1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272" w:type="pct"/>
          </w:tcPr>
          <w:p w14:paraId="685EEBFA" w14:textId="09A4E3F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</w:p>
        </w:tc>
        <w:tc>
          <w:tcPr>
            <w:tcW w:w="2409" w:type="pct"/>
          </w:tcPr>
          <w:p w14:paraId="1C8FD786" w14:textId="0CC6897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cùng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người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hữu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được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hưởng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quyền,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phối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hợp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với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lập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người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hữu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được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hưởng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quyền.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Thực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hiện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quyền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người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hữu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người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hữu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được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hưởng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quyền.</w:t>
            </w:r>
          </w:p>
        </w:tc>
      </w:tr>
      <w:tr w:rsidR="002710C0" w:rsidRPr="002710C0" w14:paraId="095F994B" w14:textId="77777777" w:rsidTr="00AB3DA2">
        <w:trPr>
          <w:trHeight w:val="20"/>
        </w:trPr>
        <w:tc>
          <w:tcPr>
            <w:tcW w:w="319" w:type="pct"/>
          </w:tcPr>
          <w:p w14:paraId="6A80D1EB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272" w:type="pct"/>
          </w:tcPr>
          <w:p w14:paraId="4A6D6227" w14:textId="128D602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1.000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</w:p>
        </w:tc>
        <w:tc>
          <w:tcPr>
            <w:tcW w:w="2409" w:type="pct"/>
          </w:tcPr>
          <w:p w14:paraId="615B5F30" w14:textId="5C448883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1.000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cùng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n.</w:t>
            </w:r>
          </w:p>
        </w:tc>
      </w:tr>
      <w:tr w:rsidR="002710C0" w:rsidRPr="002710C0" w14:paraId="1C51B2E8" w14:textId="77777777" w:rsidTr="00AB3DA2">
        <w:trPr>
          <w:trHeight w:val="20"/>
        </w:trPr>
        <w:tc>
          <w:tcPr>
            <w:tcW w:w="319" w:type="pct"/>
          </w:tcPr>
          <w:p w14:paraId="33889874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272" w:type="pct"/>
          </w:tcPr>
          <w:p w14:paraId="1A4D7B8D" w14:textId="3F213DF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1.000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5.000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</w:p>
        </w:tc>
        <w:tc>
          <w:tcPr>
            <w:tcW w:w="2409" w:type="pct"/>
          </w:tcPr>
          <w:p w14:paraId="298988CC" w14:textId="761C4AE5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1.000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5.000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cùng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n.</w:t>
            </w:r>
          </w:p>
        </w:tc>
      </w:tr>
      <w:tr w:rsidR="002710C0" w:rsidRPr="002710C0" w14:paraId="00361B5D" w14:textId="77777777" w:rsidTr="00AB3DA2">
        <w:trPr>
          <w:trHeight w:val="20"/>
        </w:trPr>
        <w:tc>
          <w:tcPr>
            <w:tcW w:w="319" w:type="pct"/>
          </w:tcPr>
          <w:p w14:paraId="05493BFC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2272" w:type="pct"/>
          </w:tcPr>
          <w:p w14:paraId="658EF3E2" w14:textId="6CD9AAE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5.000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</w:p>
        </w:tc>
        <w:tc>
          <w:tcPr>
            <w:tcW w:w="2409" w:type="pct"/>
          </w:tcPr>
          <w:p w14:paraId="382F0DED" w14:textId="41537D23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5.000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cùng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n.</w:t>
            </w:r>
          </w:p>
        </w:tc>
      </w:tr>
      <w:tr w:rsidR="002710C0" w:rsidRPr="002710C0" w14:paraId="6EF12293" w14:textId="77777777" w:rsidTr="00AB3DA2">
        <w:trPr>
          <w:trHeight w:val="20"/>
        </w:trPr>
        <w:tc>
          <w:tcPr>
            <w:tcW w:w="319" w:type="pct"/>
          </w:tcPr>
          <w:p w14:paraId="36C45F3B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2272" w:type="pct"/>
          </w:tcPr>
          <w:p w14:paraId="268626DD" w14:textId="5FD1585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ử</w:t>
            </w:r>
            <w:r w:rsidR="002710C0"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lý</w:t>
            </w:r>
            <w:r w:rsidR="002710C0"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ỗ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2710C0"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sau</w:t>
            </w:r>
            <w:r w:rsidR="002710C0"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giao</w:t>
            </w:r>
            <w:r w:rsidR="002710C0"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2409" w:type="pct"/>
          </w:tcPr>
          <w:p w14:paraId="038DB8A4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153B3F5D" w14:textId="77777777" w:rsidTr="00AB3DA2">
        <w:trPr>
          <w:trHeight w:val="20"/>
        </w:trPr>
        <w:tc>
          <w:tcPr>
            <w:tcW w:w="319" w:type="pct"/>
          </w:tcPr>
          <w:p w14:paraId="33C847AE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272" w:type="pct"/>
          </w:tcPr>
          <w:p w14:paraId="2572B5CE" w14:textId="4D397F3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sau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2409" w:type="pct"/>
          </w:tcPr>
          <w:p w14:paraId="3CB56046" w14:textId="33B63E3A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710C0" w:rsidRPr="002710C0" w14:paraId="17E40CE2" w14:textId="77777777" w:rsidTr="00AB3DA2">
        <w:trPr>
          <w:trHeight w:val="20"/>
        </w:trPr>
        <w:tc>
          <w:tcPr>
            <w:tcW w:w="319" w:type="pct"/>
          </w:tcPr>
          <w:p w14:paraId="1CFA95C6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272" w:type="pct"/>
          </w:tcPr>
          <w:p w14:paraId="54508F3E" w14:textId="05F8F4E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lùi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</w:p>
        </w:tc>
        <w:tc>
          <w:tcPr>
            <w:tcW w:w="2409" w:type="pct"/>
          </w:tcPr>
          <w:p w14:paraId="31940DD9" w14:textId="7DD716D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lùi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điều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chỉnh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thức,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thời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định.</w:t>
            </w:r>
          </w:p>
        </w:tc>
      </w:tr>
      <w:tr w:rsidR="002710C0" w:rsidRPr="002710C0" w14:paraId="430184B5" w14:textId="77777777" w:rsidTr="00AB3DA2">
        <w:trPr>
          <w:trHeight w:val="20"/>
        </w:trPr>
        <w:tc>
          <w:tcPr>
            <w:tcW w:w="319" w:type="pct"/>
          </w:tcPr>
          <w:p w14:paraId="064A8CB7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272" w:type="pct"/>
          </w:tcPr>
          <w:p w14:paraId="750501CC" w14:textId="3FFAF87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</w:p>
        </w:tc>
        <w:tc>
          <w:tcPr>
            <w:tcW w:w="2409" w:type="pct"/>
          </w:tcPr>
          <w:p w14:paraId="5C22ED96" w14:textId="1D4AC3B5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đúng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ch.</w:t>
            </w:r>
          </w:p>
        </w:tc>
      </w:tr>
      <w:tr w:rsidR="002710C0" w:rsidRPr="002710C0" w14:paraId="48A23F38" w14:textId="77777777" w:rsidTr="00AB3DA2">
        <w:trPr>
          <w:trHeight w:val="20"/>
        </w:trPr>
        <w:tc>
          <w:tcPr>
            <w:tcW w:w="319" w:type="pct"/>
          </w:tcPr>
          <w:p w14:paraId="2C4CFF34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2272" w:type="pct"/>
          </w:tcPr>
          <w:p w14:paraId="20E73380" w14:textId="3990E753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09" w:type="pct"/>
          </w:tcPr>
          <w:p w14:paraId="60AF8586" w14:textId="086168B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sang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vì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khoán.</w:t>
            </w:r>
          </w:p>
        </w:tc>
      </w:tr>
      <w:tr w:rsidR="002710C0" w:rsidRPr="002710C0" w14:paraId="44F54FCE" w14:textId="77777777" w:rsidTr="00AB3DA2">
        <w:trPr>
          <w:trHeight w:val="20"/>
        </w:trPr>
        <w:tc>
          <w:tcPr>
            <w:tcW w:w="319" w:type="pct"/>
          </w:tcPr>
          <w:p w14:paraId="13602382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72" w:type="pct"/>
          </w:tcPr>
          <w:p w14:paraId="6A3EF5BC" w14:textId="4AD0B47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ngoài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</w:p>
        </w:tc>
        <w:tc>
          <w:tcPr>
            <w:tcW w:w="2409" w:type="pct"/>
          </w:tcPr>
          <w:p w14:paraId="0C662064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507657E0" w14:textId="77777777" w:rsidTr="00AB3DA2">
        <w:trPr>
          <w:trHeight w:val="20"/>
        </w:trPr>
        <w:tc>
          <w:tcPr>
            <w:tcW w:w="319" w:type="pct"/>
          </w:tcPr>
          <w:p w14:paraId="12036383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7.1</w:t>
            </w:r>
          </w:p>
        </w:tc>
        <w:tc>
          <w:tcPr>
            <w:tcW w:w="2272" w:type="pct"/>
          </w:tcPr>
          <w:p w14:paraId="270D4B9E" w14:textId="38DAF3F3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409" w:type="pct"/>
          </w:tcPr>
          <w:p w14:paraId="441ABAA0" w14:textId="231CD79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quan.</w:t>
            </w:r>
          </w:p>
        </w:tc>
      </w:tr>
      <w:tr w:rsidR="002710C0" w:rsidRPr="002710C0" w14:paraId="7845C4FA" w14:textId="77777777" w:rsidTr="00AB3DA2">
        <w:trPr>
          <w:trHeight w:val="20"/>
        </w:trPr>
        <w:tc>
          <w:tcPr>
            <w:tcW w:w="319" w:type="pct"/>
          </w:tcPr>
          <w:p w14:paraId="67161EB7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7.2</w:t>
            </w:r>
          </w:p>
        </w:tc>
        <w:tc>
          <w:tcPr>
            <w:tcW w:w="2272" w:type="pct"/>
          </w:tcPr>
          <w:p w14:paraId="56A5335D" w14:textId="2F1EE92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09" w:type="pct"/>
          </w:tcPr>
          <w:p w14:paraId="1AB04B4F" w14:textId="662DFED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D3B7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quan.</w:t>
            </w:r>
          </w:p>
        </w:tc>
      </w:tr>
      <w:tr w:rsidR="002710C0" w:rsidRPr="002710C0" w14:paraId="42BC5E8E" w14:textId="77777777" w:rsidTr="00AB3DA2">
        <w:trPr>
          <w:trHeight w:val="20"/>
        </w:trPr>
        <w:tc>
          <w:tcPr>
            <w:tcW w:w="319" w:type="pct"/>
          </w:tcPr>
          <w:p w14:paraId="27A29C43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7.3</w:t>
            </w:r>
          </w:p>
        </w:tc>
        <w:tc>
          <w:tcPr>
            <w:tcW w:w="2272" w:type="pct"/>
          </w:tcPr>
          <w:p w14:paraId="2451907B" w14:textId="3C633DA8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riêng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ẻ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nhưng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</w:p>
        </w:tc>
        <w:tc>
          <w:tcPr>
            <w:tcW w:w="2409" w:type="pct"/>
          </w:tcPr>
          <w:p w14:paraId="682085DD" w14:textId="79AAF7A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riêng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ẻ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nhưng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D3B7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quan.</w:t>
            </w:r>
          </w:p>
        </w:tc>
      </w:tr>
      <w:tr w:rsidR="002710C0" w:rsidRPr="002710C0" w14:paraId="79287D5A" w14:textId="77777777" w:rsidTr="00AB3DA2">
        <w:trPr>
          <w:trHeight w:val="20"/>
        </w:trPr>
        <w:tc>
          <w:tcPr>
            <w:tcW w:w="319" w:type="pct"/>
          </w:tcPr>
          <w:p w14:paraId="4F843D4F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7.4</w:t>
            </w:r>
          </w:p>
        </w:tc>
        <w:tc>
          <w:tcPr>
            <w:tcW w:w="2272" w:type="pct"/>
          </w:tcPr>
          <w:p w14:paraId="1F30E3BB" w14:textId="17BD569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chia,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tách,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góp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chấp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thuận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đối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với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chia,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tách,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hợp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nhất,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nhập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nghiệp,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góp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vốn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bằng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phần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nghiệp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được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lập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ngoài);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lập,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vốn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điều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đầu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riêng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lẻ;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tăng,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giảm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vốn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điều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</w:p>
        </w:tc>
        <w:tc>
          <w:tcPr>
            <w:tcW w:w="2409" w:type="pct"/>
          </w:tcPr>
          <w:p w14:paraId="319D4338" w14:textId="3F4F901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chia,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tách,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góp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thuận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đối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với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chia,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tách,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hợp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nhất,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nhập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nghiệp,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góp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vốn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bằng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phần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nghiệp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được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lập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ngoài);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lập,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vốn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điều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đầu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riêng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lẻ;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tăng,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giảm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vốn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điều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hợp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nhận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hữu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quyền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hữu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D3B7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người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hữu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hợp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quản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quan.</w:t>
            </w:r>
          </w:p>
        </w:tc>
      </w:tr>
      <w:tr w:rsidR="002710C0" w:rsidRPr="002710C0" w14:paraId="2E60ECD1" w14:textId="77777777" w:rsidTr="00AB3DA2">
        <w:trPr>
          <w:trHeight w:val="20"/>
        </w:trPr>
        <w:tc>
          <w:tcPr>
            <w:tcW w:w="319" w:type="pct"/>
          </w:tcPr>
          <w:p w14:paraId="0BA6F898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7.5</w:t>
            </w:r>
          </w:p>
        </w:tc>
        <w:tc>
          <w:tcPr>
            <w:tcW w:w="2272" w:type="pct"/>
          </w:tcPr>
          <w:p w14:paraId="1F9B879B" w14:textId="519BBF4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</w:p>
        </w:tc>
        <w:tc>
          <w:tcPr>
            <w:tcW w:w="2409" w:type="pct"/>
          </w:tcPr>
          <w:p w14:paraId="2CAE1B7A" w14:textId="53F81F85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D3B7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quan.</w:t>
            </w:r>
          </w:p>
        </w:tc>
      </w:tr>
      <w:tr w:rsidR="002710C0" w:rsidRPr="002710C0" w14:paraId="0FAFE4C6" w14:textId="77777777" w:rsidTr="00AB3DA2">
        <w:trPr>
          <w:trHeight w:val="20"/>
        </w:trPr>
        <w:tc>
          <w:tcPr>
            <w:tcW w:w="319" w:type="pct"/>
          </w:tcPr>
          <w:p w14:paraId="5769CB11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7.6</w:t>
            </w:r>
          </w:p>
        </w:tc>
        <w:tc>
          <w:tcPr>
            <w:tcW w:w="2272" w:type="pct"/>
          </w:tcPr>
          <w:p w14:paraId="10A02D69" w14:textId="56A3A976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</w:p>
        </w:tc>
        <w:tc>
          <w:tcPr>
            <w:tcW w:w="2409" w:type="pct"/>
          </w:tcPr>
          <w:p w14:paraId="6BFACDA3" w14:textId="37C026B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quan.</w:t>
            </w:r>
          </w:p>
        </w:tc>
      </w:tr>
      <w:tr w:rsidR="002710C0" w:rsidRPr="002710C0" w14:paraId="30FE4724" w14:textId="77777777" w:rsidTr="00AB3DA2">
        <w:trPr>
          <w:trHeight w:val="20"/>
        </w:trPr>
        <w:tc>
          <w:tcPr>
            <w:tcW w:w="319" w:type="pct"/>
          </w:tcPr>
          <w:p w14:paraId="69E82B76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7.7</w:t>
            </w:r>
          </w:p>
        </w:tc>
        <w:tc>
          <w:tcPr>
            <w:tcW w:w="2272" w:type="pct"/>
          </w:tcPr>
          <w:p w14:paraId="0AD83C2A" w14:textId="5BF4E84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chào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khai</w:t>
            </w:r>
          </w:p>
        </w:tc>
        <w:tc>
          <w:tcPr>
            <w:tcW w:w="2409" w:type="pct"/>
          </w:tcPr>
          <w:p w14:paraId="2488D91F" w14:textId="2B818C8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chào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khai.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quan.</w:t>
            </w:r>
          </w:p>
        </w:tc>
      </w:tr>
      <w:tr w:rsidR="002710C0" w:rsidRPr="002710C0" w14:paraId="5523B242" w14:textId="77777777" w:rsidTr="00AB3DA2">
        <w:trPr>
          <w:trHeight w:val="20"/>
        </w:trPr>
        <w:tc>
          <w:tcPr>
            <w:tcW w:w="319" w:type="pct"/>
          </w:tcPr>
          <w:p w14:paraId="25FBF17E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7.8</w:t>
            </w:r>
          </w:p>
        </w:tc>
        <w:tc>
          <w:tcPr>
            <w:tcW w:w="2272" w:type="pct"/>
          </w:tcPr>
          <w:p w14:paraId="4D6C3834" w14:textId="08E8845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409" w:type="pct"/>
          </w:tcPr>
          <w:p w14:paraId="4BB4FD07" w14:textId="16F6A96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sơ/giao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ETF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tư.</w:t>
            </w:r>
          </w:p>
          <w:p w14:paraId="795BE316" w14:textId="506261B1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sơ/giao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(trong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hiện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quyền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bảo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đảm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thức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sở).</w:t>
            </w:r>
          </w:p>
        </w:tc>
      </w:tr>
      <w:tr w:rsidR="002710C0" w:rsidRPr="002710C0" w14:paraId="59A9858F" w14:textId="77777777" w:rsidTr="00AB3DA2">
        <w:trPr>
          <w:trHeight w:val="20"/>
        </w:trPr>
        <w:tc>
          <w:tcPr>
            <w:tcW w:w="319" w:type="pct"/>
          </w:tcPr>
          <w:p w14:paraId="6D2628CE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7.9</w:t>
            </w:r>
          </w:p>
        </w:tc>
        <w:tc>
          <w:tcPr>
            <w:tcW w:w="2272" w:type="pct"/>
          </w:tcPr>
          <w:p w14:paraId="6BF85820" w14:textId="6F64062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ngoài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nhau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ngoài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</w:p>
        </w:tc>
        <w:tc>
          <w:tcPr>
            <w:tcW w:w="2409" w:type="pct"/>
          </w:tcPr>
          <w:p w14:paraId="3159B60B" w14:textId="13B7942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ngoài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nhau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ngoài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D3B7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quan.</w:t>
            </w:r>
          </w:p>
        </w:tc>
      </w:tr>
      <w:tr w:rsidR="002710C0" w:rsidRPr="002710C0" w14:paraId="647EB0DA" w14:textId="77777777" w:rsidTr="00AB3DA2">
        <w:trPr>
          <w:trHeight w:val="20"/>
        </w:trPr>
        <w:tc>
          <w:tcPr>
            <w:tcW w:w="319" w:type="pct"/>
          </w:tcPr>
          <w:p w14:paraId="57759651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7.10</w:t>
            </w:r>
          </w:p>
        </w:tc>
        <w:tc>
          <w:tcPr>
            <w:tcW w:w="2272" w:type="pct"/>
          </w:tcPr>
          <w:p w14:paraId="55147352" w14:textId="429A1715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ngoài</w:t>
            </w:r>
          </w:p>
        </w:tc>
        <w:tc>
          <w:tcPr>
            <w:tcW w:w="2409" w:type="pct"/>
          </w:tcPr>
          <w:p w14:paraId="0C98FF16" w14:textId="46830DA1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ngoài.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D3B7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quan.</w:t>
            </w:r>
          </w:p>
        </w:tc>
      </w:tr>
      <w:tr w:rsidR="002710C0" w:rsidRPr="002710C0" w14:paraId="62B9A175" w14:textId="77777777" w:rsidTr="00AB3DA2">
        <w:trPr>
          <w:trHeight w:val="20"/>
        </w:trPr>
        <w:tc>
          <w:tcPr>
            <w:tcW w:w="319" w:type="pct"/>
          </w:tcPr>
          <w:p w14:paraId="6B538E6F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7.11</w:t>
            </w:r>
          </w:p>
        </w:tc>
        <w:tc>
          <w:tcPr>
            <w:tcW w:w="2272" w:type="pct"/>
          </w:tcPr>
          <w:p w14:paraId="7F8C2019" w14:textId="09D0D317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dùng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riêng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ẻ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đúng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409" w:type="pct"/>
          </w:tcPr>
          <w:p w14:paraId="3DB84EF3" w14:textId="471698AF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dùng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riêng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ẻ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đúng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n.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D3B7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quan.</w:t>
            </w:r>
          </w:p>
        </w:tc>
      </w:tr>
      <w:tr w:rsidR="002710C0" w:rsidRPr="002710C0" w14:paraId="132FA55B" w14:textId="77777777" w:rsidTr="00AB3DA2">
        <w:trPr>
          <w:trHeight w:val="20"/>
        </w:trPr>
        <w:tc>
          <w:tcPr>
            <w:tcW w:w="319" w:type="pct"/>
          </w:tcPr>
          <w:p w14:paraId="0673F5E6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72" w:type="pct"/>
          </w:tcPr>
          <w:p w14:paraId="29AD3DB7" w14:textId="1102EF0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Vay,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VSDC</w:t>
            </w:r>
          </w:p>
        </w:tc>
        <w:tc>
          <w:tcPr>
            <w:tcW w:w="2409" w:type="pct"/>
          </w:tcPr>
          <w:p w14:paraId="7625620E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2C1849AF" w14:textId="77777777" w:rsidTr="00AB3DA2">
        <w:trPr>
          <w:trHeight w:val="20"/>
        </w:trPr>
        <w:tc>
          <w:tcPr>
            <w:tcW w:w="319" w:type="pct"/>
          </w:tcPr>
          <w:p w14:paraId="25E747B0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2272" w:type="pct"/>
          </w:tcPr>
          <w:p w14:paraId="34B5E42F" w14:textId="287D98F8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</w:p>
        </w:tc>
        <w:tc>
          <w:tcPr>
            <w:tcW w:w="2409" w:type="pct"/>
          </w:tcPr>
          <w:p w14:paraId="40FFB039" w14:textId="4EDD2B86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dõi,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(xác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toán,...).</w:t>
            </w:r>
          </w:p>
        </w:tc>
      </w:tr>
      <w:tr w:rsidR="002710C0" w:rsidRPr="002710C0" w14:paraId="209BAC7E" w14:textId="77777777" w:rsidTr="00AB3DA2">
        <w:trPr>
          <w:trHeight w:val="20"/>
        </w:trPr>
        <w:tc>
          <w:tcPr>
            <w:tcW w:w="319" w:type="pct"/>
          </w:tcPr>
          <w:p w14:paraId="3ACF8349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8.2</w:t>
            </w:r>
          </w:p>
        </w:tc>
        <w:tc>
          <w:tcPr>
            <w:tcW w:w="2272" w:type="pct"/>
          </w:tcPr>
          <w:p w14:paraId="45EC50A6" w14:textId="0AE276DA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409" w:type="pct"/>
          </w:tcPr>
          <w:p w14:paraId="15DED4F0" w14:textId="0243A4F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dõi,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(phong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sung/thay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/rút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m,...).</w:t>
            </w:r>
          </w:p>
        </w:tc>
      </w:tr>
      <w:tr w:rsidR="002710C0" w:rsidRPr="002710C0" w14:paraId="3CBBE7C9" w14:textId="77777777" w:rsidTr="00AB3DA2">
        <w:trPr>
          <w:trHeight w:val="20"/>
        </w:trPr>
        <w:tc>
          <w:tcPr>
            <w:tcW w:w="319" w:type="pct"/>
          </w:tcPr>
          <w:p w14:paraId="0F35252F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72" w:type="pct"/>
          </w:tcPr>
          <w:p w14:paraId="04E03386" w14:textId="7DFDD2BC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lãi,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xây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lãnh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phương</w:t>
            </w:r>
          </w:p>
        </w:tc>
        <w:tc>
          <w:tcPr>
            <w:tcW w:w="2409" w:type="pct"/>
          </w:tcPr>
          <w:p w14:paraId="28255F0B" w14:textId="0E6D9C9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lãi,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xây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xây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phương.</w:t>
            </w:r>
          </w:p>
        </w:tc>
      </w:tr>
      <w:tr w:rsidR="002710C0" w:rsidRPr="002710C0" w14:paraId="57E70533" w14:textId="77777777" w:rsidTr="00AB3DA2">
        <w:trPr>
          <w:trHeight w:val="20"/>
        </w:trPr>
        <w:tc>
          <w:tcPr>
            <w:tcW w:w="319" w:type="pct"/>
          </w:tcPr>
          <w:p w14:paraId="0FB7EC1B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72" w:type="pct"/>
          </w:tcPr>
          <w:p w14:paraId="1DE9725F" w14:textId="07ADED5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lãi,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tín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2409" w:type="pct"/>
          </w:tcPr>
          <w:p w14:paraId="1FD56095" w14:textId="632F44D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lãi,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tín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c.</w:t>
            </w:r>
          </w:p>
        </w:tc>
      </w:tr>
      <w:tr w:rsidR="002710C0" w:rsidRPr="002710C0" w14:paraId="4E130FFE" w14:textId="77777777" w:rsidTr="00AB3DA2">
        <w:trPr>
          <w:trHeight w:val="20"/>
        </w:trPr>
        <w:tc>
          <w:tcPr>
            <w:tcW w:w="319" w:type="pct"/>
          </w:tcPr>
          <w:p w14:paraId="54BF63E5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72" w:type="pct"/>
          </w:tcPr>
          <w:p w14:paraId="4D683762" w14:textId="0CFC3CEE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bi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VSDC</w:t>
            </w:r>
          </w:p>
        </w:tc>
        <w:tc>
          <w:tcPr>
            <w:tcW w:w="2409" w:type="pct"/>
          </w:tcPr>
          <w:p w14:paraId="322199B9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6AE6C70B" w14:textId="77777777" w:rsidTr="00AB3DA2">
        <w:trPr>
          <w:trHeight w:val="20"/>
        </w:trPr>
        <w:tc>
          <w:tcPr>
            <w:tcW w:w="319" w:type="pct"/>
          </w:tcPr>
          <w:p w14:paraId="4C596F8B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11.1</w:t>
            </w:r>
          </w:p>
        </w:tc>
        <w:tc>
          <w:tcPr>
            <w:tcW w:w="2272" w:type="pct"/>
          </w:tcPr>
          <w:p w14:paraId="1E191365" w14:textId="44C8402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409" w:type="pct"/>
          </w:tcPr>
          <w:p w14:paraId="4309D2BF" w14:textId="77777777" w:rsidR="008D7F09" w:rsidRPr="002710C0" w:rsidRDefault="008D7F09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710C0" w:rsidRPr="002710C0" w14:paraId="73D758C2" w14:textId="77777777" w:rsidTr="00AB3DA2">
        <w:trPr>
          <w:trHeight w:val="20"/>
        </w:trPr>
        <w:tc>
          <w:tcPr>
            <w:tcW w:w="319" w:type="pct"/>
          </w:tcPr>
          <w:p w14:paraId="326EF326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272" w:type="pct"/>
          </w:tcPr>
          <w:p w14:paraId="6572BFE9" w14:textId="79C5E818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</w:p>
        </w:tc>
        <w:tc>
          <w:tcPr>
            <w:tcW w:w="2409" w:type="pct"/>
          </w:tcPr>
          <w:p w14:paraId="7E3935F1" w14:textId="2F64C4E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dùng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m.</w:t>
            </w:r>
          </w:p>
        </w:tc>
      </w:tr>
      <w:tr w:rsidR="002710C0" w:rsidRPr="002710C0" w14:paraId="0A37BDD7" w14:textId="77777777" w:rsidTr="00AB3DA2">
        <w:trPr>
          <w:trHeight w:val="20"/>
        </w:trPr>
        <w:tc>
          <w:tcPr>
            <w:tcW w:w="319" w:type="pct"/>
          </w:tcPr>
          <w:p w14:paraId="2774EE35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272" w:type="pct"/>
          </w:tcPr>
          <w:p w14:paraId="4BE3381A" w14:textId="2E05E751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</w:p>
        </w:tc>
        <w:tc>
          <w:tcPr>
            <w:tcW w:w="2409" w:type="pct"/>
          </w:tcPr>
          <w:p w14:paraId="66EC16E8" w14:textId="2E9D75F1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sai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sót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yêu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dùng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có).</w:t>
            </w:r>
          </w:p>
        </w:tc>
      </w:tr>
      <w:tr w:rsidR="002710C0" w:rsidRPr="002710C0" w14:paraId="79A5D10D" w14:textId="77777777" w:rsidTr="00AB3DA2">
        <w:trPr>
          <w:trHeight w:val="20"/>
        </w:trPr>
        <w:tc>
          <w:tcPr>
            <w:tcW w:w="319" w:type="pct"/>
          </w:tcPr>
          <w:p w14:paraId="177AA8BD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</w:t>
            </w:r>
          </w:p>
        </w:tc>
        <w:tc>
          <w:tcPr>
            <w:tcW w:w="2272" w:type="pct"/>
          </w:tcPr>
          <w:p w14:paraId="57A82703" w14:textId="00165187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409" w:type="pct"/>
          </w:tcPr>
          <w:p w14:paraId="68ED7B73" w14:textId="2502EBD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khai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báo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E21697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u.</w:t>
            </w:r>
          </w:p>
        </w:tc>
      </w:tr>
      <w:tr w:rsidR="002710C0" w:rsidRPr="002710C0" w14:paraId="21D10CF2" w14:textId="77777777" w:rsidTr="00AB3DA2">
        <w:trPr>
          <w:trHeight w:val="20"/>
        </w:trPr>
        <w:tc>
          <w:tcPr>
            <w:tcW w:w="319" w:type="pct"/>
          </w:tcPr>
          <w:p w14:paraId="6951DD9A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2272" w:type="pct"/>
          </w:tcPr>
          <w:p w14:paraId="04AF3CC8" w14:textId="16F0410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Xóa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409" w:type="pct"/>
          </w:tcPr>
          <w:p w14:paraId="51BB8458" w14:textId="50EC5822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xóa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yêu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dùng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m.</w:t>
            </w:r>
          </w:p>
        </w:tc>
      </w:tr>
      <w:tr w:rsidR="002710C0" w:rsidRPr="002710C0" w14:paraId="165E9E1B" w14:textId="77777777" w:rsidTr="00AB3DA2">
        <w:trPr>
          <w:trHeight w:val="20"/>
        </w:trPr>
        <w:tc>
          <w:tcPr>
            <w:tcW w:w="319" w:type="pct"/>
          </w:tcPr>
          <w:p w14:paraId="6BEA65BF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</w:p>
        </w:tc>
        <w:tc>
          <w:tcPr>
            <w:tcW w:w="2272" w:type="pct"/>
          </w:tcPr>
          <w:p w14:paraId="1A4E3551" w14:textId="4EDD6A51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409" w:type="pct"/>
          </w:tcPr>
          <w:p w14:paraId="456031AD" w14:textId="561873C7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yêu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nhân.</w:t>
            </w:r>
          </w:p>
        </w:tc>
      </w:tr>
      <w:tr w:rsidR="002710C0" w:rsidRPr="002710C0" w14:paraId="584BA1AD" w14:textId="77777777" w:rsidTr="00AB3DA2">
        <w:trPr>
          <w:trHeight w:val="20"/>
        </w:trPr>
        <w:tc>
          <w:tcPr>
            <w:tcW w:w="319" w:type="pct"/>
          </w:tcPr>
          <w:p w14:paraId="46E426A2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11.2</w:t>
            </w:r>
          </w:p>
        </w:tc>
        <w:tc>
          <w:tcPr>
            <w:tcW w:w="2272" w:type="pct"/>
          </w:tcPr>
          <w:p w14:paraId="39AAF0DD" w14:textId="4991019F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409" w:type="pct"/>
          </w:tcPr>
          <w:p w14:paraId="6DE72A38" w14:textId="175D6155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Cung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yêu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thẩm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0C0"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quyền.</w:t>
            </w:r>
          </w:p>
        </w:tc>
      </w:tr>
      <w:tr w:rsidR="002710C0" w:rsidRPr="002710C0" w14:paraId="6B585D13" w14:textId="77777777" w:rsidTr="00AB3DA2">
        <w:trPr>
          <w:trHeight w:val="20"/>
        </w:trPr>
        <w:tc>
          <w:tcPr>
            <w:tcW w:w="319" w:type="pct"/>
          </w:tcPr>
          <w:p w14:paraId="2D3DE404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72" w:type="pct"/>
          </w:tcPr>
          <w:p w14:paraId="3A612E61" w14:textId="2A222116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Phong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yêu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</w:p>
        </w:tc>
        <w:tc>
          <w:tcPr>
            <w:tcW w:w="2409" w:type="pct"/>
          </w:tcPr>
          <w:p w14:paraId="3D3D14EB" w14:textId="6D1C7A73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yêu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ỏ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a.</w:t>
            </w:r>
          </w:p>
        </w:tc>
      </w:tr>
      <w:tr w:rsidR="002710C0" w:rsidRPr="002710C0" w14:paraId="45B9596B" w14:textId="77777777" w:rsidTr="00AB3DA2">
        <w:trPr>
          <w:trHeight w:val="20"/>
        </w:trPr>
        <w:tc>
          <w:tcPr>
            <w:tcW w:w="319" w:type="pct"/>
          </w:tcPr>
          <w:p w14:paraId="37F79CB6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72" w:type="pct"/>
          </w:tcPr>
          <w:p w14:paraId="3143C0DE" w14:textId="3A8F0EB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ừ</w:t>
            </w:r>
          </w:p>
        </w:tc>
        <w:tc>
          <w:tcPr>
            <w:tcW w:w="2409" w:type="pct"/>
          </w:tcPr>
          <w:p w14:paraId="0F4ADAD2" w14:textId="27BAE060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thương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nhánh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ngoài.</w:t>
            </w:r>
          </w:p>
        </w:tc>
      </w:tr>
      <w:tr w:rsidR="002710C0" w:rsidRPr="002710C0" w14:paraId="1B75CC2F" w14:textId="77777777" w:rsidTr="00AB3DA2">
        <w:trPr>
          <w:trHeight w:val="20"/>
        </w:trPr>
        <w:tc>
          <w:tcPr>
            <w:tcW w:w="319" w:type="pct"/>
          </w:tcPr>
          <w:p w14:paraId="72A84160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72" w:type="pct"/>
          </w:tcPr>
          <w:p w14:paraId="3BE0E21B" w14:textId="65ACA693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ừ</w:t>
            </w:r>
          </w:p>
        </w:tc>
        <w:tc>
          <w:tcPr>
            <w:tcW w:w="2409" w:type="pct"/>
          </w:tcPr>
          <w:p w14:paraId="3D4F04BE" w14:textId="038B8094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trì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sát,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trì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tuân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nghĩa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VSDC.</w:t>
            </w:r>
          </w:p>
        </w:tc>
      </w:tr>
      <w:tr w:rsidR="002710C0" w:rsidRPr="002710C0" w14:paraId="473A4F52" w14:textId="77777777" w:rsidTr="00AB3DA2">
        <w:trPr>
          <w:trHeight w:val="20"/>
        </w:trPr>
        <w:tc>
          <w:tcPr>
            <w:tcW w:w="319" w:type="pct"/>
          </w:tcPr>
          <w:p w14:paraId="1126F4C7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72" w:type="pct"/>
          </w:tcPr>
          <w:p w14:paraId="1E8937A2" w14:textId="68ED67A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ừ</w:t>
            </w:r>
          </w:p>
        </w:tc>
        <w:tc>
          <w:tcPr>
            <w:tcW w:w="2409" w:type="pct"/>
          </w:tcPr>
          <w:p w14:paraId="11280451" w14:textId="01714E97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nghĩa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khoán.</w:t>
            </w:r>
          </w:p>
        </w:tc>
      </w:tr>
      <w:tr w:rsidR="002710C0" w:rsidRPr="002710C0" w14:paraId="17D0A614" w14:textId="77777777" w:rsidTr="00AB3DA2">
        <w:trPr>
          <w:trHeight w:val="20"/>
        </w:trPr>
        <w:tc>
          <w:tcPr>
            <w:tcW w:w="319" w:type="pct"/>
          </w:tcPr>
          <w:p w14:paraId="2301E9F6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4681" w:type="pct"/>
            <w:gridSpan w:val="2"/>
          </w:tcPr>
          <w:p w14:paraId="1B794ECC" w14:textId="55B684F3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áp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trư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sinh</w:t>
            </w:r>
          </w:p>
        </w:tc>
      </w:tr>
      <w:tr w:rsidR="002710C0" w:rsidRPr="002710C0" w14:paraId="6DF275D1" w14:textId="77777777" w:rsidTr="00AB3DA2">
        <w:trPr>
          <w:trHeight w:val="20"/>
        </w:trPr>
        <w:tc>
          <w:tcPr>
            <w:tcW w:w="319" w:type="pct"/>
          </w:tcPr>
          <w:p w14:paraId="3A80090F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72" w:type="pct"/>
          </w:tcPr>
          <w:p w14:paraId="5CE85C57" w14:textId="3DE255A8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sinh</w:t>
            </w:r>
          </w:p>
        </w:tc>
        <w:tc>
          <w:tcPr>
            <w:tcW w:w="2409" w:type="pct"/>
          </w:tcPr>
          <w:p w14:paraId="592B51EA" w14:textId="664DF56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sơ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thương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nhánh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ngoài.</w:t>
            </w:r>
          </w:p>
        </w:tc>
      </w:tr>
      <w:tr w:rsidR="002710C0" w:rsidRPr="002710C0" w14:paraId="5C03AD3C" w14:textId="77777777" w:rsidTr="00AB3DA2">
        <w:trPr>
          <w:trHeight w:val="20"/>
        </w:trPr>
        <w:tc>
          <w:tcPr>
            <w:tcW w:w="319" w:type="pct"/>
          </w:tcPr>
          <w:p w14:paraId="099EBDC7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72" w:type="pct"/>
          </w:tcPr>
          <w:p w14:paraId="29E32FAB" w14:textId="79C3B2F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sinh</w:t>
            </w:r>
          </w:p>
        </w:tc>
        <w:tc>
          <w:tcPr>
            <w:tcW w:w="2409" w:type="pct"/>
          </w:tcPr>
          <w:p w14:paraId="0BA88BB1" w14:textId="70898A96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trì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sát,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tra,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trì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đăng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làm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tuân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nghĩa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quy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VSDC.</w:t>
            </w:r>
          </w:p>
        </w:tc>
      </w:tr>
      <w:tr w:rsidR="002710C0" w:rsidRPr="002710C0" w14:paraId="6654AB56" w14:textId="77777777" w:rsidTr="00AB3DA2">
        <w:trPr>
          <w:trHeight w:val="20"/>
        </w:trPr>
        <w:tc>
          <w:tcPr>
            <w:tcW w:w="319" w:type="pct"/>
          </w:tcPr>
          <w:p w14:paraId="1419CFE2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72" w:type="pct"/>
          </w:tcPr>
          <w:p w14:paraId="3D48D8F5" w14:textId="3164DAFB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sinh</w:t>
            </w:r>
          </w:p>
        </w:tc>
        <w:tc>
          <w:tcPr>
            <w:tcW w:w="2409" w:type="pct"/>
          </w:tcPr>
          <w:p w14:paraId="2EB81043" w14:textId="52F1F0D8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xác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nghĩa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ro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sinh.</w:t>
            </w:r>
          </w:p>
        </w:tc>
      </w:tr>
      <w:tr w:rsidR="002710C0" w:rsidRPr="002710C0" w14:paraId="3C82F936" w14:textId="77777777" w:rsidTr="00AB3DA2">
        <w:trPr>
          <w:trHeight w:val="20"/>
        </w:trPr>
        <w:tc>
          <w:tcPr>
            <w:tcW w:w="319" w:type="pct"/>
          </w:tcPr>
          <w:p w14:paraId="1439B4A2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2" w:type="pct"/>
          </w:tcPr>
          <w:p w14:paraId="04D36E84" w14:textId="5B7B128D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ỹ</w:t>
            </w:r>
          </w:p>
        </w:tc>
        <w:tc>
          <w:tcPr>
            <w:tcW w:w="2409" w:type="pct"/>
          </w:tcPr>
          <w:p w14:paraId="3E437241" w14:textId="639E1E59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dõi,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giá,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ký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(bao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khoán)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p.</w:t>
            </w:r>
          </w:p>
        </w:tc>
      </w:tr>
      <w:tr w:rsidR="002710C0" w:rsidRPr="002710C0" w14:paraId="2C419FD0" w14:textId="77777777" w:rsidTr="00AB3DA2">
        <w:trPr>
          <w:trHeight w:val="20"/>
        </w:trPr>
        <w:tc>
          <w:tcPr>
            <w:tcW w:w="319" w:type="pct"/>
          </w:tcPr>
          <w:p w14:paraId="079F5F0B" w14:textId="77777777" w:rsidR="008D7F09" w:rsidRPr="002710C0" w:rsidRDefault="00611422" w:rsidP="003F10E0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72" w:type="pct"/>
          </w:tcPr>
          <w:p w14:paraId="080DD4FC" w14:textId="75AB1077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ử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ỗ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sau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sinh</w:t>
            </w:r>
          </w:p>
        </w:tc>
        <w:tc>
          <w:tcPr>
            <w:tcW w:w="2409" w:type="pct"/>
          </w:tcPr>
          <w:p w14:paraId="15B06C90" w14:textId="20A88605" w:rsidR="008D7F09" w:rsidRPr="002710C0" w:rsidRDefault="00611422" w:rsidP="003F10E0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(thi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lư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đình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giao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ch)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đúng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khách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sau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đã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hoàn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n,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tài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doanh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viên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bù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khoán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phái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sinh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710C0">
              <w:rPr>
                <w:rFonts w:ascii="Arial" w:hAnsi="Arial" w:cs="Arial"/>
                <w:color w:val="000000" w:themeColor="text1"/>
                <w:sz w:val="20"/>
                <w:szCs w:val="20"/>
              </w:rPr>
              <w:t>nh.</w:t>
            </w:r>
          </w:p>
        </w:tc>
      </w:tr>
    </w:tbl>
    <w:p w14:paraId="6C9CBDAF" w14:textId="77777777" w:rsidR="004F1D44" w:rsidRPr="002710C0" w:rsidRDefault="004F1D44" w:rsidP="002710C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F1D44" w:rsidRPr="002710C0" w:rsidSect="002710C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1B0A2" w14:textId="77777777" w:rsidR="00611422" w:rsidRDefault="00611422">
      <w:pPr>
        <w:spacing w:after="0" w:line="240" w:lineRule="auto"/>
      </w:pPr>
      <w:r>
        <w:separator/>
      </w:r>
    </w:p>
  </w:endnote>
  <w:endnote w:type="continuationSeparator" w:id="0">
    <w:p w14:paraId="6B821645" w14:textId="77777777" w:rsidR="00611422" w:rsidRDefault="0061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1BED0" w14:textId="77777777" w:rsidR="00611422" w:rsidRDefault="00611422">
      <w:pPr>
        <w:spacing w:after="0" w:line="240" w:lineRule="auto"/>
      </w:pPr>
      <w:r>
        <w:separator/>
      </w:r>
    </w:p>
  </w:footnote>
  <w:footnote w:type="continuationSeparator" w:id="0">
    <w:p w14:paraId="53EF91F0" w14:textId="77777777" w:rsidR="00611422" w:rsidRDefault="00611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09"/>
    <w:rsid w:val="000B0426"/>
    <w:rsid w:val="002710C0"/>
    <w:rsid w:val="003F10E0"/>
    <w:rsid w:val="004F1D44"/>
    <w:rsid w:val="00611422"/>
    <w:rsid w:val="007C211F"/>
    <w:rsid w:val="007F284A"/>
    <w:rsid w:val="0081258C"/>
    <w:rsid w:val="008D7F09"/>
    <w:rsid w:val="00936F2C"/>
    <w:rsid w:val="009D3B76"/>
    <w:rsid w:val="00A011B4"/>
    <w:rsid w:val="00AB3DA2"/>
    <w:rsid w:val="00C00C77"/>
    <w:rsid w:val="00D61F97"/>
    <w:rsid w:val="00E21697"/>
    <w:rsid w:val="00F1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4F876"/>
  <w15:docId w15:val="{3A75EBD2-56A3-410B-9631-BF6070B7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0C0"/>
  </w:style>
  <w:style w:type="paragraph" w:styleId="Footer">
    <w:name w:val="footer"/>
    <w:basedOn w:val="Normal"/>
    <w:link w:val="FooterChar"/>
    <w:uiPriority w:val="99"/>
    <w:unhideWhenUsed/>
    <w:rsid w:val="00271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4872</Words>
  <Characters>27775</Characters>
  <Application>Microsoft Office Word</Application>
  <DocSecurity>0</DocSecurity>
  <Lines>231</Lines>
  <Paragraphs>65</Paragraphs>
  <ScaleCrop>false</ScaleCrop>
  <Company/>
  <LinksUpToDate>false</LinksUpToDate>
  <CharactersWithSpaces>32582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21</cp:revision>
  <dcterms:created xsi:type="dcterms:W3CDTF">2026-04-02T01:52:00Z</dcterms:created>
  <dcterms:modified xsi:type="dcterms:W3CDTF">2026-04-03T07:01:00Z</dcterms:modified>
</cp:coreProperties>
</file>