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88377A" w:rsidRPr="00A13C91" w14:paraId="78CA068D" w14:textId="77777777" w:rsidTr="006A1365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65EA" w14:textId="77C9554B" w:rsidR="0088377A" w:rsidRPr="00A13C91" w:rsidRDefault="0088377A" w:rsidP="0088377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378ACC7" w14:textId="585809B1" w:rsidR="0088377A" w:rsidRPr="00A13C91" w:rsidRDefault="0088377A" w:rsidP="0088377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/>
                <w:sz w:val="20"/>
              </w:rPr>
              <w:t>281/2026/NĐ-CP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485A" w14:textId="77777777" w:rsidR="0088377A" w:rsidRPr="00A13C91" w:rsidRDefault="0088377A" w:rsidP="0088377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58A97A69" w14:textId="04A001E2" w:rsidR="0088377A" w:rsidRPr="00A13C91" w:rsidRDefault="0088377A" w:rsidP="0088377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Hà Nội, ngày 13 tháng</w:t>
            </w:r>
            <w:r>
              <w:rPr>
                <w:rFonts w:ascii="Arial" w:hAnsi="Arial"/>
                <w:sz w:val="20"/>
              </w:rPr>
              <w:t xml:space="preserve"> 7 </w:t>
            </w:r>
            <w:r>
              <w:rPr>
                <w:rFonts w:ascii="Arial" w:hAnsi="Arial"/>
                <w:i/>
                <w:sz w:val="20"/>
              </w:rPr>
              <w:t>năm 2026</w:t>
            </w:r>
          </w:p>
        </w:tc>
      </w:tr>
    </w:tbl>
    <w:p w14:paraId="647CBEFA" w14:textId="77777777" w:rsidR="0088377A" w:rsidRDefault="0088377A" w:rsidP="0088377A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56350655" w14:textId="77777777" w:rsidR="0088377A" w:rsidRDefault="0088377A" w:rsidP="0088377A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54DBCF38" w14:textId="77777777" w:rsidR="00B51BF5" w:rsidRDefault="00A4444A" w:rsidP="0088377A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0FA97203" w14:textId="10C74180" w:rsidR="00B51BF5" w:rsidRDefault="00A4444A" w:rsidP="0088377A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123/2024/NĐ-CP </w:t>
      </w:r>
      <w:r w:rsidR="0088377A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ngày 04 tháng 10 năm 2024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t </w:t>
      </w:r>
      <w:r w:rsidR="0088377A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đai</w:t>
      </w:r>
    </w:p>
    <w:p w14:paraId="1FF2471A" w14:textId="77777777" w:rsidR="0088377A" w:rsidRDefault="0088377A" w:rsidP="0088377A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72878852" w14:textId="6F0EA58F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Căn c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 xml:space="preserve">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T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ch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>c Chính ph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 xml:space="preserve">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63/2025/QH15;</w:t>
      </w:r>
    </w:p>
    <w:p w14:paraId="5485AA93" w14:textId="77777777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Căn c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 xml:space="preserve">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T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ch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>c chính quy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>n đ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>a phương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72/2025/QH15;</w:t>
      </w:r>
    </w:p>
    <w:p w14:paraId="26ED9BC0" w14:textId="4BC565F2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Căn c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 xml:space="preserve">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X</w:t>
      </w:r>
      <w:r w:rsidRPr="004131B2">
        <w:rPr>
          <w:rFonts w:ascii="Arial" w:hAnsi="Arial"/>
          <w:i/>
          <w:sz w:val="20"/>
        </w:rPr>
        <w:t>ử</w:t>
      </w:r>
      <w:r w:rsidRPr="004131B2">
        <w:rPr>
          <w:rFonts w:ascii="Arial" w:hAnsi="Arial"/>
          <w:i/>
          <w:sz w:val="20"/>
        </w:rPr>
        <w:t xml:space="preserve"> lý vi ph</w:t>
      </w:r>
      <w:r w:rsidRPr="004131B2">
        <w:rPr>
          <w:rFonts w:ascii="Arial" w:hAnsi="Arial"/>
          <w:i/>
          <w:sz w:val="20"/>
        </w:rPr>
        <w:t>ạ</w:t>
      </w:r>
      <w:r w:rsidRPr="004131B2">
        <w:rPr>
          <w:rFonts w:ascii="Arial" w:hAnsi="Arial"/>
          <w:i/>
          <w:sz w:val="20"/>
        </w:rPr>
        <w:t>m hành chính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5/20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2/QH13 đư</w:t>
      </w:r>
      <w:r w:rsidRPr="004131B2">
        <w:rPr>
          <w:rFonts w:ascii="Arial" w:hAnsi="Arial"/>
          <w:i/>
          <w:sz w:val="20"/>
        </w:rPr>
        <w:t>ợ</w:t>
      </w:r>
      <w:r w:rsidRPr="004131B2">
        <w:rPr>
          <w:rFonts w:ascii="Arial" w:hAnsi="Arial"/>
          <w:i/>
          <w:sz w:val="20"/>
        </w:rPr>
        <w:t>c s</w:t>
      </w:r>
      <w:r w:rsidRPr="004131B2">
        <w:rPr>
          <w:rFonts w:ascii="Arial" w:hAnsi="Arial"/>
          <w:i/>
          <w:sz w:val="20"/>
        </w:rPr>
        <w:t>ử</w:t>
      </w:r>
      <w:r w:rsidRPr="004131B2">
        <w:rPr>
          <w:rFonts w:ascii="Arial" w:hAnsi="Arial"/>
          <w:i/>
          <w:sz w:val="20"/>
        </w:rPr>
        <w:t>a đ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>i, b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sung m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đi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>u b</w:t>
      </w:r>
      <w:r w:rsidRPr="004131B2">
        <w:rPr>
          <w:rFonts w:ascii="Arial" w:hAnsi="Arial"/>
          <w:i/>
          <w:sz w:val="20"/>
        </w:rPr>
        <w:t>ở</w:t>
      </w:r>
      <w:r w:rsidRPr="004131B2">
        <w:rPr>
          <w:rFonts w:ascii="Arial" w:hAnsi="Arial"/>
          <w:i/>
          <w:sz w:val="20"/>
        </w:rPr>
        <w:t>i các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54/20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4/QH13,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18/2017/QH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4,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67/2020/QH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4,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09/2022/QH15,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11/2022/QH15,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56/2024/QH15 và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88/2025/QH15;</w:t>
      </w:r>
    </w:p>
    <w:p w14:paraId="047CE022" w14:textId="4F80F0AB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Căn c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 xml:space="preserve">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Đ</w:t>
      </w:r>
      <w:r w:rsidRPr="004131B2">
        <w:rPr>
          <w:rFonts w:ascii="Arial" w:hAnsi="Arial"/>
          <w:i/>
          <w:sz w:val="20"/>
        </w:rPr>
        <w:t>ấ</w:t>
      </w:r>
      <w:r w:rsidRPr="004131B2">
        <w:rPr>
          <w:rFonts w:ascii="Arial" w:hAnsi="Arial"/>
          <w:i/>
          <w:sz w:val="20"/>
        </w:rPr>
        <w:t>t đai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31/2024/QH15 đư</w:t>
      </w:r>
      <w:r w:rsidRPr="004131B2">
        <w:rPr>
          <w:rFonts w:ascii="Arial" w:hAnsi="Arial"/>
          <w:i/>
          <w:sz w:val="20"/>
        </w:rPr>
        <w:t>ợ</w:t>
      </w:r>
      <w:r w:rsidRPr="004131B2">
        <w:rPr>
          <w:rFonts w:ascii="Arial" w:hAnsi="Arial"/>
          <w:i/>
          <w:sz w:val="20"/>
        </w:rPr>
        <w:t>c s</w:t>
      </w:r>
      <w:r w:rsidRPr="004131B2">
        <w:rPr>
          <w:rFonts w:ascii="Arial" w:hAnsi="Arial"/>
          <w:i/>
          <w:sz w:val="20"/>
        </w:rPr>
        <w:t>ử</w:t>
      </w:r>
      <w:r w:rsidRPr="004131B2">
        <w:rPr>
          <w:rFonts w:ascii="Arial" w:hAnsi="Arial"/>
          <w:i/>
          <w:sz w:val="20"/>
        </w:rPr>
        <w:t>a đ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>i, b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sung m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đi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>u b</w:t>
      </w:r>
      <w:r w:rsidRPr="004131B2">
        <w:rPr>
          <w:rFonts w:ascii="Arial" w:hAnsi="Arial"/>
          <w:i/>
          <w:sz w:val="20"/>
        </w:rPr>
        <w:t>ở</w:t>
      </w:r>
      <w:r w:rsidRPr="004131B2">
        <w:rPr>
          <w:rFonts w:ascii="Arial" w:hAnsi="Arial"/>
          <w:i/>
          <w:sz w:val="20"/>
        </w:rPr>
        <w:t>i các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43/2024/QH15,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47/2024/QH15,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58/2024/QH15,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7</w:t>
      </w:r>
      <w:r w:rsidR="004131B2" w:rsidRPr="004131B2">
        <w:rPr>
          <w:rFonts w:ascii="Arial" w:hAnsi="Arial"/>
          <w:i/>
          <w:sz w:val="20"/>
        </w:rPr>
        <w:t>1</w:t>
      </w:r>
      <w:r w:rsidRPr="004131B2">
        <w:rPr>
          <w:rFonts w:ascii="Arial" w:hAnsi="Arial"/>
          <w:i/>
          <w:sz w:val="20"/>
        </w:rPr>
        <w:t>/2025/QH15,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84/202</w:t>
      </w:r>
      <w:r w:rsidR="004131B2" w:rsidRPr="004131B2">
        <w:rPr>
          <w:rFonts w:ascii="Arial" w:hAnsi="Arial"/>
          <w:i/>
          <w:sz w:val="20"/>
        </w:rPr>
        <w:t>5/</w:t>
      </w:r>
      <w:r w:rsidRPr="004131B2">
        <w:rPr>
          <w:rFonts w:ascii="Arial" w:hAnsi="Arial"/>
          <w:i/>
          <w:sz w:val="20"/>
        </w:rPr>
        <w:t>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93/2025/QH15,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95/2025/QH15,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146/2025/QH15 và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147/2025/QH15;</w:t>
      </w:r>
    </w:p>
    <w:p w14:paraId="45AF217D" w14:textId="77777777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Căn c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 xml:space="preserve"> Ngh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 xml:space="preserve"> quy</w:t>
      </w:r>
      <w:r w:rsidRPr="004131B2">
        <w:rPr>
          <w:rFonts w:ascii="Arial" w:hAnsi="Arial"/>
          <w:i/>
          <w:sz w:val="20"/>
        </w:rPr>
        <w:t>ế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254/2025/QH15 c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>a Qu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>c h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>i quy đ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>nh m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cơ ch</w:t>
      </w:r>
      <w:r w:rsidRPr="004131B2">
        <w:rPr>
          <w:rFonts w:ascii="Arial" w:hAnsi="Arial"/>
          <w:i/>
          <w:sz w:val="20"/>
        </w:rPr>
        <w:t>ế</w:t>
      </w:r>
      <w:r w:rsidRPr="004131B2">
        <w:rPr>
          <w:rFonts w:ascii="Arial" w:hAnsi="Arial"/>
          <w:i/>
          <w:sz w:val="20"/>
        </w:rPr>
        <w:t>, chính sách tháo g</w:t>
      </w:r>
      <w:r w:rsidRPr="004131B2">
        <w:rPr>
          <w:rFonts w:ascii="Arial" w:hAnsi="Arial"/>
          <w:i/>
          <w:sz w:val="20"/>
        </w:rPr>
        <w:t>ỡ</w:t>
      </w:r>
      <w:r w:rsidRPr="004131B2">
        <w:rPr>
          <w:rFonts w:ascii="Arial" w:hAnsi="Arial"/>
          <w:i/>
          <w:sz w:val="20"/>
        </w:rPr>
        <w:t xml:space="preserve"> khó k</w:t>
      </w:r>
      <w:r w:rsidRPr="004131B2">
        <w:rPr>
          <w:rFonts w:ascii="Arial" w:hAnsi="Arial"/>
          <w:i/>
          <w:sz w:val="20"/>
        </w:rPr>
        <w:t>hăn, vư</w:t>
      </w:r>
      <w:r w:rsidRPr="004131B2">
        <w:rPr>
          <w:rFonts w:ascii="Arial" w:hAnsi="Arial"/>
          <w:i/>
          <w:sz w:val="20"/>
        </w:rPr>
        <w:t>ớ</w:t>
      </w:r>
      <w:r w:rsidRPr="004131B2">
        <w:rPr>
          <w:rFonts w:ascii="Arial" w:hAnsi="Arial"/>
          <w:i/>
          <w:sz w:val="20"/>
        </w:rPr>
        <w:t>ng m</w:t>
      </w:r>
      <w:r w:rsidRPr="004131B2">
        <w:rPr>
          <w:rFonts w:ascii="Arial" w:hAnsi="Arial"/>
          <w:i/>
          <w:sz w:val="20"/>
        </w:rPr>
        <w:t>ắ</w:t>
      </w:r>
      <w:r w:rsidRPr="004131B2">
        <w:rPr>
          <w:rFonts w:ascii="Arial" w:hAnsi="Arial"/>
          <w:i/>
          <w:sz w:val="20"/>
        </w:rPr>
        <w:t>c trong t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ch</w:t>
      </w:r>
      <w:r w:rsidRPr="004131B2">
        <w:rPr>
          <w:rFonts w:ascii="Arial" w:hAnsi="Arial"/>
          <w:i/>
          <w:sz w:val="20"/>
        </w:rPr>
        <w:t>ứ</w:t>
      </w:r>
      <w:r w:rsidRPr="004131B2">
        <w:rPr>
          <w:rFonts w:ascii="Arial" w:hAnsi="Arial"/>
          <w:i/>
          <w:sz w:val="20"/>
        </w:rPr>
        <w:t>c thi hành Lu</w:t>
      </w:r>
      <w:r w:rsidRPr="004131B2">
        <w:rPr>
          <w:rFonts w:ascii="Arial" w:hAnsi="Arial"/>
          <w:i/>
          <w:sz w:val="20"/>
        </w:rPr>
        <w:t>ậ</w:t>
      </w:r>
      <w:r w:rsidRPr="004131B2">
        <w:rPr>
          <w:rFonts w:ascii="Arial" w:hAnsi="Arial"/>
          <w:i/>
          <w:sz w:val="20"/>
        </w:rPr>
        <w:t>t Đ</w:t>
      </w:r>
      <w:r w:rsidRPr="004131B2">
        <w:rPr>
          <w:rFonts w:ascii="Arial" w:hAnsi="Arial"/>
          <w:i/>
          <w:sz w:val="20"/>
        </w:rPr>
        <w:t>ấ</w:t>
      </w:r>
      <w:r w:rsidRPr="004131B2">
        <w:rPr>
          <w:rFonts w:ascii="Arial" w:hAnsi="Arial"/>
          <w:i/>
          <w:sz w:val="20"/>
        </w:rPr>
        <w:t>t đai;</w:t>
      </w:r>
    </w:p>
    <w:p w14:paraId="6AA48788" w14:textId="77777777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Theo đ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 xml:space="preserve"> ngh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 xml:space="preserve"> c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>a B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 xml:space="preserve"> trư</w:t>
      </w:r>
      <w:r w:rsidRPr="004131B2">
        <w:rPr>
          <w:rFonts w:ascii="Arial" w:hAnsi="Arial"/>
          <w:i/>
          <w:sz w:val="20"/>
        </w:rPr>
        <w:t>ở</w:t>
      </w:r>
      <w:r w:rsidRPr="004131B2">
        <w:rPr>
          <w:rFonts w:ascii="Arial" w:hAnsi="Arial"/>
          <w:i/>
          <w:sz w:val="20"/>
        </w:rPr>
        <w:t>ng B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 xml:space="preserve"> Nông nghi</w:t>
      </w:r>
      <w:r w:rsidRPr="004131B2">
        <w:rPr>
          <w:rFonts w:ascii="Arial" w:hAnsi="Arial"/>
          <w:i/>
          <w:sz w:val="20"/>
        </w:rPr>
        <w:t>ệ</w:t>
      </w:r>
      <w:r w:rsidRPr="004131B2">
        <w:rPr>
          <w:rFonts w:ascii="Arial" w:hAnsi="Arial"/>
          <w:i/>
          <w:sz w:val="20"/>
        </w:rPr>
        <w:t>p và Môi trư</w:t>
      </w:r>
      <w:r w:rsidRPr="004131B2">
        <w:rPr>
          <w:rFonts w:ascii="Arial" w:hAnsi="Arial"/>
          <w:i/>
          <w:sz w:val="20"/>
        </w:rPr>
        <w:t>ờ</w:t>
      </w:r>
      <w:r w:rsidRPr="004131B2">
        <w:rPr>
          <w:rFonts w:ascii="Arial" w:hAnsi="Arial"/>
          <w:i/>
          <w:sz w:val="20"/>
        </w:rPr>
        <w:t>ng;</w:t>
      </w:r>
    </w:p>
    <w:p w14:paraId="44F0656A" w14:textId="77777777" w:rsidR="00B51BF5" w:rsidRPr="004131B2" w:rsidRDefault="00A4444A" w:rsidP="0088377A">
      <w:pPr>
        <w:adjustRightInd w:val="0"/>
        <w:snapToGrid w:val="0"/>
        <w:spacing w:after="120" w:line="240" w:lineRule="auto"/>
        <w:ind w:firstLine="720"/>
        <w:jc w:val="both"/>
        <w:rPr>
          <w:i/>
        </w:rPr>
      </w:pPr>
      <w:r w:rsidRPr="004131B2">
        <w:rPr>
          <w:rFonts w:ascii="Arial" w:hAnsi="Arial"/>
          <w:i/>
          <w:sz w:val="20"/>
        </w:rPr>
        <w:t>Chính ph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 xml:space="preserve"> ban hành Ngh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 xml:space="preserve"> đ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>nh s</w:t>
      </w:r>
      <w:r w:rsidRPr="004131B2">
        <w:rPr>
          <w:rFonts w:ascii="Arial" w:hAnsi="Arial"/>
          <w:i/>
          <w:sz w:val="20"/>
        </w:rPr>
        <w:t>ử</w:t>
      </w:r>
      <w:r w:rsidRPr="004131B2">
        <w:rPr>
          <w:rFonts w:ascii="Arial" w:hAnsi="Arial"/>
          <w:i/>
          <w:sz w:val="20"/>
        </w:rPr>
        <w:t>a đ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>i, b</w:t>
      </w:r>
      <w:r w:rsidRPr="004131B2">
        <w:rPr>
          <w:rFonts w:ascii="Arial" w:hAnsi="Arial"/>
          <w:i/>
          <w:sz w:val="20"/>
        </w:rPr>
        <w:t>ổ</w:t>
      </w:r>
      <w:r w:rsidRPr="004131B2">
        <w:rPr>
          <w:rFonts w:ascii="Arial" w:hAnsi="Arial"/>
          <w:i/>
          <w:sz w:val="20"/>
        </w:rPr>
        <w:t xml:space="preserve"> sung m</w:t>
      </w:r>
      <w:r w:rsidRPr="004131B2">
        <w:rPr>
          <w:rFonts w:ascii="Arial" w:hAnsi="Arial"/>
          <w:i/>
          <w:sz w:val="20"/>
        </w:rPr>
        <w:t>ộ</w:t>
      </w:r>
      <w:r w:rsidRPr="004131B2">
        <w:rPr>
          <w:rFonts w:ascii="Arial" w:hAnsi="Arial"/>
          <w:i/>
          <w:sz w:val="20"/>
        </w:rPr>
        <w:t>t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đi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>u c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>a Ngh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 xml:space="preserve"> đ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>nh s</w:t>
      </w:r>
      <w:r w:rsidRPr="004131B2">
        <w:rPr>
          <w:rFonts w:ascii="Arial" w:hAnsi="Arial"/>
          <w:i/>
          <w:sz w:val="20"/>
        </w:rPr>
        <w:t>ố</w:t>
      </w:r>
      <w:r w:rsidRPr="004131B2">
        <w:rPr>
          <w:rFonts w:ascii="Arial" w:hAnsi="Arial"/>
          <w:i/>
          <w:sz w:val="20"/>
        </w:rPr>
        <w:t xml:space="preserve"> 123/2024/NĐ-CP ngày 04 tháng 10 năm 2024 c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>a Chính ph</w:t>
      </w:r>
      <w:r w:rsidRPr="004131B2">
        <w:rPr>
          <w:rFonts w:ascii="Arial" w:hAnsi="Arial"/>
          <w:i/>
          <w:sz w:val="20"/>
        </w:rPr>
        <w:t>ủ</w:t>
      </w:r>
      <w:r w:rsidRPr="004131B2">
        <w:rPr>
          <w:rFonts w:ascii="Arial" w:hAnsi="Arial"/>
          <w:i/>
          <w:sz w:val="20"/>
        </w:rPr>
        <w:t xml:space="preserve"> quy đ</w:t>
      </w:r>
      <w:r w:rsidRPr="004131B2">
        <w:rPr>
          <w:rFonts w:ascii="Arial" w:hAnsi="Arial"/>
          <w:i/>
          <w:sz w:val="20"/>
        </w:rPr>
        <w:t>ị</w:t>
      </w:r>
      <w:r w:rsidRPr="004131B2">
        <w:rPr>
          <w:rFonts w:ascii="Arial" w:hAnsi="Arial"/>
          <w:i/>
          <w:sz w:val="20"/>
        </w:rPr>
        <w:t>nh v</w:t>
      </w:r>
      <w:r w:rsidRPr="004131B2">
        <w:rPr>
          <w:rFonts w:ascii="Arial" w:hAnsi="Arial"/>
          <w:i/>
          <w:sz w:val="20"/>
        </w:rPr>
        <w:t>ề</w:t>
      </w:r>
      <w:r w:rsidRPr="004131B2">
        <w:rPr>
          <w:rFonts w:ascii="Arial" w:hAnsi="Arial"/>
          <w:i/>
          <w:sz w:val="20"/>
        </w:rPr>
        <w:t xml:space="preserve"> x</w:t>
      </w:r>
      <w:r w:rsidRPr="004131B2">
        <w:rPr>
          <w:rFonts w:ascii="Arial" w:hAnsi="Arial"/>
          <w:i/>
          <w:sz w:val="20"/>
        </w:rPr>
        <w:t>ử</w:t>
      </w:r>
      <w:r w:rsidRPr="004131B2">
        <w:rPr>
          <w:rFonts w:ascii="Arial" w:hAnsi="Arial"/>
          <w:i/>
          <w:sz w:val="20"/>
        </w:rPr>
        <w:t xml:space="preserve"> </w:t>
      </w:r>
      <w:r w:rsidRPr="004131B2">
        <w:rPr>
          <w:rFonts w:ascii="Arial" w:hAnsi="Arial"/>
          <w:i/>
          <w:sz w:val="20"/>
        </w:rPr>
        <w:t>ph</w:t>
      </w:r>
      <w:r w:rsidRPr="004131B2">
        <w:rPr>
          <w:rFonts w:ascii="Arial" w:hAnsi="Arial"/>
          <w:i/>
          <w:sz w:val="20"/>
        </w:rPr>
        <w:t>ạ</w:t>
      </w:r>
      <w:r w:rsidRPr="004131B2">
        <w:rPr>
          <w:rFonts w:ascii="Arial" w:hAnsi="Arial"/>
          <w:i/>
          <w:sz w:val="20"/>
        </w:rPr>
        <w:t>t vi ph</w:t>
      </w:r>
      <w:r w:rsidRPr="004131B2">
        <w:rPr>
          <w:rFonts w:ascii="Arial" w:hAnsi="Arial"/>
          <w:i/>
          <w:sz w:val="20"/>
        </w:rPr>
        <w:t>ạ</w:t>
      </w:r>
      <w:r w:rsidRPr="004131B2">
        <w:rPr>
          <w:rFonts w:ascii="Arial" w:hAnsi="Arial"/>
          <w:i/>
          <w:sz w:val="20"/>
        </w:rPr>
        <w:t>m hành chính trong lĩnh v</w:t>
      </w:r>
      <w:r w:rsidRPr="004131B2">
        <w:rPr>
          <w:rFonts w:ascii="Arial" w:hAnsi="Arial"/>
          <w:i/>
          <w:sz w:val="20"/>
        </w:rPr>
        <w:t>ự</w:t>
      </w:r>
      <w:r w:rsidRPr="004131B2">
        <w:rPr>
          <w:rFonts w:ascii="Arial" w:hAnsi="Arial"/>
          <w:i/>
          <w:sz w:val="20"/>
        </w:rPr>
        <w:t>c đ</w:t>
      </w:r>
      <w:r w:rsidRPr="004131B2">
        <w:rPr>
          <w:rFonts w:ascii="Arial" w:hAnsi="Arial"/>
          <w:i/>
          <w:sz w:val="20"/>
        </w:rPr>
        <w:t>ấ</w:t>
      </w:r>
      <w:r w:rsidRPr="004131B2">
        <w:rPr>
          <w:rFonts w:ascii="Arial" w:hAnsi="Arial"/>
          <w:i/>
          <w:sz w:val="20"/>
        </w:rPr>
        <w:t>t đai.</w:t>
      </w:r>
    </w:p>
    <w:p w14:paraId="556F7AC2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3a vào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</w:t>
      </w:r>
    </w:p>
    <w:p w14:paraId="30C549DB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3a.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xác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hành vi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đai</w:t>
      </w:r>
    </w:p>
    <w:p w14:paraId="1BAF272F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a phương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như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a phương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xã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như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xã.</w:t>
      </w:r>
    </w:p>
    <w:p w14:paraId="297EFAA3" w14:textId="54F97D4A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chung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t cá </w:t>
      </w:r>
      <w:r>
        <w:rPr>
          <w:rFonts w:ascii="Arial" w:hAnsi="Arial"/>
          <w:sz w:val="20"/>
        </w:rPr>
        <w:t>nhân.</w:t>
      </w:r>
      <w:r w:rsidR="0043597D">
        <w:rPr>
          <w:rFonts w:ascii="Arial" w:hAnsi="Arial"/>
          <w:sz w:val="20"/>
        </w:rPr>
        <w:t>”.</w:t>
      </w:r>
    </w:p>
    <w:p w14:paraId="0761FA6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b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và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các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p, q, r, s vào sau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o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</w:t>
      </w:r>
    </w:p>
    <w:p w14:paraId="54D054A7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</w:t>
      </w:r>
    </w:p>
    <w:p w14:paraId="574C6195" w14:textId="0248656A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“b)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tháng.”</w:t>
      </w:r>
      <w:r w:rsidR="0043597D">
        <w:rPr>
          <w:rFonts w:ascii="Arial" w:hAnsi="Arial"/>
          <w:sz w:val="20"/>
        </w:rPr>
        <w:t>.</w:t>
      </w:r>
    </w:p>
    <w:p w14:paraId="284885F2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p, q, r, s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o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</w:t>
      </w:r>
    </w:p>
    <w:p w14:paraId="01474F36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“p)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</w:t>
      </w:r>
    </w:p>
    <w:p w14:paraId="27B68A3C" w14:textId="1EDD9AC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q)</w:t>
      </w:r>
      <w:r w:rsidR="004131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chính;</w:t>
      </w:r>
    </w:p>
    <w:p w14:paraId="20E1DB71" w14:textId="05295CE6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r)</w:t>
      </w:r>
      <w:r w:rsidR="004131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đai;</w:t>
      </w:r>
    </w:p>
    <w:p w14:paraId="13AC5382" w14:textId="1294B399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s)</w:t>
      </w:r>
      <w:r w:rsidR="004131B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xóa,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đã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  <w:r w:rsidR="0043597D">
        <w:rPr>
          <w:rFonts w:ascii="Arial" w:hAnsi="Arial"/>
          <w:sz w:val="20"/>
        </w:rPr>
        <w:t>”.</w:t>
      </w:r>
    </w:p>
    <w:p w14:paraId="550C6F11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1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</w:t>
      </w:r>
    </w:p>
    <w:p w14:paraId="590DB04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“1.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thành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có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sau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  <w:bookmarkStart w:id="1" w:name="_GoBack"/>
      <w:bookmarkEnd w:id="1"/>
    </w:p>
    <w:p w14:paraId="7D30BF3A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lastRenderedPageBreak/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do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cùng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chia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cho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cùng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</w:t>
      </w:r>
    </w:p>
    <w:p w14:paraId="522504B0" w14:textId="647EDF33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đã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 w:rsidR="0043597D">
        <w:rPr>
          <w:rFonts w:ascii="Arial" w:hAnsi="Arial"/>
          <w:sz w:val="20"/>
        </w:rPr>
        <w:t xml:space="preserve">nộp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đã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c.”</w:t>
      </w:r>
      <w:r w:rsidR="0043597D">
        <w:rPr>
          <w:rFonts w:ascii="Arial" w:hAnsi="Arial"/>
          <w:sz w:val="20"/>
        </w:rPr>
        <w:t>.</w:t>
      </w:r>
    </w:p>
    <w:p w14:paraId="7131AE13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</w:t>
      </w:r>
    </w:p>
    <w:p w14:paraId="19EFFC73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“2.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2.000.000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3.000.000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đăng ký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i, k, l, m và q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133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thông qua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127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đai.”</w:t>
      </w:r>
    </w:p>
    <w:p w14:paraId="26B490D6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5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</w:t>
      </w:r>
    </w:p>
    <w:p w14:paraId="7825190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“5.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:</w:t>
      </w:r>
    </w:p>
    <w:p w14:paraId="423E706C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a)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706BA657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b)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6CD93FE7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c)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xóa,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dung;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đã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ng.”</w:t>
      </w:r>
    </w:p>
    <w:p w14:paraId="65757B20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</w:t>
      </w:r>
    </w:p>
    <w:p w14:paraId="67015E5A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</w:p>
    <w:p w14:paraId="3A8D99D5" w14:textId="455867BD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“1.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4131B2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55352DF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489F34B0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1EB5318F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c)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tháng;</w:t>
      </w:r>
    </w:p>
    <w:p w14:paraId="283B0AD3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  <w:r>
        <w:rPr>
          <w:rFonts w:ascii="Arial" w:hAnsi="Arial"/>
          <w:sz w:val="20"/>
        </w:rPr>
        <w:t>”</w:t>
      </w:r>
    </w:p>
    <w:p w14:paraId="7C1B0C40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</w:t>
      </w:r>
    </w:p>
    <w:p w14:paraId="34B1FE0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“d)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tháng;”.</w:t>
      </w:r>
    </w:p>
    <w:p w14:paraId="2B6AC894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</w:t>
      </w:r>
    </w:p>
    <w:p w14:paraId="3A9DA98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</w:p>
    <w:p w14:paraId="4D7DC975" w14:textId="45650E05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lý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 w:rsidR="0043597D">
        <w:rPr>
          <w:rFonts w:ascii="Arial" w:hAnsi="Arial"/>
          <w:sz w:val="20"/>
        </w:rPr>
        <w:t xml:space="preserve"> thành lập,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n:”.</w:t>
      </w:r>
    </w:p>
    <w:p w14:paraId="6DA65B6D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</w:p>
    <w:p w14:paraId="220E613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400.000.000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ng;”.</w:t>
      </w:r>
    </w:p>
    <w:p w14:paraId="1CB3E46E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</w:t>
      </w:r>
    </w:p>
    <w:p w14:paraId="3C4F0FF3" w14:textId="7A9AB2CF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</w:t>
      </w:r>
      <w:r w:rsidR="0043597D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n:”.</w:t>
      </w:r>
    </w:p>
    <w:p w14:paraId="4023BBC3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</w:t>
      </w:r>
    </w:p>
    <w:p w14:paraId="35E7038E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“d)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tháng;”.</w:t>
      </w:r>
    </w:p>
    <w:p w14:paraId="7A801EA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</w:t>
      </w:r>
    </w:p>
    <w:p w14:paraId="2024ABC3" w14:textId="093B2029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“5.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danh thanh tra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an nhân dân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189/2025/NĐ-CP ngày 01 tháng 7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</w:t>
      </w:r>
      <w:r>
        <w:rPr>
          <w:rFonts w:ascii="Arial" w:hAnsi="Arial"/>
          <w:sz w:val="20"/>
        </w:rPr>
        <w:t>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 w:rsidR="0043597D">
        <w:rPr>
          <w:rFonts w:ascii="Arial" w:hAnsi="Arial"/>
          <w:sz w:val="20"/>
        </w:rPr>
        <w:t xml:space="preserve">an ninh </w:t>
      </w:r>
      <w:r>
        <w:rPr>
          <w:rFonts w:ascii="Arial" w:hAnsi="Arial"/>
          <w:sz w:val="20"/>
        </w:rPr>
        <w:t>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9DE0938" w14:textId="1FFE3AC4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lastRenderedPageBreak/>
        <w:t>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Công 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189/2025/NĐ-CP ngày 01 tháng 7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 w:rsidR="00855703">
        <w:rPr>
          <w:rFonts w:ascii="Arial" w:hAnsi="Arial"/>
          <w:sz w:val="20"/>
        </w:rPr>
        <w:t xml:space="preserve">an ninh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123/2024/NĐ-CP theo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n.”.</w:t>
      </w:r>
    </w:p>
    <w:p w14:paraId="161477B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1 và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b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</w:t>
      </w:r>
      <w:r>
        <w:rPr>
          <w:rFonts w:ascii="Arial" w:hAnsi="Arial"/>
          <w:b/>
          <w:i/>
          <w:sz w:val="20"/>
        </w:rPr>
        <w:t>32</w:t>
      </w:r>
    </w:p>
    <w:p w14:paraId="2A41A789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</w:p>
    <w:p w14:paraId="33C4F681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“1.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58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(đư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67/2020/QH14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88/2025/QH15);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118/2021/NĐ-CP ngày 23 tháng 12 năm 2021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(đư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68/2025/NĐ-CP ngày 18 tháng 3 năm 2025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190/2025/NĐ-CP ngày 01 tháng 7 năm 2025)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2631947F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</w:t>
      </w:r>
    </w:p>
    <w:p w14:paraId="571A999D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“b)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thành viên đoàn thanh tra;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thành viên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thành viên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đai.</w:t>
      </w:r>
    </w:p>
    <w:p w14:paraId="3283EED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 xml:space="preserve">Công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lâm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lâm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an nhân dân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hành</w:t>
      </w:r>
      <w:r>
        <w:rPr>
          <w:rFonts w:ascii="Arial" w:hAnsi="Arial"/>
          <w:sz w:val="20"/>
        </w:rPr>
        <w:t xml:space="preserve">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phòng;”.</w:t>
      </w:r>
    </w:p>
    <w:p w14:paraId="0A6E303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sung, thay th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m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,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m, </w:t>
      </w:r>
      <w:r>
        <w:rPr>
          <w:rFonts w:ascii="Arial" w:hAnsi="Arial"/>
          <w:b/>
          <w:sz w:val="20"/>
        </w:rPr>
        <w:t>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các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</w:t>
      </w:r>
    </w:p>
    <w:p w14:paraId="403C1807" w14:textId="50C1F3C4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“giao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c” sau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cho thuê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thuê hàng năm,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</w:t>
      </w:r>
      <w:r w:rsidR="00855703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tra” sau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“thanh tra”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tên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31.</w:t>
      </w:r>
    </w:p>
    <w:p w14:paraId="5C7295EA" w14:textId="71A2F4E2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“chuy</w:t>
      </w:r>
      <w:r w:rsidR="0043597D"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“Tài nguyên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33,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36.</w:t>
      </w:r>
    </w:p>
    <w:p w14:paraId="32EE15E3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3.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“thanh tra,”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2,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",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13.</w:t>
      </w:r>
    </w:p>
    <w:p w14:paraId="72CA842C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4.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29;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30;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31.</w:t>
      </w:r>
    </w:p>
    <w:p w14:paraId="5E3D7C9A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77E1FA1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31 tháng 8 năm 2026.</w:t>
      </w:r>
    </w:p>
    <w:p w14:paraId="3343E52D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4EBBB867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thông qua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127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mà đã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</w:t>
      </w:r>
      <w:r>
        <w:rPr>
          <w:rFonts w:ascii="Arial" w:hAnsi="Arial"/>
          <w:sz w:val="20"/>
        </w:rPr>
        <w:t>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không đăng ký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nhưng chưa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không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31 tháng 01 năm 2026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chưa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đó.</w:t>
      </w:r>
    </w:p>
    <w:p w14:paraId="129E2515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2.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thi hành thì </w:t>
      </w:r>
      <w:r>
        <w:rPr>
          <w:rFonts w:ascii="Arial" w:hAnsi="Arial"/>
          <w:sz w:val="20"/>
        </w:rPr>
        <w:t>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như sau:</w:t>
      </w:r>
    </w:p>
    <w:p w14:paraId="58014C0D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a)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đã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nhưng chưa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đã ban hành;</w:t>
      </w:r>
    </w:p>
    <w:p w14:paraId="44CF7C1E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đã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mà chưa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như sau:</w:t>
      </w:r>
    </w:p>
    <w:p w14:paraId="66D96C3A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lastRenderedPageBreak/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65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không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nhưng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không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pháp lý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pháp lý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hơn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E19EB66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còn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thì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không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pháp lý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pháp lý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hơ</w:t>
      </w:r>
      <w:r>
        <w:rPr>
          <w:rFonts w:ascii="Arial" w:hAnsi="Arial"/>
          <w:sz w:val="20"/>
        </w:rPr>
        <w:t>n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3688B57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thi hành xong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mà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còn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lý.</w:t>
      </w:r>
    </w:p>
    <w:p w14:paraId="5CB62F91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7801269E" w14:textId="77777777" w:rsidR="00B51BF5" w:rsidRDefault="00A4444A" w:rsidP="004131B2">
      <w:pPr>
        <w:adjustRightInd w:val="0"/>
        <w:snapToGrid w:val="0"/>
        <w:spacing w:after="120" w:line="240" w:lineRule="auto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5F337E26" w14:textId="26C007C6" w:rsidR="00B51BF5" w:rsidRDefault="00A4444A" w:rsidP="004131B2">
      <w:pPr>
        <w:adjustRightInd w:val="0"/>
        <w:snapToGrid w:val="0"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4131B2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95C969D" w14:textId="77777777" w:rsidR="0088377A" w:rsidRDefault="0088377A" w:rsidP="004131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88377A" w:rsidRPr="00A13C91" w14:paraId="37D3E943" w14:textId="77777777" w:rsidTr="004131B2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4293" w14:textId="77777777" w:rsidR="004131B2" w:rsidRDefault="0088377A" w:rsidP="004131B2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="004131B2">
              <w:rPr>
                <w:rFonts w:ascii="Arial" w:hAnsi="Arial"/>
                <w:sz w:val="20"/>
              </w:rPr>
              <w:t>- Ban Bí thư Trung ương Đảng;</w:t>
            </w:r>
          </w:p>
          <w:p w14:paraId="582DBC4B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6D9D809B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bộ;</w:t>
            </w:r>
          </w:p>
          <w:p w14:paraId="4E5BA1B6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2C579012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363ECAEC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21FB850C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492BD182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31115240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008D3BEB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4540519B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4F8779BB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1B55D8BF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4768DABF" w14:textId="77777777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1C9CB68B" w14:textId="752740EF" w:rsid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</w:t>
            </w:r>
            <w:r w:rsidR="00855703">
              <w:rPr>
                <w:rFonts w:ascii="Arial" w:hAnsi="Arial"/>
                <w:sz w:val="20"/>
              </w:rPr>
              <w:t>VPCP</w:t>
            </w:r>
            <w:r>
              <w:rPr>
                <w:rFonts w:ascii="Arial" w:hAnsi="Arial"/>
                <w:sz w:val="20"/>
              </w:rPr>
              <w:t>: BTCN, các PCN, Trợ lý TTg,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các Vụ, Cục, Công báo;</w:t>
            </w:r>
          </w:p>
          <w:p w14:paraId="7BB9CA7A" w14:textId="38E01E8E" w:rsidR="0088377A" w:rsidRPr="004131B2" w:rsidRDefault="004131B2" w:rsidP="004131B2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NN (2b).</w:t>
            </w: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9E63" w14:textId="77777777" w:rsidR="0088377A" w:rsidRDefault="0088377A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1D5DFD61" w14:textId="77777777" w:rsidR="0088377A" w:rsidRDefault="0088377A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1D4FC3E" w14:textId="77777777" w:rsidR="0088377A" w:rsidRDefault="0088377A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55D9231" w14:textId="77777777" w:rsidR="004131B2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69760C" w14:textId="77777777" w:rsidR="004131B2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0B3756" w14:textId="77777777" w:rsidR="004131B2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E151D4" w14:textId="77777777" w:rsidR="004131B2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66A169" w14:textId="77777777" w:rsidR="004131B2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CE3BAB" w14:textId="4FCA1488" w:rsidR="004131B2" w:rsidRPr="00A13C91" w:rsidRDefault="004131B2" w:rsidP="004131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Quốc Dũng</w:t>
            </w:r>
          </w:p>
        </w:tc>
      </w:tr>
    </w:tbl>
    <w:p w14:paraId="4B1FA280" w14:textId="7A096A9E" w:rsidR="00B51BF5" w:rsidRDefault="00B51BF5" w:rsidP="0088377A">
      <w:pPr>
        <w:adjustRightInd w:val="0"/>
        <w:snapToGrid w:val="0"/>
        <w:spacing w:after="120" w:line="240" w:lineRule="auto"/>
        <w:ind w:firstLine="720"/>
        <w:jc w:val="both"/>
      </w:pPr>
    </w:p>
    <w:sectPr w:rsidR="00B51BF5" w:rsidSect="0088377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540B" w14:textId="77777777" w:rsidR="00A4444A" w:rsidRDefault="00A4444A">
      <w:pPr>
        <w:spacing w:after="0" w:line="240" w:lineRule="auto"/>
      </w:pPr>
      <w:r>
        <w:separator/>
      </w:r>
    </w:p>
  </w:endnote>
  <w:endnote w:type="continuationSeparator" w:id="0">
    <w:p w14:paraId="24459BFC" w14:textId="77777777" w:rsidR="00A4444A" w:rsidRDefault="00A4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8C7C9" w14:textId="77777777" w:rsidR="00A4444A" w:rsidRDefault="00A4444A">
      <w:pPr>
        <w:spacing w:after="0" w:line="240" w:lineRule="auto"/>
      </w:pPr>
      <w:r>
        <w:separator/>
      </w:r>
    </w:p>
  </w:footnote>
  <w:footnote w:type="continuationSeparator" w:id="0">
    <w:p w14:paraId="1B4E44C0" w14:textId="77777777" w:rsidR="00A4444A" w:rsidRDefault="00A44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F5"/>
    <w:rsid w:val="001F37D9"/>
    <w:rsid w:val="004131B2"/>
    <w:rsid w:val="0043597D"/>
    <w:rsid w:val="004718C9"/>
    <w:rsid w:val="00517BF9"/>
    <w:rsid w:val="00527303"/>
    <w:rsid w:val="005D766F"/>
    <w:rsid w:val="00855703"/>
    <w:rsid w:val="0088377A"/>
    <w:rsid w:val="00A4444A"/>
    <w:rsid w:val="00B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6AF6"/>
  <w15:docId w15:val="{5D39AC51-6F7E-4012-A55A-60E34B2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7A"/>
  </w:style>
  <w:style w:type="paragraph" w:styleId="Footer">
    <w:name w:val="footer"/>
    <w:basedOn w:val="Normal"/>
    <w:link w:val="FooterChar"/>
    <w:uiPriority w:val="99"/>
    <w:unhideWhenUsed/>
    <w:rsid w:val="00883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2026-07-14T13:01:00Z</dcterms:created>
  <dcterms:modified xsi:type="dcterms:W3CDTF">2026-07-15T02:50:00Z</dcterms:modified>
</cp:coreProperties>
</file>