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AC5350" w:rsidRPr="00AC5350" w14:paraId="66638D32" w14:textId="77777777" w:rsidTr="00AC5350">
        <w:tc>
          <w:tcPr>
            <w:tcW w:w="2037" w:type="pct"/>
          </w:tcPr>
          <w:p w14:paraId="1A447296" w14:textId="01E449B8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C5350" w:rsidRPr="00AC5350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: 213/2025/NĐ-CP</w:t>
            </w:r>
          </w:p>
        </w:tc>
        <w:tc>
          <w:tcPr>
            <w:tcW w:w="2963" w:type="pct"/>
          </w:tcPr>
          <w:p w14:paraId="4EEC9D83" w14:textId="77777777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30 tháng 7 năm 2025</w:t>
            </w:r>
          </w:p>
        </w:tc>
      </w:tr>
    </w:tbl>
    <w:p w14:paraId="2F88221F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6815F2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2C9281" w14:textId="1491D369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CFD2274" w14:textId="7777777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c phòng và khu quân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CC4FF64" w14:textId="38FB8063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</w:pPr>
      <w:r w:rsidRPr="0022563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______________</w:t>
      </w:r>
    </w:p>
    <w:p w14:paraId="34217077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61F6978" w14:textId="5C86A2D3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5E1E1CA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25/2023/QH15;</w:t>
      </w:r>
    </w:p>
    <w:p w14:paraId="443EEAE5" w14:textId="4516B063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r w:rsidR="005635CC" w:rsidRPr="005635CC">
        <w:rPr>
          <w:rFonts w:ascii="Arial" w:hAnsi="Arial" w:cs="Arial"/>
          <w:i/>
          <w:color w:val="000000" w:themeColor="text1"/>
          <w:sz w:val="20"/>
          <w:szCs w:val="20"/>
        </w:rPr>
        <w:t xml:space="preserve"> 11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quân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, qu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 phòng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98/2025/QH15;</w:t>
      </w:r>
    </w:p>
    <w:p w14:paraId="3CC6290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 phòng;</w:t>
      </w:r>
    </w:p>
    <w:p w14:paraId="1922046F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14:paraId="4A5698D9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10E3F3" w14:textId="74C1D00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805C203" w14:textId="7777777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B1F8F1B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FF0B3A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029AB5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12;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18;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25;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26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: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và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dân sinh; trình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cho phép các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cá nhân trong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đình, cá nhân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025E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cho phép phương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bay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hàng không dân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Nam và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phòng không nhân dân, không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FDB6A0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F7EAD0F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phương,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là công dân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Nam;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là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ngoài sinh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và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trên lãnh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79F55179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C20C97" w14:textId="237927B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469C529" w14:textId="0C4A766A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KINH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VÀ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DÂN SINH</w:t>
      </w:r>
    </w:p>
    <w:p w14:paraId="5F7C44CC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BD9A9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3. Trình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chuy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và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dân sinh</w:t>
      </w:r>
    </w:p>
    <w:p w14:paraId="0CE0BE3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có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và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dân sinh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24EE2DA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</w:p>
    <w:p w14:paraId="605957AC" w14:textId="186D6334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trong quy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giao cho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đã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t;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có văn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ng;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không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báo cáo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E8547A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không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trong quy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giao cho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đã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t;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thu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3A1BFB7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a và b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này sau khi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đích, thu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khi rà soát,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8BA800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</w:t>
      </w:r>
    </w:p>
    <w:p w14:paraId="2EB8EDA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Tro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này;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có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phòng;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có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báo cáo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782F25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ý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phòng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liên quan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 báo cáo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597F46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khi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biên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1881CD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4.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sơ chuy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và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dân sinh</w:t>
      </w:r>
    </w:p>
    <w:p w14:paraId="0DC71C8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A9E385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nêu lý do, tên,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m,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và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sa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khi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đích;</w:t>
      </w:r>
    </w:p>
    <w:p w14:paraId="12E43E8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trí, ranh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và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93F30C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trí, ranh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chi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phòng (trong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ng);</w:t>
      </w:r>
    </w:p>
    <w:p w14:paraId="683F58E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dân sinh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liên quan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424D2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báo cáo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79632E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2B6CB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công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4F63CB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Danh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(lo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nhóm,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tích, tình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ng; giá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và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sau khi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đích; lý do chu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5583ED9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5. Chi phí chuy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và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nhu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dân sinh</w:t>
      </w:r>
    </w:p>
    <w:p w14:paraId="413F24D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không còn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chi phí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 có liên quan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bàn giao,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2E74CAD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còn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519623D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a)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có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thu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thì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12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7EA06D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Kinh phí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 mô và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tương đương công trình cũ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phá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(trư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phá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bí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381512C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phí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1B7DA69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Kinh phí có liên quan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lý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toán và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kê, đo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di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phá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tiêu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y;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giá và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giá; chi phí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 khác có liên quan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3E6BFFD0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Chi phí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phá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vào tài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2CEAEB5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41A10F" w14:textId="3D683BE6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00CC95C5" w14:textId="77777777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TRÌNH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CHO PHÉP CÁC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TRONG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9A58EFA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9A477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6. Nguyên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cho phép các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trong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10B449B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cho phép các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các nguyên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3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các nguyên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6F7DD51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đúng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trình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64AFB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2. Không làm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bình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và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36B6E48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169634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trì công trình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bàn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 công trình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12BE5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7. Trình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cho phép các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trong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11DBD4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Thành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</w:t>
      </w:r>
    </w:p>
    <w:p w14:paraId="4CF2BE7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01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7825A4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phép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hành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(th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)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 nhân,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đăng ký phương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ECE880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liê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quan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44612E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</w:t>
      </w:r>
    </w:p>
    <w:p w14:paraId="1F50A43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73B828C4" w14:textId="49F5406A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qua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phòng và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có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B00EB2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các nhóm còn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6D4A0C0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qua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CBD940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c)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đã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hóa, lưu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chuyên ngành thì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thông tin vào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01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khai thác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1FE3F49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072BBD0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33FF3312" w14:textId="1A4A539E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có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liên quan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thông qua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các cơ quan hành chính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28/2018/QĐ-TTg ngày 12 tháng 7 năm 2018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57139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20 ngày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xem xét,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797E187" w14:textId="521BA1F2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chưa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có phi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không tính vào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68B39EB4" w14:textId="44EBB81E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Sau khi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liên quan,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còn có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có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khi trình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DDC551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Nhóm I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A, trung tâm 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gia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và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cơ quan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</w:t>
      </w:r>
    </w:p>
    <w:p w14:paraId="18B9AE00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xem xét,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chưa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cơ quan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có phi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không tính vào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2654EA8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Nhóm I: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B,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C; Nhóm II: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A,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C,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</w:t>
      </w:r>
    </w:p>
    <w:p w14:paraId="22B5FD2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xem xét,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chưa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cơ quan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có phi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không tính vào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3ABEBA2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Nhóm II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B; Nhóm III: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A,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B,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</w:t>
      </w:r>
    </w:p>
    <w:p w14:paraId="41F77DD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cơ quan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phòng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xem xét,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chưa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02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cơ quan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có phi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không tính vào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4EA2C87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là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thông báo cho phép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và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5F15BA4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phân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cho phép các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tron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617913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557753" w14:textId="0F6AF5B9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14CF6F57" w14:textId="42D2C59B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CƠ QUAN, ĐƠN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, CÁ NHÂN 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TRONG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47ADBDA8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4EF1B5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8.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l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lư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chuyên trách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13F7F3E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A54B9F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chuyên trách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F6EF26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huy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2E57143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c)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chuyên trách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Nhóm I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A không niêm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AE786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094E417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thù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10% áp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ày làm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phòng;</w:t>
      </w:r>
    </w:p>
    <w:p w14:paraId="1A324C9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công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0,2 áp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6B13F4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Cách tính và nguyên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</w:p>
    <w:p w14:paraId="28D6763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thù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lương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tính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lương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theo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hàm, 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có),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thâm niên vư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khung (n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có) nhân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10%;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quân hàm (h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sĩ quan, binh sĩ)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tính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quân hàm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nhân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10%;</w:t>
      </w:r>
    </w:p>
    <w:p w14:paraId="4682F95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P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công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lương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tính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lương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0,2;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quân hàm (h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sĩ quan, binh sĩ)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tính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quân hàm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sĩ quan, binh sĩ nhân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0,2;</w:t>
      </w:r>
    </w:p>
    <w:p w14:paraId="29A58AF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tính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có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và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khi có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thôi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danh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15 ngày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lên trong tháng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tháng,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danh dư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15 ngày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áng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50%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tháng đó;</w:t>
      </w:r>
    </w:p>
    <w:p w14:paraId="4ED16E0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Khi thay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công tác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quân hàm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sĩ quan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lương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quân nhân chuyên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quân hàm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sĩ quan, binh sĩ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tháng nào thì áp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theo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công tác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quân hàm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lương,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p quân hàm tương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tháng đó;</w:t>
      </w:r>
    </w:p>
    <w:p w14:paraId="5376571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đ) Các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cùng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lương hàng tháng và không dùng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tính đóng,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và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F7B35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do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toán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A8145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9.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ngày công lao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ng,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ăn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cá nhân đư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2520C0F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7496C300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thiên tai,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6C3D4F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lý tình 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an ninh,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an toàn,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í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D7B8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ăn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cá nhân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33085FD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ngày công lao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dân quân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làm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tranh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o, vùng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352136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ăn cơ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sĩ quan, binh sĩ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binh đang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ngũ trong Quân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nhân dân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5EBFFF48" w14:textId="7ACA5B29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</w:t>
      </w:r>
      <w:r w:rsidR="005D4D44" w:rsidRPr="0022563C">
        <w:rPr>
          <w:rFonts w:ascii="Arial" w:hAnsi="Arial" w:cs="Arial"/>
          <w:color w:val="000000" w:themeColor="text1"/>
          <w:sz w:val="20"/>
          <w:szCs w:val="20"/>
        </w:rPr>
        <w:t>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 có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danh sách,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kê ngày công lao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ng, báo cáo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B1605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do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DC90A9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10. Khen thư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cơ quan,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c, cá nhân có thành tích trong tham gia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04A85D2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ó thành tích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khen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thi đua, khen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khác có liên quan trong các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4A09BB1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1. Hoàn thành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5C389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công trình khi có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nguy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e.</w:t>
      </w:r>
    </w:p>
    <w:p w14:paraId="56F4497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Đóng góp 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vào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trì, nâng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B2DB5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Phát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giác, ngăn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hành vi xâm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m, phá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96015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11.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tài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cơ quan,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c, cá nhân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đư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71BDFA9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 tham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gia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trong các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20441F9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07DCE6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ích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khai thác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sút.</w:t>
      </w:r>
    </w:p>
    <w:p w14:paraId="3AD189CC" w14:textId="2CE023A8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khác do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3A021E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12.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thương,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vong khi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0140E5F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đang tham gia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vong khi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thanh toán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chi phí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chi phí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không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trong danh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23EA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không tham gia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khi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thanh toán toàn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3EA0F9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không tham gia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mà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làm suy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theo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y khoa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xét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tùy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suy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năng la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ng;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vong thì thân nhân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mai táng phí.</w:t>
      </w:r>
    </w:p>
    <w:p w14:paraId="4564FC6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vong khi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xem xét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như thương binh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xem xét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là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sĩ và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346DE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13.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trình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và trách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kinh phí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chi tr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chính sách cho ngư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không tham gia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mà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thương khi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4C69DF2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tham gia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khi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thanh toán toàn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 phí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và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ăn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ngày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trú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khi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e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như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A3EFD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</w:t>
      </w:r>
    </w:p>
    <w:p w14:paraId="70357FF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Đơn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thanh toán chi phí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 (M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4F7B3E0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hóa đơn thu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606C8BD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0D4FD7B9" w14:textId="25170ACD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 chu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01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trên </w:t>
      </w:r>
      <w:r w:rsidR="00FB39BE" w:rsidRPr="00FB39BE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  <w:r w:rsidR="00FB39BE" w:rsidRPr="00FB39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thông tin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hành chính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qua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bưu chính công ích;</w:t>
      </w:r>
    </w:p>
    <w:p w14:paraId="4B139E9C" w14:textId="5E5856A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b)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phân công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10 ngày trình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ra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kinh phí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cho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thương,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chưa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thì có Phi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sơ;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không tính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thành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ơ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đã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hóa, lưu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cơ quan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 cung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thông tin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khai thác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chính;</w:t>
      </w:r>
    </w:p>
    <w:p w14:paraId="4AB8AEAC" w14:textId="23EEAFC1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ra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kinh phí,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 nơi công dân đăng ký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trú có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kinh phí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thương;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qua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bưu chính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quan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11DAD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chi phí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0A04781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ý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thân;</w:t>
      </w:r>
    </w:p>
    <w:p w14:paraId="687EEC7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vì các lý do không liên quan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430F6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5. 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do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FB2279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14. 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ng, trình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và trách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kinh phí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chi tr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chính sách cho ngư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không tham gia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mà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n,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khi th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20A6023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1BB06FC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Trong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 phí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và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ăn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ngày,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thương tái phát cho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khi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e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như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ABCA65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thân nhân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mai táng phí như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dân quân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46464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02D02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5FF786F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(M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36025B3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trích sao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án sau khi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trú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thương tích do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nơi đã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3716B5A" w14:textId="083FDC2E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Biên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giám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suy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FB39BE" w:rsidRPr="00FB39BE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y khoa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và tương đương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lên;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giao thông thì có thêm biên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cơ quan Công an.</w:t>
      </w:r>
    </w:p>
    <w:p w14:paraId="01301B8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mai táng phí</w:t>
      </w:r>
    </w:p>
    <w:p w14:paraId="2D9D275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mai táng phí (M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03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này);</w:t>
      </w:r>
    </w:p>
    <w:p w14:paraId="00FA326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trích sao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án sau khi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trú,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khai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giao thông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thì có thêm biên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cơ quan Công an.</w:t>
      </w:r>
    </w:p>
    <w:p w14:paraId="196BA46C" w14:textId="3B8EDF9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Trình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thành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đã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hóa, lưu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thông tin,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cơ quan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cơ quan Công an thì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thông tin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 khai thác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518F71A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không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707FA06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5. 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phí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do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FB4E5AE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0F704D" w14:textId="2DC4BDDF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635415AF" w14:textId="1FCBB8C6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A PHƯƠNG,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GIA 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ĐÌNH, CÁ NHÂN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TÁC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62282907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D0C10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15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a phương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xã, thôn trong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c phòng và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0289027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Các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xã, thôn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ưu tiên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5D2FF3B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nâng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hóa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giao thông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trung tâm xã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các thôn,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thôn, liên thôn;</w:t>
      </w:r>
    </w:p>
    <w:p w14:paraId="13A633B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áp và lư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các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dân;</w:t>
      </w:r>
    </w:p>
    <w:p w14:paraId="6A1BAC3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các công trình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sinh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trung;</w:t>
      </w:r>
    </w:p>
    <w:p w14:paraId="42AB33B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Nhà sinh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phát tha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nhà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giáo;</w:t>
      </w:r>
    </w:p>
    <w:p w14:paraId="3CEBDCF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a, mua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xã;</w:t>
      </w:r>
    </w:p>
    <w:p w14:paraId="3F89596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e)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nông, lâm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phát huy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năng,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các vùng mi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hàng hóa theo chu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38BF69" w14:textId="7ECC6910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g)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quá trình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tăng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hàng hóa,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thúc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và kinh doanh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trên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năng,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nh và 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tài nguyên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có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phương;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làm và thu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phát huy giá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văn hóa truy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thông tin, truy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thông nâng cao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tinh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Nhân dân;</w:t>
      </w:r>
    </w:p>
    <w:p w14:paraId="0313C89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h)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nâng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công trình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dân cư,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902C0C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 các chính sách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như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xã, thôn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Chương trình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núi theo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A9E15D" w14:textId="5BE5511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khai và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537AC8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và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danh sách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công trình,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làm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khai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3E2F85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và ban hành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trong giai đo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5 năm và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năm bao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cô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(5 năm),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kinh doanh,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các cơ quan liên quan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và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cơ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liên quan;</w:t>
      </w:r>
    </w:p>
    <w:p w14:paraId="255EAD2D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o, phân công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và các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ban, ngành trong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C266353" w14:textId="09D532B8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Trình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ban hành và ban hành theo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cơ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sách,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khai trên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nh; ban hành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 ghép 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chương trình,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khác có cùng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dung,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cơ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không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chéo, trùng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các chương trình,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7BD4809" w14:textId="797B0104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do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8155C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16.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chính sách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gia đình và cá nhân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t, kinh doanh, thư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trú trong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3C4FC0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Các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 và cá nhân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kinh doanh,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trú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 chính sách sau:</w:t>
      </w:r>
    </w:p>
    <w:p w14:paraId="2705639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a)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và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(h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chu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tư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vào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cây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nuôi có giá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cao;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tiêm phò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nguy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cho gia súc, gia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m;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t);</w:t>
      </w:r>
    </w:p>
    <w:p w14:paraId="14CBA4C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có thu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chăn nuôi,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thông qua vay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tín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sách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lãi su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ưu đãi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37C395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B14F92" w14:textId="411862B2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khoán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giao cho Ban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giao cho các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hành;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ên do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lý;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là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phòng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là 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nhiên đã giao cho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đình;</w:t>
      </w:r>
    </w:p>
    <w:p w14:paraId="4046630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đa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hóa sinh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khác do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phù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phong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quán,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ng; phù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6751552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e)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363CF56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9EBB9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cơ quan trung ương,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do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nhưng không quá 80%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chi phí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(01)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ch;</w:t>
      </w:r>
    </w:p>
    <w:p w14:paraId="738F8DE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do cơ quan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nhưng không vư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54304D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các chính sách khác như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 và cá nhân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Chương trình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vùng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núi theo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1EBCE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51418DE2" w14:textId="690D1F98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xã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danh sách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 và cá nhân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kinh doanh,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trú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u này, trình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AECF822" w14:textId="0D89DFF4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danh sách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đình, cá nhân,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thanh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toán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FF812CF" w14:textId="3D25F34A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 do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và ngân sách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o;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trong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toán ngân sách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năm theo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AF65C9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17.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chính sách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gia đình và cá nhân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năng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t; quy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và l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ích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pháp khác trong 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84B4BC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Các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do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BA6BDE0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a) Làm thay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sang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phi nông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sang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6CF172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b) Làm thay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phi nông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không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là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sang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nông nghi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71B76E9B" w14:textId="162BF002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không làm thay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nhưng làm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thì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i do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căn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1B28C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2. Nhà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công trình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khác và các tài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khác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do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DF8D096" w14:textId="45438F26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Khi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không trên 70%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có nhà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công trình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u này thì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lastRenderedPageBreak/>
        <w:t>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còn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cũng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này,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còn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hơn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tích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220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chuyên ngành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có công trình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D66BFFD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có nhà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mà khi x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công trình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thì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u nhà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ngoài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này,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có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tái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cư,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chi phí di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và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52C7EA58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E04147" w14:textId="39BAEAA1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4B34F7B7" w14:textId="77777777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TRÁCH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, NGÀNH,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A PHƯƠNG</w:t>
      </w:r>
    </w:p>
    <w:p w14:paraId="541263DD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A1006C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18.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63E14F05" w14:textId="25EB8890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chính và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trong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5A15246" w14:textId="31308B05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chính và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tham mưu,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trương, chính sách,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chương trình,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nơi có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DE310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các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công 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và chính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trong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bàn an toàn,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tuyên truy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thi hành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và x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lý các vi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0ACA9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19.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0C0A7A1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Côn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g 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chính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an toàn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trên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8FA949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Công 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phòng,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chính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tra, x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lý các vi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23C66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Cung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77EBA20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20.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Y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3B7489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khám,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tham gia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lý,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hành chính,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969E44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21.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3E67AD4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 tham mưu,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trương, chính sách,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chương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ình,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nơi có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Nhóm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A6F075C" w14:textId="19F9AB36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trong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và hàng năm;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kinh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í, chi tiêu,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chương trình,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theo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chính sách vào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05 năm và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năm, báo cáo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07A1F5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Theo dõi,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tra, thanh tra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ch, chương trình,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gia đình, cá nhân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118BB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trì,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kinh phí thư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xuyên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các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chi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ngân sách trung ương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và các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42B063E" w14:textId="587BC48F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u 22. </w:t>
      </w:r>
      <w:r w:rsidR="00AC5350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19B2E07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trình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ban hành cơ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ban hành văn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9416A2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o, phân công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và các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ban, ngành trong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theo nguyên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phân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và tăng cư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cho cơ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9343ED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Xây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trong giai đo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05 năm và hàng năm bao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các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dung: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tư, ngu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tiêu,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chương trình,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chính, các cơ quan liên quan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trí ngân sách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5A1988A" w14:textId="217A0C86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Căn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 phương,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cơ quan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 và quy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luân chuy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chi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các bư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có liên quan,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liên thông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các cơ quan có liên quan theo cơ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không quá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theo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này; công khai các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hành chính và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365BDE0" w14:textId="77777777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khai;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tra, đánh giá và báo cáo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chính sách trên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theo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theo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34BCB92" w14:textId="77777777" w:rsidR="00AC5350" w:rsidRPr="0022563C" w:rsidRDefault="00AC5350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3208C0" w14:textId="608E046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 </w:t>
      </w:r>
    </w:p>
    <w:p w14:paraId="37868771" w14:textId="77777777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N THI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14:paraId="5BCCE0CF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F06BDC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23. 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0ABA9A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 15 tháng 9 năm 2025 và thay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04/CP ngày 16 tháng 01 năm 1995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498392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 thi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ành</w:t>
      </w:r>
    </w:p>
    <w:p w14:paraId="6ED5133C" w14:textId="2D6BCC69" w:rsidR="00564CC0" w:rsidRPr="00AC5350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trung ương, 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và cá nhân liên quan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này./.</w:t>
      </w:r>
    </w:p>
    <w:p w14:paraId="7F4FE572" w14:textId="5DD9549E" w:rsidR="00564CC0" w:rsidRPr="00AC5350" w:rsidRDefault="00564CC0" w:rsidP="00AC535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5350" w:rsidRPr="00AC5350" w14:paraId="7EB7DF93" w14:textId="77777777" w:rsidTr="00AC5350">
        <w:tc>
          <w:tcPr>
            <w:tcW w:w="2500" w:type="pct"/>
          </w:tcPr>
          <w:p w14:paraId="372241F9" w14:textId="24AB01F8" w:rsidR="00564CC0" w:rsidRPr="00AC5350" w:rsidRDefault="008F572A" w:rsidP="00AC535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C535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Ban Bí thư Trung 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 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</w:t>
            </w:r>
            <w:r w:rsid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B39BE" w:rsidRPr="00E133DB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rung ương M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</w:t>
            </w:r>
            <w:r w:rsidR="00E133DB" w:rsidRPr="00E133D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NC (2b)</w:t>
            </w:r>
          </w:p>
        </w:tc>
        <w:tc>
          <w:tcPr>
            <w:tcW w:w="2500" w:type="pct"/>
          </w:tcPr>
          <w:p w14:paraId="3849B52A" w14:textId="657C43D7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KT. TH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TƯ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Ớ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TƯ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Ớ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NG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AC5350" w:rsidRPr="0022563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Nguy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ễ</w:t>
            </w:r>
            <w:r w:rsidRPr="00AC5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 Hòa Bình</w:t>
            </w:r>
          </w:p>
        </w:tc>
      </w:tr>
    </w:tbl>
    <w:p w14:paraId="0C18CCFD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7CB052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AC5350" w:rsidRPr="00AC5350" w:rsidSect="00AC535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F090A01" w14:textId="0DE45836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8D1AF17" w14:textId="77777777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 xml:space="preserve"> 213/2025/NĐ-CP ngày 30 tháng 7 năm 2025 c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0B3525D6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F36E065" w14:textId="77777777" w:rsidR="00564CC0" w:rsidRPr="00AC5350" w:rsidRDefault="008F572A" w:rsidP="00AC535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AC5350" w:rsidRPr="00AC5350" w14:paraId="2399AAD3" w14:textId="77777777" w:rsidTr="00AC5350">
        <w:tc>
          <w:tcPr>
            <w:tcW w:w="1645" w:type="pct"/>
          </w:tcPr>
          <w:p w14:paraId="674B50C4" w14:textId="6B438CFC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....(1)....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C5350" w:rsidRPr="0022563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: .......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V/v 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cho phép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ho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ng ......(2).....</w:t>
            </w:r>
          </w:p>
        </w:tc>
        <w:tc>
          <w:tcPr>
            <w:tcW w:w="3355" w:type="pct"/>
          </w:tcPr>
          <w:p w14:paraId="4F665362" w14:textId="67B91EAF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...., ngày ... tháng ... năm </w:t>
            </w:r>
            <w:r w:rsidR="00E64F67" w:rsidRPr="00E64F6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</w:t>
            </w:r>
          </w:p>
        </w:tc>
      </w:tr>
    </w:tbl>
    <w:p w14:paraId="4698BD60" w14:textId="77777777" w:rsidR="00AC5350" w:rsidRPr="00E64F67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93B1A6C" w14:textId="10F94A01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i: ......(3).......</w:t>
      </w:r>
    </w:p>
    <w:p w14:paraId="337A3E7B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717CCC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.../2025/NĐ-CP ngày ... tháng ... năm 2025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(1)...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phép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(2)... như sau:</w:t>
      </w:r>
    </w:p>
    <w:p w14:paraId="5BCD769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1. Tên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ng:...............................................................</w:t>
      </w:r>
    </w:p>
    <w:p w14:paraId="744BB94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ngày... tháng... năm...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ngày...tháng... năm.....</w:t>
      </w:r>
    </w:p>
    <w:p w14:paraId="180FAFA3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m:....................................................................................................</w:t>
      </w:r>
    </w:p>
    <w:p w14:paraId="2CD1C7C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m:.........................................................................</w:t>
      </w:r>
    </w:p>
    <w:p w14:paraId="06E9BC5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5. Thông tin liên quan:...........................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</w:t>
      </w:r>
    </w:p>
    <w:p w14:paraId="4FEA2A8B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liên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có):.......................................</w:t>
      </w:r>
    </w:p>
    <w:p w14:paraId="656EFC6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kèm theo: ... (4)........................................................</w:t>
      </w:r>
    </w:p>
    <w:p w14:paraId="6DD5B017" w14:textId="77777777" w:rsidR="00564CC0" w:rsidRPr="0022563C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Chúng tôi cam k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đúng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dung trên theo các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công trình qu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phòng và khu quân 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có trách nhi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an toàn xã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i, môi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ng, 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phòng,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cháy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các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khác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có liên quan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và trong quá trình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ng./.</w:t>
      </w:r>
    </w:p>
    <w:p w14:paraId="04035DFB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5350" w:rsidRPr="00AC5350" w14:paraId="52E08457" w14:textId="77777777" w:rsidTr="00AC5350">
        <w:tc>
          <w:tcPr>
            <w:tcW w:w="2500" w:type="pct"/>
          </w:tcPr>
          <w:p w14:paraId="2EFB8E14" w14:textId="2256E9BB" w:rsidR="00564CC0" w:rsidRPr="00AC5350" w:rsidRDefault="008F572A" w:rsidP="00AC535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C535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C5350" w:rsidRPr="0022563C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trên;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....;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...</w:t>
            </w:r>
          </w:p>
        </w:tc>
        <w:tc>
          <w:tcPr>
            <w:tcW w:w="2500" w:type="pct"/>
          </w:tcPr>
          <w:p w14:paraId="03865110" w14:textId="77777777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C/CÁ NHÂN Đ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ọ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tên, đóng d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ấ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u)</w:t>
            </w:r>
          </w:p>
        </w:tc>
      </w:tr>
    </w:tbl>
    <w:p w14:paraId="79273F3C" w14:textId="77777777" w:rsidR="00AC5350" w:rsidRPr="0022563C" w:rsidRDefault="00AC5350" w:rsidP="00AC5350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A41D9EC" w14:textId="103916AA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(1)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B51DDD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(2) Tên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phép.</w:t>
      </w:r>
    </w:p>
    <w:p w14:paraId="2EB785C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(3)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Cơ quan nhà nư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cho phép</w:t>
      </w:r>
    </w:p>
    <w:p w14:paraId="5193D784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(4) Các lo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liên quan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cho phép</w:t>
      </w:r>
    </w:p>
    <w:p w14:paraId="51B53BDD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C679DC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  <w:sectPr w:rsidR="00AC5350" w:rsidRPr="00AC5350" w:rsidSect="00AC535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FBFD3F2" w14:textId="71B1EBF0" w:rsidR="00564CC0" w:rsidRPr="00AC5350" w:rsidRDefault="008F572A" w:rsidP="00AC535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02</w:t>
      </w:r>
    </w:p>
    <w:p w14:paraId="4F34777A" w14:textId="4AF48721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AC5350" w:rsidRPr="00AC535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68E0D7FC" w14:textId="77777777" w:rsidR="00AC5350" w:rsidRPr="00AC5350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D8525F" w14:textId="2462443F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ĐƠN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47DCD230" w14:textId="7777777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THANH TOÁN CHI PHÍ 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KHÁM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2DEB213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D7866CE" w14:textId="548AC69D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i: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...(1)...</w:t>
      </w:r>
    </w:p>
    <w:p w14:paraId="451E0571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0CF835" w14:textId="16147C5B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..........(2)..........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7F9AB708" w14:textId="04D564FE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cư trú: 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i: 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thư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:......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</w:t>
      </w:r>
    </w:p>
    <w:p w14:paraId="6D6CAD6F" w14:textId="4196F31C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danh cá nhân:.............................................................................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</w:t>
      </w:r>
    </w:p>
    <w:p w14:paraId="7D465B27" w14:textId="26F3C605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n:.........................................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F23F3A9" w14:textId="01C634DE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(Trình bày tóm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lý do,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gian, nơi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nh):.......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</w:t>
      </w:r>
    </w:p>
    <w:p w14:paraId="7147640C" w14:textId="382CDECB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</w:t>
      </w:r>
    </w:p>
    <w:p w14:paraId="5AD60F67" w14:textId="5AEAB3F5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Tôi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thanh toán chi phí khám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nh cho 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.(3)....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</w:t>
      </w:r>
    </w:p>
    <w:p w14:paraId="6119C3C0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thanh toán là: ...............................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47774B8" w14:textId="0825EE0D" w:rsidR="00564CC0" w:rsidRPr="0022563C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:....................................................................................................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............................</w:t>
      </w:r>
    </w:p>
    <w:p w14:paraId="65C573C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kèm theo đơn này: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hóa đơn thu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n;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2F6CD2A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Kính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xem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xét,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129AF7B" w14:textId="77777777" w:rsidR="00564CC0" w:rsidRPr="0022563C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Tôi xin trân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ơn!</w:t>
      </w:r>
    </w:p>
    <w:p w14:paraId="07EE28C8" w14:textId="77777777" w:rsidR="00AC5350" w:rsidRPr="0022563C" w:rsidRDefault="00AC5350" w:rsidP="00AC5350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5350" w:rsidRPr="00AC5350" w14:paraId="47448921" w14:textId="77777777" w:rsidTr="00AC5350">
        <w:tc>
          <w:tcPr>
            <w:tcW w:w="2500" w:type="pct"/>
          </w:tcPr>
          <w:p w14:paraId="273DD8C1" w14:textId="4A79A048" w:rsidR="00564CC0" w:rsidRPr="00AC5350" w:rsidRDefault="008F572A" w:rsidP="00E64F67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Xác nh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Ủy ban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nhân dân c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E64F67" w:rsidRPr="002256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 và đơn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qu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lý, b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="00E64F67" w:rsidRPr="002256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CTQP và KQS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tham gia th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E64F67" w:rsidRPr="0022563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nhi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2500" w:type="pct"/>
          </w:tcPr>
          <w:p w14:paraId="0AB11A24" w14:textId="77777777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...(4).... ngày.... tháng.... năm........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VI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ĐƠN (5)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ọ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tên)</w:t>
            </w:r>
          </w:p>
        </w:tc>
      </w:tr>
    </w:tbl>
    <w:p w14:paraId="367CF88E" w14:textId="77777777" w:rsidR="00AC5350" w:rsidRPr="0022563C" w:rsidRDefault="00AC5350" w:rsidP="00AC5350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662ECDD" w14:textId="22ADCCBF" w:rsidR="00AC5350" w:rsidRPr="0022563C" w:rsidRDefault="00AC5350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2256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</w:t>
      </w:r>
    </w:p>
    <w:p w14:paraId="2B4D9DB7" w14:textId="49BBAED3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(1) Ghi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tên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BA85071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(2) (5)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tên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đơn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đơn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ghi rõ quan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đau,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thương.</w:t>
      </w:r>
    </w:p>
    <w:p w14:paraId="6322EC85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(3)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D8929E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(4)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danh.</w:t>
      </w:r>
    </w:p>
    <w:p w14:paraId="73583F6B" w14:textId="77777777" w:rsidR="00AC5350" w:rsidRPr="00AC5350" w:rsidRDefault="00AC5350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C5350" w:rsidRPr="00AC5350" w:rsidSect="00AC5350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087D8B3F" w14:textId="77777777" w:rsidR="00564CC0" w:rsidRPr="00AC5350" w:rsidRDefault="008F572A" w:rsidP="00AC5350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03</w:t>
      </w:r>
    </w:p>
    <w:p w14:paraId="5353AD2D" w14:textId="2AC9FE27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br/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AC5350" w:rsidRPr="00AC5350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AC5350" w:rsidRPr="00AC5350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4C278784" w14:textId="77777777" w:rsidR="00564CC0" w:rsidRPr="00AC5350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ĐƠN Đ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2386A993" w14:textId="77777777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TAI N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N, TR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 TU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AC5350">
        <w:rPr>
          <w:rFonts w:ascii="Arial" w:hAnsi="Arial" w:cs="Arial"/>
          <w:b/>
          <w:color w:val="000000" w:themeColor="text1"/>
          <w:sz w:val="20"/>
          <w:szCs w:val="20"/>
        </w:rPr>
        <w:t xml:space="preserve"> MAI TÁNG PHÍ</w:t>
      </w:r>
    </w:p>
    <w:p w14:paraId="71DB1C79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241EFC" w14:textId="59730EBF" w:rsidR="00564CC0" w:rsidRPr="0022563C" w:rsidRDefault="008F572A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i: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dân...(1)...</w:t>
      </w:r>
    </w:p>
    <w:p w14:paraId="420A3BBF" w14:textId="77777777" w:rsidR="00AC5350" w:rsidRPr="0022563C" w:rsidRDefault="00AC5350" w:rsidP="00AC535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C54DF7" w14:textId="4AE493DB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tên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.............................................(2).....................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</w:t>
      </w:r>
    </w:p>
    <w:p w14:paraId="204CBADA" w14:textId="4FFCC309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cư trú: ..........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i: ............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thư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:...................</w:t>
      </w:r>
    </w:p>
    <w:p w14:paraId="3AA8EEEF" w14:textId="2ED305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danh cá nhân:.......................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</w:t>
      </w:r>
    </w:p>
    <w:p w14:paraId="7DE32126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n:............................................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</w:t>
      </w:r>
    </w:p>
    <w:p w14:paraId="0D7B9A8E" w14:textId="347BB90B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(Trình bày tóm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lý do,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gian, nơi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t).......</w:t>
      </w:r>
      <w:r w:rsidR="00AC5350"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</w:t>
      </w:r>
    </w:p>
    <w:p w14:paraId="25D7B2B0" w14:textId="77777777" w:rsidR="00AC5350" w:rsidRPr="0022563C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Tôi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thanh toán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(tr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mai táng phí)</w:t>
      </w:r>
    </w:p>
    <w:p w14:paraId="59E4F4DA" w14:textId="1AF4E1EF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cho 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.....(3).....................................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</w:t>
      </w:r>
    </w:p>
    <w:p w14:paraId="3F92430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thanh toán là: .........................................đ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ng...</w:t>
      </w:r>
    </w:p>
    <w:p w14:paraId="69228310" w14:textId="332D15B9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</w:t>
      </w:r>
      <w:r w:rsidR="00AC5350" w:rsidRPr="0022563C">
        <w:rPr>
          <w:rFonts w:ascii="Arial" w:hAnsi="Arial" w:cs="Arial"/>
          <w:color w:val="000000" w:themeColor="text1"/>
          <w:sz w:val="20"/>
          <w:szCs w:val="20"/>
        </w:rPr>
        <w:t>............................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..................</w:t>
      </w:r>
    </w:p>
    <w:p w14:paraId="6C0AF1F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G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kèm theo đơn này: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ra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trích sao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án sau khi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i trú 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thương tích; biên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giám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suy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y khoa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 và tương đương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lên; trư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giao thông thì có thêm biên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cơ quan Công an; b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sao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khai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t).</w:t>
      </w:r>
    </w:p>
    <w:p w14:paraId="7AF2C722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Kính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xem xét, gi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ECE5B29" w14:textId="77777777" w:rsidR="00564CC0" w:rsidRPr="0022563C" w:rsidRDefault="008F572A" w:rsidP="00AC535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Tôi xin trân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m ơn!</w:t>
      </w:r>
    </w:p>
    <w:p w14:paraId="19AAF414" w14:textId="77777777" w:rsidR="00AC5350" w:rsidRPr="0022563C" w:rsidRDefault="00AC5350" w:rsidP="00AC5350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5350" w:rsidRPr="00AC5350" w14:paraId="50E9708E" w14:textId="77777777" w:rsidTr="00AC5350">
        <w:tc>
          <w:tcPr>
            <w:tcW w:w="2500" w:type="pct"/>
          </w:tcPr>
          <w:p w14:paraId="5D8C1ED1" w14:textId="2159EA43" w:rsidR="00564CC0" w:rsidRPr="00AC5350" w:rsidRDefault="008F572A" w:rsidP="00E64F67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Xác nh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Ủy ban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nhân dân c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xã và đơn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qu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lý, b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CTQP và KQS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tham gia th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 hi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nhi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v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2500" w:type="pct"/>
          </w:tcPr>
          <w:p w14:paraId="6387197B" w14:textId="77777777" w:rsidR="00564CC0" w:rsidRPr="00AC5350" w:rsidRDefault="008F572A" w:rsidP="00AC535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...(4).... 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ngày.... tháng.... năm........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VI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AC535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ĐƠN (5)</w:t>
            </w:r>
            <w:r w:rsidRPr="00AC535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ọ</w:t>
            </w:r>
            <w:r w:rsidRPr="00AC535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tên)</w:t>
            </w:r>
          </w:p>
        </w:tc>
      </w:tr>
    </w:tbl>
    <w:p w14:paraId="31E517D0" w14:textId="77777777" w:rsidR="00AC5350" w:rsidRPr="0022563C" w:rsidRDefault="00AC5350" w:rsidP="00AC5350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725C9F4" w14:textId="4AF0CF9E" w:rsidR="00AC5350" w:rsidRPr="0022563C" w:rsidRDefault="00AC5350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2256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</w:t>
      </w:r>
    </w:p>
    <w:p w14:paraId="268FCE81" w14:textId="7BA371E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(1) Ghi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tên </w:t>
      </w:r>
      <w:r w:rsidR="00AC5350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5F1F94F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(2) (5)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và tên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đơn 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pháp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 đơn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tai n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(ho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tu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 mai táng phí) ph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ghi rõ quan 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F652B8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(3) Ngư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D042F9" w14:textId="77777777" w:rsidR="00564CC0" w:rsidRPr="00AC5350" w:rsidRDefault="008F572A" w:rsidP="00AC535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350">
        <w:rPr>
          <w:rFonts w:ascii="Arial" w:hAnsi="Arial" w:cs="Arial"/>
          <w:color w:val="000000" w:themeColor="text1"/>
          <w:sz w:val="20"/>
          <w:szCs w:val="20"/>
        </w:rPr>
        <w:t>(4) Đ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5350">
        <w:rPr>
          <w:rFonts w:ascii="Arial" w:hAnsi="Arial" w:cs="Arial"/>
          <w:color w:val="000000" w:themeColor="text1"/>
          <w:sz w:val="20"/>
          <w:szCs w:val="20"/>
        </w:rPr>
        <w:t>a danh.</w:t>
      </w:r>
    </w:p>
    <w:sectPr w:rsidR="00564CC0" w:rsidRPr="00AC5350" w:rsidSect="00AC535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07127" w14:textId="77777777" w:rsidR="008F572A" w:rsidRDefault="008F572A">
      <w:pPr>
        <w:spacing w:after="0" w:line="240" w:lineRule="auto"/>
      </w:pPr>
      <w:r>
        <w:separator/>
      </w:r>
    </w:p>
  </w:endnote>
  <w:endnote w:type="continuationSeparator" w:id="0">
    <w:p w14:paraId="53D671C4" w14:textId="77777777" w:rsidR="008F572A" w:rsidRDefault="008F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92BB" w14:textId="77777777" w:rsidR="008F572A" w:rsidRDefault="008F572A">
      <w:pPr>
        <w:spacing w:after="0" w:line="240" w:lineRule="auto"/>
      </w:pPr>
      <w:r>
        <w:separator/>
      </w:r>
    </w:p>
  </w:footnote>
  <w:footnote w:type="continuationSeparator" w:id="0">
    <w:p w14:paraId="063C556A" w14:textId="77777777" w:rsidR="008F572A" w:rsidRDefault="008F5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C0"/>
    <w:rsid w:val="000B4B59"/>
    <w:rsid w:val="0022563C"/>
    <w:rsid w:val="0025754B"/>
    <w:rsid w:val="003251EB"/>
    <w:rsid w:val="003B2A2A"/>
    <w:rsid w:val="003E501E"/>
    <w:rsid w:val="00417DC7"/>
    <w:rsid w:val="005635CC"/>
    <w:rsid w:val="00564CC0"/>
    <w:rsid w:val="005D4D44"/>
    <w:rsid w:val="007F6888"/>
    <w:rsid w:val="008F572A"/>
    <w:rsid w:val="009E5687"/>
    <w:rsid w:val="00AB1D40"/>
    <w:rsid w:val="00AC5350"/>
    <w:rsid w:val="00C86CBB"/>
    <w:rsid w:val="00E133DB"/>
    <w:rsid w:val="00E33836"/>
    <w:rsid w:val="00E64F67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B0FA"/>
  <w15:docId w15:val="{AE7617B3-3B8A-49D3-9497-14659ED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350"/>
  </w:style>
  <w:style w:type="paragraph" w:styleId="Footer">
    <w:name w:val="footer"/>
    <w:basedOn w:val="Normal"/>
    <w:link w:val="FooterChar"/>
    <w:uiPriority w:val="99"/>
    <w:unhideWhenUsed/>
    <w:rsid w:val="00AC5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6515</Words>
  <Characters>37139</Characters>
  <Application>Microsoft Office Word</Application>
  <DocSecurity>0</DocSecurity>
  <Lines>309</Lines>
  <Paragraphs>87</Paragraphs>
  <ScaleCrop>false</ScaleCrop>
  <Company/>
  <LinksUpToDate>false</LinksUpToDate>
  <CharactersWithSpaces>43567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17</cp:revision>
  <dcterms:created xsi:type="dcterms:W3CDTF">2025-07-31T09:55:00Z</dcterms:created>
  <dcterms:modified xsi:type="dcterms:W3CDTF">2025-08-01T01:15:00Z</dcterms:modified>
</cp:coreProperties>
</file>