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5610"/>
      </w:tblGrid>
      <w:tr w:rsidR="006141AB" w:rsidRPr="006141AB" w:rsidTr="00E3250C">
        <w:trPr>
          <w:trHeight w:val="737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065" w:rsidRPr="006141AB" w:rsidRDefault="00977065" w:rsidP="008F3E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BỘ TÀI CHÍNH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6141AB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</w:t>
            </w:r>
          </w:p>
          <w:p w:rsidR="00977065" w:rsidRPr="006141AB" w:rsidRDefault="00977065" w:rsidP="008F3E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Số: 216/QĐ-BTC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065" w:rsidRPr="006141AB" w:rsidRDefault="00977065" w:rsidP="008F3E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6141AB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_______________________</w:t>
            </w:r>
          </w:p>
          <w:p w:rsidR="00977065" w:rsidRPr="006141AB" w:rsidRDefault="00977065" w:rsidP="008F3E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Hà Nội, ngày 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01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tháng 0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2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năm 2024</w:t>
            </w:r>
          </w:p>
        </w:tc>
      </w:tr>
    </w:tbl>
    <w:p w:rsidR="00977065" w:rsidRPr="006141AB" w:rsidRDefault="00977065" w:rsidP="008F3ED9">
      <w:pPr>
        <w:pStyle w:val="BodyText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77065" w:rsidRPr="006141AB" w:rsidRDefault="00977065" w:rsidP="008F3ED9">
      <w:pPr>
        <w:pStyle w:val="BodyText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B29DC" w:rsidRPr="006141AB" w:rsidRDefault="00977065" w:rsidP="008F3ED9">
      <w:pPr>
        <w:pStyle w:val="BodyText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>Q</w:t>
      </w:r>
      <w:r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U</w:t>
      </w:r>
      <w:r w:rsidRPr="006141AB">
        <w:rPr>
          <w:rFonts w:ascii="Arial" w:hAnsi="Arial" w:cs="Arial"/>
          <w:b/>
          <w:bCs/>
          <w:color w:val="auto"/>
          <w:sz w:val="20"/>
          <w:szCs w:val="20"/>
        </w:rPr>
        <w:t>Y</w:t>
      </w:r>
      <w:r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Ế</w:t>
      </w:r>
      <w:r w:rsidR="008622B1" w:rsidRPr="006141AB">
        <w:rPr>
          <w:rFonts w:ascii="Arial" w:hAnsi="Arial" w:cs="Arial"/>
          <w:b/>
          <w:bCs/>
          <w:color w:val="auto"/>
          <w:sz w:val="20"/>
          <w:szCs w:val="20"/>
        </w:rPr>
        <w:t>T ĐỊNH</w:t>
      </w:r>
    </w:p>
    <w:p w:rsidR="003B29DC" w:rsidRPr="006141AB" w:rsidRDefault="008622B1" w:rsidP="008F3ED9">
      <w:pPr>
        <w:pStyle w:val="BodyText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>Công bố danh mục chế độ báo cáo định kỳ trong lĩnh vực</w:t>
      </w:r>
      <w:r w:rsidRPr="006141AB">
        <w:rPr>
          <w:rFonts w:ascii="Arial" w:hAnsi="Arial" w:cs="Arial"/>
          <w:b/>
          <w:bCs/>
          <w:color w:val="auto"/>
          <w:sz w:val="20"/>
          <w:szCs w:val="20"/>
        </w:rPr>
        <w:br/>
        <w:t>bảo hiểm thuộc phạm vi quản lý của Bộ Tài chính</w:t>
      </w:r>
    </w:p>
    <w:p w:rsidR="00977065" w:rsidRPr="006141AB" w:rsidRDefault="00977065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b w:val="0"/>
          <w:color w:val="auto"/>
          <w:sz w:val="20"/>
          <w:szCs w:val="20"/>
          <w:vertAlign w:val="superscript"/>
          <w:lang w:val="en-SG"/>
        </w:rPr>
      </w:pPr>
      <w:bookmarkStart w:id="0" w:name="bookmark0"/>
      <w:bookmarkStart w:id="1" w:name="bookmark1"/>
      <w:bookmarkStart w:id="2" w:name="bookmark2"/>
      <w:r w:rsidRPr="006141AB">
        <w:rPr>
          <w:rFonts w:ascii="Arial" w:hAnsi="Arial" w:cs="Arial"/>
          <w:b w:val="0"/>
          <w:color w:val="auto"/>
          <w:sz w:val="20"/>
          <w:szCs w:val="20"/>
          <w:vertAlign w:val="superscript"/>
          <w:lang w:val="en-SG"/>
        </w:rPr>
        <w:t>________________</w:t>
      </w:r>
    </w:p>
    <w:p w:rsidR="003B29DC" w:rsidRPr="006141AB" w:rsidRDefault="00977065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color w:val="auto"/>
          <w:sz w:val="20"/>
          <w:szCs w:val="20"/>
        </w:rPr>
        <w:t>BỘ TRƯỞNG BỘ TÀI CHÍNH</w:t>
      </w:r>
      <w:bookmarkEnd w:id="0"/>
      <w:bookmarkEnd w:id="1"/>
      <w:bookmarkEnd w:id="2"/>
    </w:p>
    <w:p w:rsidR="00977065" w:rsidRPr="006141AB" w:rsidRDefault="00977065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3B29DC" w:rsidRPr="006141AB" w:rsidRDefault="00977065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Căn cứ Nghị định s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14/2023/NĐ-CP ngày 20 tháng 4 năm 2023 của Chính phủ quy định chức năng, nhiệm vụ,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quyền hạn và cơ c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ấ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u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tổ chức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của Bộ Tài chính;</w:t>
      </w:r>
    </w:p>
    <w:p w:rsidR="003B29DC" w:rsidRPr="006141AB" w:rsidRDefault="00977065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số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09/2019/NĐ-CP ngày 24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01 n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m 2019 của Chính phủ quy định v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ề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ch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ế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độ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báo cáo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cơ quan hành chính nhà nước;</w:t>
      </w:r>
    </w:p>
    <w:p w:rsidR="003B29DC" w:rsidRPr="006141AB" w:rsidRDefault="00977065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n c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ứ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Thông tư số 16/2020/TT-BTC ngày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26 tháng 3 năm 2020 của Bộ trư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ở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ng Bộ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Tài chính quy định về chế độ b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á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>o cáo th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uộc phạm vi qu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>n lý nhà nước của Bộ Tài chính;</w:t>
      </w:r>
    </w:p>
    <w:p w:rsidR="003B29DC" w:rsidRPr="006141AB" w:rsidRDefault="008622B1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Căn cứ Nghị định </w:t>
      </w:r>
      <w:r w:rsidR="00977065" w:rsidRPr="006141AB">
        <w:rPr>
          <w:rFonts w:ascii="Arial" w:hAnsi="Arial" w:cs="Arial"/>
          <w:i/>
          <w:iCs/>
          <w:color w:val="auto"/>
          <w:sz w:val="20"/>
          <w:szCs w:val="20"/>
        </w:rPr>
        <w:t>số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21/2023/NĐ-CP ngày 05 tháng 5 năm 2023 </w:t>
      </w:r>
      <w:r w:rsidR="00977065" w:rsidRPr="006141AB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quy định </w:t>
      </w:r>
      <w:r w:rsidR="00977065" w:rsidRPr="006141AB">
        <w:rPr>
          <w:rFonts w:ascii="Arial" w:hAnsi="Arial" w:cs="Arial"/>
          <w:i/>
          <w:iCs/>
          <w:color w:val="auto"/>
          <w:sz w:val="20"/>
          <w:szCs w:val="20"/>
        </w:rPr>
        <w:t>về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bảo </w:t>
      </w:r>
      <w:r w:rsidR="00977065" w:rsidRPr="006141AB">
        <w:rPr>
          <w:rFonts w:ascii="Arial" w:hAnsi="Arial" w:cs="Arial"/>
          <w:i/>
          <w:iCs/>
          <w:color w:val="auto"/>
          <w:sz w:val="20"/>
          <w:szCs w:val="20"/>
        </w:rPr>
        <w:t>hiểm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vi mô;</w:t>
      </w:r>
    </w:p>
    <w:p w:rsidR="003B29DC" w:rsidRPr="006141AB" w:rsidRDefault="00977065" w:rsidP="008F3ED9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Theo đ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ề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nghị của Cục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 xml:space="preserve"> trưởng Cục Quản lý, giám sát </w:t>
      </w:r>
      <w:proofErr w:type="spellStart"/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bả</w:t>
      </w:r>
      <w:proofErr w:type="spellEnd"/>
      <w:r w:rsidRPr="006141AB">
        <w:rPr>
          <w:rFonts w:ascii="Arial" w:hAnsi="Arial" w:cs="Arial"/>
          <w:i/>
          <w:iCs/>
          <w:color w:val="auto"/>
          <w:sz w:val="20"/>
          <w:szCs w:val="20"/>
        </w:rPr>
        <w:t>o hi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ể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>m.</w:t>
      </w:r>
    </w:p>
    <w:p w:rsidR="00977065" w:rsidRPr="006141AB" w:rsidRDefault="00977065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bookmarkStart w:id="3" w:name="bookmark3"/>
      <w:bookmarkStart w:id="4" w:name="bookmark4"/>
      <w:bookmarkStart w:id="5" w:name="bookmark5"/>
    </w:p>
    <w:p w:rsidR="003B29DC" w:rsidRPr="006141AB" w:rsidRDefault="008622B1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color w:val="auto"/>
          <w:sz w:val="20"/>
          <w:szCs w:val="20"/>
        </w:rPr>
        <w:t>QUYẾT ĐỊNH:</w:t>
      </w:r>
      <w:bookmarkEnd w:id="3"/>
      <w:bookmarkEnd w:id="4"/>
      <w:bookmarkEnd w:id="5"/>
    </w:p>
    <w:p w:rsidR="00977065" w:rsidRPr="006141AB" w:rsidRDefault="00977065" w:rsidP="008F3ED9">
      <w:pPr>
        <w:pStyle w:val="Heading10"/>
        <w:keepNext/>
        <w:keepLines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3B29DC" w:rsidRPr="006141AB" w:rsidRDefault="008622B1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 xml:space="preserve">Điều 1. 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Công bố kèm theo Quyết định này 03 chế độ báo cáo định kỳ mới trong lĩnh vực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hiểm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 thuộc phạm vi quản lý nhà nước của Bộ Tài chính.</w:t>
      </w:r>
    </w:p>
    <w:p w:rsidR="003B29DC" w:rsidRPr="006141AB" w:rsidRDefault="008622B1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 xml:space="preserve">Điều 2. 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Quyết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định này có hiệu lực thi hành k</w:t>
      </w:r>
      <w:r w:rsidR="00977065" w:rsidRPr="006141AB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 từ ngày ký.</w:t>
      </w:r>
    </w:p>
    <w:p w:rsidR="003B29DC" w:rsidRPr="006141AB" w:rsidRDefault="008622B1" w:rsidP="008F3ED9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 xml:space="preserve">Điều 3. </w:t>
      </w:r>
      <w:r w:rsidRPr="006141AB">
        <w:rPr>
          <w:rFonts w:ascii="Arial" w:hAnsi="Arial" w:cs="Arial"/>
          <w:color w:val="auto"/>
          <w:sz w:val="20"/>
          <w:szCs w:val="20"/>
        </w:rPr>
        <w:t>Chánh Văn phòng Bộ, Cục trưởng Cục Tin học và Thống kê tài</w:t>
      </w:r>
      <w:r w:rsidR="00977065"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6141AB" w:rsidRPr="006141AB">
        <w:rPr>
          <w:rFonts w:ascii="Arial" w:hAnsi="Arial" w:cs="Arial"/>
          <w:color w:val="auto"/>
          <w:sz w:val="20"/>
          <w:szCs w:val="20"/>
        </w:rPr>
        <w:t>chính, Cục trư</w:t>
      </w:r>
      <w:r w:rsidR="006141AB" w:rsidRPr="006141AB">
        <w:rPr>
          <w:rFonts w:ascii="Arial" w:hAnsi="Arial" w:cs="Arial"/>
          <w:color w:val="auto"/>
          <w:sz w:val="20"/>
          <w:szCs w:val="20"/>
          <w:lang w:val="en-SG"/>
        </w:rPr>
        <w:t>ở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ng Cục Quản lý, giám sát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 xml:space="preserve">hiểm, Thủ trưởng các cơ quan, </w:t>
      </w:r>
      <w:r w:rsidR="00977065" w:rsidRPr="006141AB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ơn vị thuộc Bộ và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tổ chức</w:t>
      </w:r>
      <w:r w:rsidRPr="006141AB">
        <w:rPr>
          <w:rFonts w:ascii="Arial" w:hAnsi="Arial" w:cs="Arial"/>
          <w:color w:val="auto"/>
          <w:sz w:val="20"/>
          <w:szCs w:val="20"/>
        </w:rPr>
        <w:t>, cá nhân có liên quan chịu trách nhiệm thi hành Quyết định này./.</w:t>
      </w:r>
    </w:p>
    <w:p w:rsidR="00977065" w:rsidRPr="006141AB" w:rsidRDefault="00977065" w:rsidP="008F3ED9">
      <w:pPr>
        <w:pStyle w:val="BodyTex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6141AB" w:rsidRPr="006141AB" w:rsidTr="008F3ED9">
        <w:tc>
          <w:tcPr>
            <w:tcW w:w="4541" w:type="dxa"/>
          </w:tcPr>
          <w:p w:rsidR="008F3ED9" w:rsidRPr="006141AB" w:rsidRDefault="008F3ED9" w:rsidP="008F3ED9">
            <w:pPr>
              <w:pStyle w:val="Bodytext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</w:t>
            </w:r>
          </w:p>
          <w:p w:rsidR="008F3ED9" w:rsidRPr="006141AB" w:rsidRDefault="008F3ED9" w:rsidP="008F3ED9">
            <w:pPr>
              <w:pStyle w:val="Bodytext20"/>
              <w:tabs>
                <w:tab w:val="left" w:pos="25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6" w:name="bookmark6"/>
            <w:bookmarkEnd w:id="6"/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Như điều 3;</w:t>
            </w:r>
          </w:p>
          <w:p w:rsidR="008F3ED9" w:rsidRPr="006141AB" w:rsidRDefault="008F3ED9" w:rsidP="008F3ED9">
            <w:pPr>
              <w:pStyle w:val="Bodytext20"/>
              <w:tabs>
                <w:tab w:val="left" w:pos="25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7" w:name="bookmark7"/>
            <w:bookmarkEnd w:id="7"/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- B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ộ trư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ở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ng Hồ Đức Phớc (đ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 b/c);</w:t>
            </w:r>
            <w:bookmarkStart w:id="8" w:name="bookmark8"/>
            <w:bookmarkEnd w:id="8"/>
          </w:p>
          <w:p w:rsidR="008F3ED9" w:rsidRPr="006141AB" w:rsidRDefault="008F3ED9" w:rsidP="008F3ED9">
            <w:pPr>
              <w:pStyle w:val="Bodytext20"/>
              <w:tabs>
                <w:tab w:val="left" w:pos="25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Văn phòng Chính ph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ủ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 (Cục KSTTHC);</w:t>
            </w:r>
          </w:p>
          <w:p w:rsidR="008F3ED9" w:rsidRPr="006141AB" w:rsidRDefault="008F3ED9" w:rsidP="008F3ED9">
            <w:pPr>
              <w:pStyle w:val="Bodytext20"/>
              <w:tabs>
                <w:tab w:val="left" w:pos="25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9" w:name="bookmark9"/>
            <w:bookmarkEnd w:id="9"/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Hiệp hội Bảo hiểm Việt Nam;</w:t>
            </w:r>
          </w:p>
          <w:p w:rsidR="008F3ED9" w:rsidRPr="006141AB" w:rsidRDefault="008F3ED9" w:rsidP="008F3ED9">
            <w:pPr>
              <w:pStyle w:val="Bodytext20"/>
              <w:tabs>
                <w:tab w:val="left" w:pos="258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0" w:name="bookmark10"/>
            <w:bookmarkEnd w:id="10"/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ổ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ng thông tin điện tử Bộ Tài chính; </w:t>
            </w:r>
          </w:p>
          <w:p w:rsidR="00977065" w:rsidRPr="006141AB" w:rsidRDefault="008F3ED9" w:rsidP="008F3ED9">
            <w:pPr>
              <w:pStyle w:val="BodyText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-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Lưu: VT,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Q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LBH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.</w:t>
            </w:r>
          </w:p>
        </w:tc>
        <w:tc>
          <w:tcPr>
            <w:tcW w:w="4542" w:type="dxa"/>
          </w:tcPr>
          <w:p w:rsidR="00977065" w:rsidRPr="006141AB" w:rsidRDefault="00977065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KT. </w:t>
            </w: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BỘ</w:t>
            </w:r>
            <w:proofErr w:type="spellEnd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TRƯỞNG</w:t>
            </w:r>
            <w:proofErr w:type="spellEnd"/>
          </w:p>
          <w:p w:rsidR="00977065" w:rsidRPr="006141AB" w:rsidRDefault="00977065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THỨ</w:t>
            </w:r>
            <w:proofErr w:type="spellEnd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TRƯỞNG</w:t>
            </w:r>
            <w:proofErr w:type="spellEnd"/>
          </w:p>
          <w:p w:rsidR="008F3ED9" w:rsidRPr="006141AB" w:rsidRDefault="008F3ED9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F3ED9" w:rsidRPr="006141AB" w:rsidRDefault="008F3ED9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F3ED9" w:rsidRPr="006141AB" w:rsidRDefault="008F3ED9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8F3ED9" w:rsidRPr="006141AB" w:rsidRDefault="008F3ED9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</w:pPr>
          </w:p>
          <w:p w:rsidR="00977065" w:rsidRPr="006141AB" w:rsidRDefault="00977065" w:rsidP="008F3ED9">
            <w:pPr>
              <w:pStyle w:val="BodyText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Lê</w:t>
            </w:r>
            <w:proofErr w:type="spellEnd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Tấn</w:t>
            </w:r>
            <w:proofErr w:type="spellEnd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6141AB">
              <w:rPr>
                <w:rFonts w:ascii="Arial" w:hAnsi="Arial" w:cs="Arial"/>
                <w:b/>
                <w:color w:val="auto"/>
                <w:sz w:val="20"/>
                <w:szCs w:val="20"/>
                <w:lang w:val="en-SG"/>
              </w:rPr>
              <w:t>Cận</w:t>
            </w:r>
            <w:proofErr w:type="spellEnd"/>
          </w:p>
        </w:tc>
      </w:tr>
    </w:tbl>
    <w:p w:rsidR="003B29DC" w:rsidRPr="006141AB" w:rsidRDefault="008622B1" w:rsidP="008F3ED9">
      <w:pPr>
        <w:pStyle w:val="Bodytext20"/>
        <w:tabs>
          <w:tab w:val="left" w:pos="258"/>
        </w:tabs>
        <w:rPr>
          <w:rFonts w:ascii="Arial" w:hAnsi="Arial" w:cs="Arial"/>
          <w:color w:val="auto"/>
          <w:sz w:val="20"/>
          <w:szCs w:val="20"/>
        </w:rPr>
      </w:pPr>
      <w:bookmarkStart w:id="11" w:name="_GoBack"/>
      <w:bookmarkEnd w:id="11"/>
      <w:r w:rsidRPr="006141AB">
        <w:rPr>
          <w:rFonts w:ascii="Arial" w:hAnsi="Arial" w:cs="Arial"/>
          <w:color w:val="auto"/>
          <w:sz w:val="20"/>
          <w:szCs w:val="20"/>
        </w:rPr>
        <w:br w:type="page"/>
      </w:r>
    </w:p>
    <w:p w:rsidR="007E7C15" w:rsidRDefault="008622B1" w:rsidP="008F3ED9">
      <w:pPr>
        <w:pStyle w:val="BodyText"/>
        <w:tabs>
          <w:tab w:val="left" w:pos="6926"/>
        </w:tabs>
        <w:spacing w:after="0" w:line="24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DANH M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t>ỤC BÁO CÁO ĐỊNH KỲ TRONG LĨNH V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Ự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t>C B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Ả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t>O H</w:t>
      </w:r>
      <w:proofErr w:type="spellStart"/>
      <w:r w:rsidR="00977065"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IỂ</w:t>
      </w:r>
      <w:proofErr w:type="spellEnd"/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t>M THUỘC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br/>
        <w:t>PHẠM VI CHỨC N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Ă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</w:rPr>
        <w:t>NG QUẢN LÝ CỦA B</w:t>
      </w:r>
      <w:r w:rsidR="00977065"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Ộ</w:t>
      </w:r>
      <w:r w:rsidR="007E7C15">
        <w:rPr>
          <w:rFonts w:ascii="Arial" w:hAnsi="Arial" w:cs="Arial"/>
          <w:b/>
          <w:bCs/>
          <w:color w:val="auto"/>
          <w:sz w:val="20"/>
          <w:szCs w:val="20"/>
        </w:rPr>
        <w:t xml:space="preserve"> TÀI CHÍNH</w:t>
      </w:r>
    </w:p>
    <w:p w:rsidR="003B29DC" w:rsidRPr="006141AB" w:rsidRDefault="00977065" w:rsidP="008F3ED9">
      <w:pPr>
        <w:pStyle w:val="BodyText"/>
        <w:tabs>
          <w:tab w:val="left" w:pos="6926"/>
        </w:tabs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(Kèm theo Quyết định s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 216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/Q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-BTC ngà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y 01 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th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á</w:t>
      </w:r>
      <w:r w:rsidRPr="006141AB">
        <w:rPr>
          <w:rFonts w:ascii="Arial" w:hAnsi="Arial" w:cs="Arial"/>
          <w:i/>
          <w:iCs/>
          <w:color w:val="auto"/>
          <w:sz w:val="20"/>
          <w:szCs w:val="20"/>
        </w:rPr>
        <w:t>ng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 02 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>năm 2024</w:t>
      </w:r>
    </w:p>
    <w:p w:rsidR="003B29DC" w:rsidRPr="006141AB" w:rsidRDefault="00977065" w:rsidP="008F3ED9">
      <w:pPr>
        <w:pStyle w:val="BodyText"/>
        <w:spacing w:after="0" w:line="240" w:lineRule="auto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6141AB">
        <w:rPr>
          <w:rFonts w:ascii="Arial" w:hAnsi="Arial" w:cs="Arial"/>
          <w:i/>
          <w:iCs/>
          <w:color w:val="auto"/>
          <w:sz w:val="20"/>
          <w:szCs w:val="20"/>
        </w:rPr>
        <w:t>của Bộ Tài ch</w:t>
      </w:r>
      <w:r w:rsidRPr="006141AB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í</w:t>
      </w:r>
      <w:r w:rsidR="008622B1" w:rsidRPr="006141AB">
        <w:rPr>
          <w:rFonts w:ascii="Arial" w:hAnsi="Arial" w:cs="Arial"/>
          <w:i/>
          <w:iCs/>
          <w:color w:val="auto"/>
          <w:sz w:val="20"/>
          <w:szCs w:val="20"/>
        </w:rPr>
        <w:t>nh)</w:t>
      </w:r>
    </w:p>
    <w:p w:rsidR="00977065" w:rsidRPr="006141AB" w:rsidRDefault="00977065" w:rsidP="008F3ED9">
      <w:pPr>
        <w:pStyle w:val="BodyText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3B29DC" w:rsidRPr="006141AB" w:rsidRDefault="008622B1" w:rsidP="008F3ED9">
      <w:pPr>
        <w:pStyle w:val="Tablecaption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color w:val="auto"/>
          <w:sz w:val="20"/>
          <w:szCs w:val="20"/>
        </w:rPr>
        <w:t xml:space="preserve">Phần I: DANH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MỤC BÁO CÁO ĐỊNH KỲ CÔNG B</w:t>
      </w:r>
      <w:r w:rsidR="00977065" w:rsidRPr="006141AB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 MỚI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2070"/>
        <w:gridCol w:w="6186"/>
      </w:tblGrid>
      <w:tr w:rsidR="006141AB" w:rsidRPr="006141AB" w:rsidTr="008F3ED9">
        <w:trPr>
          <w:trHeight w:val="34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STT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Tên báo cáo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977065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ă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bản qu</w:t>
            </w:r>
            <w:r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y</w:t>
            </w:r>
            <w:r w:rsidR="008622B1" w:rsidRPr="006141A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định chế độ báo cáo</w:t>
            </w:r>
          </w:p>
        </w:tc>
      </w:tr>
      <w:tr w:rsidR="006141AB" w:rsidRPr="006141AB" w:rsidTr="008F3ED9">
        <w:trPr>
          <w:trHeight w:val="34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Báo cáo nghiệp vụ quý, năm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Theo quy định tại khoản 1 Điều 34 Nghị định số 21/2023/NĐ-CP ngày 5/5/2023: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“ Ch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ậ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 nhất 30 ngày k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ể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từ ngày kết thúc quý và chậm nh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ấ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 90 ngày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kể từ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ngày kết thúc năm tài chính,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tổ chức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tương h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ỗ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cung cấp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b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ảo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hiểm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vi mô thực hiện lập v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à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gửi Bộ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Tài chính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báo cáo nghiệp vụ theo quý, năm theo mẫu quy định từ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Mẫu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số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07 đ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ế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n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Mẫu số 10 tại Phụ lục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b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an hành kèm theo Nghị định này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”.</w:t>
            </w:r>
          </w:p>
        </w:tc>
      </w:tr>
      <w:tr w:rsidR="006141AB" w:rsidRPr="006141AB" w:rsidTr="008F3ED9">
        <w:trPr>
          <w:trHeight w:val="34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Báo cáo tài chính theo quý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Theo quy định tại khoản 3 Điều 43 Nghị định số 21/2023/NĐ-CP ngày 5/5/2023: 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“Chậm nhất ba mươi (30) ngày kể từ ngày kết thúc quý,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tổ chức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tương hỗ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cung cấp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bảo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hiểm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vi mô thực hiện lập và gửi Bộ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Tài chính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báo c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á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tài chính theo qu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ý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”.</w:t>
            </w:r>
          </w:p>
        </w:tc>
      </w:tr>
      <w:tr w:rsidR="006141AB" w:rsidRPr="006141AB" w:rsidTr="008F3ED9">
        <w:trPr>
          <w:trHeight w:val="34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6141AB">
            <w:pPr>
              <w:pStyle w:val="Other0"/>
              <w:tabs>
                <w:tab w:val="left" w:pos="127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Báo cáo tài chính</w:t>
            </w:r>
            <w:r w:rsidR="006141AB"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được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 xml:space="preserve"> 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ể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m toán</w:t>
            </w:r>
          </w:p>
        </w:tc>
        <w:tc>
          <w:tcPr>
            <w:tcW w:w="3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DC" w:rsidRPr="006141AB" w:rsidRDefault="008622B1" w:rsidP="008F3ED9">
            <w:pPr>
              <w:pStyle w:val="Other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</w:pP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>Theo quy định tại khoản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 3 Điều 43 Nghị định 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21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</w:rPr>
              <w:t>/2023/N</w:t>
            </w:r>
            <w:r w:rsidR="008F3ED9" w:rsidRPr="006141AB">
              <w:rPr>
                <w:rFonts w:ascii="Arial" w:hAnsi="Arial" w:cs="Arial"/>
                <w:color w:val="auto"/>
                <w:sz w:val="20"/>
                <w:szCs w:val="20"/>
                <w:lang w:val="en-SG"/>
              </w:rPr>
              <w:t>Đ</w:t>
            </w:r>
            <w:r w:rsidRPr="006141AB">
              <w:rPr>
                <w:rFonts w:ascii="Arial" w:hAnsi="Arial" w:cs="Arial"/>
                <w:color w:val="auto"/>
                <w:sz w:val="20"/>
                <w:szCs w:val="20"/>
              </w:rPr>
              <w:t xml:space="preserve">-CP ngày 5/5/2023: 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“Chậm nhất 90 ngày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kể từ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ngày kết thúc năm tài chính,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tổ chức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tương hỗ cung cấp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b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ảo hi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ể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 vi mô thực hiện quy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ế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 toán tài chính, lập và g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ử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i Bộ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Tài chính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báo cáo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977065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tài chính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được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kiểm toán 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b</w:t>
            </w:r>
            <w:r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ởi tổ chức kiể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 toán độc lập theo quy định ph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á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 luật</w:t>
            </w:r>
            <w:r w:rsidR="008F3ED9" w:rsidRPr="006141AB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SG"/>
              </w:rPr>
              <w:t>”</w:t>
            </w:r>
          </w:p>
        </w:tc>
      </w:tr>
    </w:tbl>
    <w:p w:rsidR="003B29DC" w:rsidRPr="006141AB" w:rsidRDefault="008F3ED9" w:rsidP="008F3E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b/>
          <w:bCs/>
          <w:color w:val="auto"/>
          <w:sz w:val="20"/>
          <w:szCs w:val="20"/>
        </w:rPr>
        <w:t>Phần II: CHI TIẾT NỘI DUNG CH</w:t>
      </w:r>
      <w:r w:rsidRPr="006141AB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Ế</w:t>
      </w:r>
      <w:r w:rsidR="008622B1" w:rsidRPr="006141AB">
        <w:rPr>
          <w:rFonts w:ascii="Arial" w:hAnsi="Arial" w:cs="Arial"/>
          <w:b/>
          <w:bCs/>
          <w:color w:val="auto"/>
          <w:sz w:val="20"/>
          <w:szCs w:val="20"/>
        </w:rPr>
        <w:t xml:space="preserve"> ĐỘ BÁO CÁO ĐỊNH KỲ</w:t>
      </w:r>
    </w:p>
    <w:p w:rsidR="003B29DC" w:rsidRPr="006141AB" w:rsidRDefault="008F3ED9" w:rsidP="008F3ED9">
      <w:pPr>
        <w:pStyle w:val="Heading10"/>
        <w:keepNext/>
        <w:keepLines/>
        <w:tabs>
          <w:tab w:val="left" w:pos="400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Start w:id="13" w:name="bookmark11"/>
      <w:bookmarkStart w:id="14" w:name="bookmark12"/>
      <w:bookmarkStart w:id="15" w:name="bookmark14"/>
      <w:bookmarkEnd w:id="12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Tên báo cáo 1: Báo cáo nghiệp vụ quý, năm</w:t>
      </w:r>
      <w:bookmarkEnd w:id="13"/>
      <w:bookmarkEnd w:id="14"/>
      <w:bookmarkEnd w:id="15"/>
    </w:p>
    <w:p w:rsidR="003B29DC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6" w:name="bookmark15"/>
      <w:bookmarkEnd w:id="16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1.1.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Đối tượng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 thực hiện báo cáo: Tổ chức tư</w:t>
      </w:r>
      <w:proofErr w:type="spellStart"/>
      <w:r w:rsidRPr="006141AB">
        <w:rPr>
          <w:rFonts w:ascii="Arial" w:hAnsi="Arial" w:cs="Arial"/>
          <w:color w:val="auto"/>
          <w:sz w:val="20"/>
          <w:szCs w:val="20"/>
          <w:lang w:val="en-SG"/>
        </w:rPr>
        <w:t>ơn</w:t>
      </w:r>
      <w:proofErr w:type="spellEnd"/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g hỗ cung cấp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hiểm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vi mô</w:t>
      </w:r>
    </w:p>
    <w:p w:rsidR="003B29DC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7" w:name="bookmark16"/>
      <w:bookmarkEnd w:id="17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1.2.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Cơ quan nhận báo cáo: Bộ Tài chính (Cục Quản lý, giám sát </w:t>
      </w:r>
      <w:r w:rsidRPr="006141AB">
        <w:rPr>
          <w:rFonts w:ascii="Arial" w:hAnsi="Arial" w:cs="Arial"/>
          <w:color w:val="auto"/>
          <w:sz w:val="20"/>
          <w:szCs w:val="20"/>
        </w:rPr>
        <w:t>bảo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hiểm)</w:t>
      </w:r>
    </w:p>
    <w:p w:rsidR="003B29DC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8" w:name="bookmark17"/>
      <w:bookmarkEnd w:id="18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1.3.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Tần suất thực hiện báo cáo: Hàng quý, năm</w:t>
      </w:r>
    </w:p>
    <w:p w:rsidR="003B29DC" w:rsidRPr="006141AB" w:rsidRDefault="008F3ED9" w:rsidP="008F3ED9">
      <w:pPr>
        <w:pStyle w:val="BodyText"/>
        <w:tabs>
          <w:tab w:val="left" w:pos="58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9" w:name="bookmark18"/>
      <w:bookmarkEnd w:id="19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1.4.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Văn bản quy định chế độ báo cáo: Nghị định 21/2023/NĐ-CP ngày 5/5/2023 của Chính phủ quy định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về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hiểm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vi mô.</w:t>
      </w:r>
    </w:p>
    <w:p w:rsidR="003B29DC" w:rsidRPr="006141AB" w:rsidRDefault="008F3ED9" w:rsidP="008F3ED9">
      <w:pPr>
        <w:pStyle w:val="Heading10"/>
        <w:keepNext/>
        <w:keepLines/>
        <w:tabs>
          <w:tab w:val="left" w:pos="400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Tên báo cáo 2: Báo cáo tài chính theo quý</w:t>
      </w:r>
      <w:bookmarkEnd w:id="21"/>
      <w:bookmarkEnd w:id="22"/>
      <w:bookmarkEnd w:id="23"/>
    </w:p>
    <w:p w:rsidR="003B29DC" w:rsidRPr="006141AB" w:rsidRDefault="008F3ED9" w:rsidP="008F3ED9">
      <w:pPr>
        <w:pStyle w:val="BodyText"/>
        <w:tabs>
          <w:tab w:val="left" w:pos="549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4" w:name="bookmark23"/>
      <w:bookmarkEnd w:id="24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1.1.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Đối tượng thực hiện báo cáo: Tổ chức tương hỗ cung </w:t>
      </w:r>
      <w:r w:rsidRPr="006141AB">
        <w:rPr>
          <w:rFonts w:ascii="Arial" w:hAnsi="Arial" w:cs="Arial"/>
          <w:color w:val="auto"/>
          <w:sz w:val="20"/>
          <w:szCs w:val="20"/>
        </w:rPr>
        <w:t>cấp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hiểm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vi mô</w:t>
      </w:r>
    </w:p>
    <w:p w:rsidR="003B29DC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5" w:name="bookmark24"/>
      <w:bookmarkEnd w:id="25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1.2. </w:t>
      </w:r>
      <w:r w:rsidRPr="006141AB">
        <w:rPr>
          <w:rFonts w:ascii="Arial" w:hAnsi="Arial" w:cs="Arial"/>
          <w:color w:val="auto"/>
          <w:sz w:val="20"/>
          <w:szCs w:val="20"/>
        </w:rPr>
        <w:t>Cơ quan nh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ậ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n báo cáo: Bộ Tài chính (Cục Quản lý, giám sát bảo </w:t>
      </w:r>
      <w:r w:rsidR="00977065" w:rsidRPr="006141AB">
        <w:rPr>
          <w:rFonts w:ascii="Arial" w:hAnsi="Arial" w:cs="Arial"/>
          <w:color w:val="auto"/>
          <w:sz w:val="20"/>
          <w:szCs w:val="20"/>
        </w:rPr>
        <w:t>hiểm</w:t>
      </w:r>
      <w:r w:rsidR="008622B1" w:rsidRPr="006141AB">
        <w:rPr>
          <w:rFonts w:ascii="Arial" w:hAnsi="Arial" w:cs="Arial"/>
          <w:color w:val="auto"/>
          <w:sz w:val="20"/>
          <w:szCs w:val="20"/>
        </w:rPr>
        <w:t>)</w:t>
      </w:r>
    </w:p>
    <w:p w:rsidR="008F3ED9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6" w:name="bookmark25"/>
      <w:bookmarkEnd w:id="26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1.3. </w:t>
      </w:r>
      <w:r w:rsidRPr="006141AB">
        <w:rPr>
          <w:rFonts w:ascii="Arial" w:hAnsi="Arial" w:cs="Arial"/>
          <w:color w:val="auto"/>
          <w:sz w:val="20"/>
          <w:szCs w:val="20"/>
        </w:rPr>
        <w:t>T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141AB">
        <w:rPr>
          <w:rFonts w:ascii="Arial" w:hAnsi="Arial" w:cs="Arial"/>
          <w:color w:val="auto"/>
          <w:sz w:val="20"/>
          <w:szCs w:val="20"/>
        </w:rPr>
        <w:t>n su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8622B1" w:rsidRPr="006141AB">
        <w:rPr>
          <w:rFonts w:ascii="Arial" w:hAnsi="Arial" w:cs="Arial"/>
          <w:color w:val="auto"/>
          <w:sz w:val="20"/>
          <w:szCs w:val="20"/>
        </w:rPr>
        <w:t>t thực hiện báo cáo: Hàng quý.</w:t>
      </w:r>
      <w:bookmarkStart w:id="27" w:name="bookmark26"/>
      <w:bookmarkEnd w:id="27"/>
    </w:p>
    <w:p w:rsidR="003B29DC" w:rsidRPr="006141AB" w:rsidRDefault="008F3ED9" w:rsidP="008F3ED9">
      <w:pPr>
        <w:pStyle w:val="BodyText"/>
        <w:tabs>
          <w:tab w:val="left" w:pos="553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1.4.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Văn bản quy định chế độ báo cáo: Nghị định 21/2023/NĐ-CP ngày 5/5/2023 của Chính phủ quy định về bảo hiểm vi mô.</w:t>
      </w:r>
    </w:p>
    <w:p w:rsidR="003B29DC" w:rsidRPr="006141AB" w:rsidRDefault="008F3ED9" w:rsidP="008F3ED9">
      <w:pPr>
        <w:pStyle w:val="Heading10"/>
        <w:keepNext/>
        <w:keepLines/>
        <w:tabs>
          <w:tab w:val="left" w:pos="434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Pr="006141AB">
        <w:rPr>
          <w:rFonts w:ascii="Arial" w:hAnsi="Arial" w:cs="Arial"/>
          <w:color w:val="auto"/>
          <w:sz w:val="20"/>
          <w:szCs w:val="20"/>
        </w:rPr>
        <w:t xml:space="preserve">Tên báo cáo 3: Báo cáo 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ài chính được </w:t>
      </w:r>
      <w:r w:rsidRPr="006141AB">
        <w:rPr>
          <w:rFonts w:ascii="Arial" w:hAnsi="Arial" w:cs="Arial"/>
          <w:color w:val="auto"/>
          <w:sz w:val="20"/>
          <w:szCs w:val="20"/>
        </w:rPr>
        <w:t>kiểm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toán</w:t>
      </w:r>
      <w:bookmarkEnd w:id="29"/>
      <w:bookmarkEnd w:id="30"/>
      <w:bookmarkEnd w:id="31"/>
    </w:p>
    <w:p w:rsidR="003B29DC" w:rsidRPr="006141AB" w:rsidRDefault="008F3ED9" w:rsidP="008F3ED9">
      <w:pPr>
        <w:pStyle w:val="BodyText"/>
        <w:tabs>
          <w:tab w:val="left" w:pos="55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2" w:name="bookmark31"/>
      <w:bookmarkEnd w:id="32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1.1. </w:t>
      </w:r>
      <w:r w:rsidRPr="006141AB">
        <w:rPr>
          <w:rFonts w:ascii="Arial" w:hAnsi="Arial" w:cs="Arial"/>
          <w:color w:val="auto"/>
          <w:sz w:val="20"/>
          <w:szCs w:val="20"/>
        </w:rPr>
        <w:t>Đ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6141AB">
        <w:rPr>
          <w:rFonts w:ascii="Arial" w:hAnsi="Arial" w:cs="Arial"/>
          <w:color w:val="auto"/>
          <w:sz w:val="20"/>
          <w:szCs w:val="20"/>
        </w:rPr>
        <w:t>i tượng thực hiện báo cáo: T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chức tương hỗ cung </w:t>
      </w:r>
      <w:r w:rsidRPr="006141AB">
        <w:rPr>
          <w:rFonts w:ascii="Arial" w:hAnsi="Arial" w:cs="Arial"/>
          <w:color w:val="auto"/>
          <w:sz w:val="20"/>
          <w:szCs w:val="20"/>
        </w:rPr>
        <w:t>cấp</w:t>
      </w:r>
      <w:r w:rsidR="008622B1" w:rsidRPr="006141AB">
        <w:rPr>
          <w:rFonts w:ascii="Arial" w:hAnsi="Arial" w:cs="Arial"/>
          <w:color w:val="auto"/>
          <w:sz w:val="20"/>
          <w:szCs w:val="20"/>
        </w:rPr>
        <w:t xml:space="preserve"> bảo hiểm vi mô</w:t>
      </w:r>
    </w:p>
    <w:p w:rsidR="003B29DC" w:rsidRPr="006141AB" w:rsidRDefault="008F3ED9" w:rsidP="008F3ED9">
      <w:pPr>
        <w:pStyle w:val="BodyText"/>
        <w:tabs>
          <w:tab w:val="left" w:pos="55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3" w:name="bookmark32"/>
      <w:bookmarkEnd w:id="33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1.2.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Cơ quan nhậ</w:t>
      </w:r>
      <w:r w:rsidRPr="006141AB">
        <w:rPr>
          <w:rFonts w:ascii="Arial" w:hAnsi="Arial" w:cs="Arial"/>
          <w:color w:val="auto"/>
          <w:sz w:val="20"/>
          <w:szCs w:val="20"/>
        </w:rPr>
        <w:t>n báo cáo: Bộ Tài chính (Cục Qu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8622B1" w:rsidRPr="006141AB">
        <w:rPr>
          <w:rFonts w:ascii="Arial" w:hAnsi="Arial" w:cs="Arial"/>
          <w:color w:val="auto"/>
          <w:sz w:val="20"/>
          <w:szCs w:val="20"/>
        </w:rPr>
        <w:t>n lý, giám sát bảo hiểm)</w:t>
      </w:r>
    </w:p>
    <w:p w:rsidR="003B29DC" w:rsidRPr="006141AB" w:rsidRDefault="008F3ED9" w:rsidP="008F3ED9">
      <w:pPr>
        <w:pStyle w:val="BodyText"/>
        <w:tabs>
          <w:tab w:val="left" w:pos="55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4" w:name="bookmark33"/>
      <w:bookmarkEnd w:id="34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1.3. </w:t>
      </w:r>
      <w:r w:rsidRPr="006141AB">
        <w:rPr>
          <w:rFonts w:ascii="Arial" w:hAnsi="Arial" w:cs="Arial"/>
          <w:color w:val="auto"/>
          <w:sz w:val="20"/>
          <w:szCs w:val="20"/>
        </w:rPr>
        <w:t>T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6141AB">
        <w:rPr>
          <w:rFonts w:ascii="Arial" w:hAnsi="Arial" w:cs="Arial"/>
          <w:color w:val="auto"/>
          <w:sz w:val="20"/>
          <w:szCs w:val="20"/>
        </w:rPr>
        <w:t>n su</w:t>
      </w:r>
      <w:r w:rsidRPr="006141AB">
        <w:rPr>
          <w:rFonts w:ascii="Arial" w:hAnsi="Arial" w:cs="Arial"/>
          <w:color w:val="auto"/>
          <w:sz w:val="20"/>
          <w:szCs w:val="20"/>
          <w:lang w:val="en-SG"/>
        </w:rPr>
        <w:t>ấ</w:t>
      </w:r>
      <w:r w:rsidR="008622B1" w:rsidRPr="006141AB">
        <w:rPr>
          <w:rFonts w:ascii="Arial" w:hAnsi="Arial" w:cs="Arial"/>
          <w:color w:val="auto"/>
          <w:sz w:val="20"/>
          <w:szCs w:val="20"/>
        </w:rPr>
        <w:t>t thực hiện báo cáo: Hàng năm.</w:t>
      </w:r>
    </w:p>
    <w:p w:rsidR="003B29DC" w:rsidRPr="006141AB" w:rsidRDefault="008F3ED9" w:rsidP="008F3ED9">
      <w:pPr>
        <w:pStyle w:val="BodyText"/>
        <w:tabs>
          <w:tab w:val="left" w:pos="582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5" w:name="bookmark34"/>
      <w:bookmarkEnd w:id="35"/>
      <w:r w:rsidRPr="006141AB">
        <w:rPr>
          <w:rFonts w:ascii="Arial" w:hAnsi="Arial" w:cs="Arial"/>
          <w:color w:val="auto"/>
          <w:sz w:val="20"/>
          <w:szCs w:val="20"/>
          <w:lang w:val="en-SG"/>
        </w:rPr>
        <w:t xml:space="preserve">1.4. </w:t>
      </w:r>
      <w:r w:rsidR="008622B1" w:rsidRPr="006141AB">
        <w:rPr>
          <w:rFonts w:ascii="Arial" w:hAnsi="Arial" w:cs="Arial"/>
          <w:color w:val="auto"/>
          <w:sz w:val="20"/>
          <w:szCs w:val="20"/>
        </w:rPr>
        <w:t>Văn bản quy định chế độ báo cáo: Nghị định 21/2023/NĐ-CP ngày 5/5/2023 của Chính phủ quy định về bảo hiểm vi mô.</w:t>
      </w:r>
    </w:p>
    <w:sectPr w:rsidR="003B29DC" w:rsidRPr="006141AB" w:rsidSect="00487F35"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14" w:rsidRDefault="00CC7414">
      <w:r>
        <w:separator/>
      </w:r>
    </w:p>
  </w:endnote>
  <w:endnote w:type="continuationSeparator" w:id="0">
    <w:p w:rsidR="00CC7414" w:rsidRDefault="00CC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14" w:rsidRDefault="00CC7414"/>
  </w:footnote>
  <w:footnote w:type="continuationSeparator" w:id="0">
    <w:p w:rsidR="00CC7414" w:rsidRDefault="00CC74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F67"/>
    <w:multiLevelType w:val="multilevel"/>
    <w:tmpl w:val="394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087071"/>
    <w:multiLevelType w:val="multilevel"/>
    <w:tmpl w:val="EDC2D5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D7D96"/>
    <w:multiLevelType w:val="multilevel"/>
    <w:tmpl w:val="741A62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636070"/>
    <w:multiLevelType w:val="multilevel"/>
    <w:tmpl w:val="02EC5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DC"/>
    <w:rsid w:val="003B29DC"/>
    <w:rsid w:val="00487F35"/>
    <w:rsid w:val="006141AB"/>
    <w:rsid w:val="007E7C15"/>
    <w:rsid w:val="008622B1"/>
    <w:rsid w:val="008F3ED9"/>
    <w:rsid w:val="00977065"/>
    <w:rsid w:val="00CA0D12"/>
    <w:rsid w:val="00CC7414"/>
    <w:rsid w:val="00D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DC7F2-3A6C-4282-B6D8-5DEBDBA1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pPr>
      <w:spacing w:after="350" w:line="228" w:lineRule="auto"/>
      <w:ind w:left="5920" w:right="270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"/>
    <w:link w:val="Heading1"/>
    <w:pPr>
      <w:spacing w:after="170" w:line="254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pacing w:after="10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97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3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7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2024-02-21T02:50:00Z</dcterms:created>
  <dcterms:modified xsi:type="dcterms:W3CDTF">2024-02-22T02:18:00Z</dcterms:modified>
</cp:coreProperties>
</file>