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3420"/>
        <w:gridCol w:w="5600"/>
      </w:tblGrid>
      <w:tr w:rsidR="001E5353" w:rsidRPr="00AE21E7" w:rsidTr="001E5353">
        <w:trPr>
          <w:tblCellSpacing w:w="0" w:type="dxa"/>
        </w:trPr>
        <w:tc>
          <w:tcPr>
            <w:tcW w:w="1896" w:type="pct"/>
            <w:tcMar>
              <w:top w:w="0" w:type="dxa"/>
              <w:left w:w="108" w:type="dxa"/>
              <w:bottom w:w="0" w:type="dxa"/>
              <w:right w:w="108" w:type="dxa"/>
            </w:tcMar>
            <w:hideMark/>
          </w:tcPr>
          <w:p w:rsidR="001E5353" w:rsidRPr="001E5353" w:rsidRDefault="001E5353" w:rsidP="001E5353">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BỘ TÀI CHÍNH</w:t>
            </w:r>
            <w:r w:rsidRPr="001E5353">
              <w:rPr>
                <w:rFonts w:ascii="Arial" w:eastAsia="Times New Roman" w:hAnsi="Arial" w:cs="Arial"/>
                <w:b/>
                <w:bCs/>
                <w:color w:val="auto"/>
                <w:sz w:val="20"/>
                <w:szCs w:val="20"/>
                <w:lang w:val="en-US" w:eastAsia="en-US" w:bidi="ar-SA"/>
              </w:rPr>
              <w:br/>
              <w:t>TỔNG CỤC THUẾ</w:t>
            </w:r>
            <w:r w:rsidRPr="001E5353">
              <w:rPr>
                <w:rFonts w:ascii="Arial" w:eastAsia="Times New Roman" w:hAnsi="Arial" w:cs="Arial"/>
                <w:b/>
                <w:bCs/>
                <w:color w:val="auto"/>
                <w:sz w:val="20"/>
                <w:szCs w:val="20"/>
                <w:lang w:val="en-US" w:eastAsia="en-US" w:bidi="ar-SA"/>
              </w:rPr>
              <w:br/>
            </w:r>
            <w:r w:rsidRPr="00AE21E7">
              <w:rPr>
                <w:rFonts w:ascii="Arial" w:eastAsia="Times New Roman" w:hAnsi="Arial" w:cs="Arial"/>
                <w:bCs/>
                <w:color w:val="auto"/>
                <w:sz w:val="20"/>
                <w:szCs w:val="20"/>
                <w:vertAlign w:val="superscript"/>
                <w:lang w:val="en-US" w:eastAsia="en-US" w:bidi="ar-SA"/>
              </w:rPr>
              <w:t>_________</w:t>
            </w:r>
          </w:p>
        </w:tc>
        <w:tc>
          <w:tcPr>
            <w:tcW w:w="3104" w:type="pct"/>
            <w:tcMar>
              <w:top w:w="0" w:type="dxa"/>
              <w:left w:w="108" w:type="dxa"/>
              <w:bottom w:w="0" w:type="dxa"/>
              <w:right w:w="108" w:type="dxa"/>
            </w:tcMar>
            <w:hideMark/>
          </w:tcPr>
          <w:p w:rsidR="001E5353" w:rsidRPr="001E5353" w:rsidRDefault="001E5353" w:rsidP="001E5353">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CỘNG HÒA XÃ HỘI CHỦ NGHĨA VIỆT NAM</w:t>
            </w:r>
            <w:r w:rsidRPr="001E5353">
              <w:rPr>
                <w:rFonts w:ascii="Arial" w:eastAsia="Times New Roman" w:hAnsi="Arial" w:cs="Arial"/>
                <w:b/>
                <w:bCs/>
                <w:color w:val="auto"/>
                <w:sz w:val="20"/>
                <w:szCs w:val="20"/>
                <w:lang w:val="en-US" w:eastAsia="en-US" w:bidi="ar-SA"/>
              </w:rPr>
              <w:br/>
              <w:t>Độc lập - Tự do - Hạnh phúc</w:t>
            </w:r>
            <w:r w:rsidRPr="001E5353">
              <w:rPr>
                <w:rFonts w:ascii="Arial" w:eastAsia="Times New Roman" w:hAnsi="Arial" w:cs="Arial"/>
                <w:b/>
                <w:bCs/>
                <w:color w:val="auto"/>
                <w:sz w:val="20"/>
                <w:szCs w:val="20"/>
                <w:lang w:val="en-US" w:eastAsia="en-US" w:bidi="ar-SA"/>
              </w:rPr>
              <w:br/>
            </w:r>
            <w:r w:rsidRPr="00AE21E7">
              <w:rPr>
                <w:rFonts w:ascii="Arial" w:eastAsia="Times New Roman" w:hAnsi="Arial" w:cs="Arial"/>
                <w:bCs/>
                <w:color w:val="auto"/>
                <w:sz w:val="20"/>
                <w:szCs w:val="20"/>
                <w:vertAlign w:val="superscript"/>
                <w:lang w:val="en-US" w:eastAsia="en-US" w:bidi="ar-SA"/>
              </w:rPr>
              <w:t>_______________________</w:t>
            </w:r>
          </w:p>
        </w:tc>
      </w:tr>
      <w:tr w:rsidR="001E5353" w:rsidRPr="00AE21E7" w:rsidTr="001E5353">
        <w:trPr>
          <w:tblCellSpacing w:w="0" w:type="dxa"/>
        </w:trPr>
        <w:tc>
          <w:tcPr>
            <w:tcW w:w="1896" w:type="pct"/>
            <w:tcMar>
              <w:top w:w="0" w:type="dxa"/>
              <w:left w:w="108" w:type="dxa"/>
              <w:bottom w:w="0" w:type="dxa"/>
              <w:right w:w="108" w:type="dxa"/>
            </w:tcMar>
            <w:hideMark/>
          </w:tcPr>
          <w:p w:rsidR="001E5353" w:rsidRPr="001E5353" w:rsidRDefault="001E5353" w:rsidP="001E5353">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Số: 183/QĐ-TCT</w:t>
            </w:r>
          </w:p>
        </w:tc>
        <w:tc>
          <w:tcPr>
            <w:tcW w:w="3104" w:type="pct"/>
            <w:tcMar>
              <w:top w:w="0" w:type="dxa"/>
              <w:left w:w="108" w:type="dxa"/>
              <w:bottom w:w="0" w:type="dxa"/>
              <w:right w:w="108" w:type="dxa"/>
            </w:tcMar>
            <w:hideMark/>
          </w:tcPr>
          <w:p w:rsidR="001E5353" w:rsidRPr="001E5353" w:rsidRDefault="001E5353" w:rsidP="001E5353">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Hà Nội, ngày 07 tháng 02 năm 2024</w:t>
            </w:r>
          </w:p>
        </w:tc>
      </w:tr>
    </w:tbl>
    <w:p w:rsidR="001E5353" w:rsidRPr="00AE21E7" w:rsidRDefault="001E5353" w:rsidP="001E5353">
      <w:pPr>
        <w:widowControl/>
        <w:shd w:val="clear" w:color="auto" w:fill="FFFFFF"/>
        <w:jc w:val="center"/>
        <w:rPr>
          <w:rFonts w:ascii="Arial" w:eastAsia="Times New Roman" w:hAnsi="Arial" w:cs="Arial"/>
          <w:b/>
          <w:bCs/>
          <w:color w:val="auto"/>
          <w:sz w:val="20"/>
          <w:szCs w:val="20"/>
          <w:lang w:val="en-US" w:eastAsia="en-US" w:bidi="ar-SA"/>
        </w:rPr>
      </w:pPr>
    </w:p>
    <w:p w:rsidR="001E5353" w:rsidRPr="00AE21E7" w:rsidRDefault="001E5353" w:rsidP="001E5353">
      <w:pPr>
        <w:widowControl/>
        <w:shd w:val="clear" w:color="auto" w:fill="FFFFFF"/>
        <w:jc w:val="center"/>
        <w:rPr>
          <w:rFonts w:ascii="Arial" w:eastAsia="Times New Roman" w:hAnsi="Arial" w:cs="Arial"/>
          <w:b/>
          <w:bCs/>
          <w:color w:val="auto"/>
          <w:sz w:val="20"/>
          <w:szCs w:val="20"/>
          <w:lang w:val="en-US" w:eastAsia="en-US" w:bidi="ar-SA"/>
        </w:rPr>
      </w:pPr>
    </w:p>
    <w:p w:rsidR="001E5353" w:rsidRPr="001E5353" w:rsidRDefault="001E5353" w:rsidP="001E5353">
      <w:pPr>
        <w:widowControl/>
        <w:shd w:val="clear" w:color="auto" w:fill="FFFFFF"/>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QUYẾT ĐỊNH</w:t>
      </w:r>
    </w:p>
    <w:p w:rsidR="00AE21E7" w:rsidRPr="00AE21E7" w:rsidRDefault="00AE21E7" w:rsidP="001E5353">
      <w:pPr>
        <w:widowControl/>
        <w:shd w:val="clear" w:color="auto" w:fill="FFFFFF"/>
        <w:jc w:val="center"/>
        <w:rPr>
          <w:rFonts w:ascii="Arial" w:eastAsia="Times New Roman" w:hAnsi="Arial" w:cs="Arial"/>
          <w:b/>
          <w:color w:val="auto"/>
          <w:sz w:val="20"/>
          <w:szCs w:val="20"/>
          <w:lang w:val="en-US" w:eastAsia="en-US" w:bidi="ar-SA"/>
        </w:rPr>
      </w:pPr>
      <w:r w:rsidRPr="00AE21E7">
        <w:rPr>
          <w:rFonts w:ascii="Arial" w:eastAsia="Times New Roman" w:hAnsi="Arial" w:cs="Arial"/>
          <w:b/>
          <w:color w:val="auto"/>
          <w:sz w:val="20"/>
          <w:szCs w:val="20"/>
          <w:lang w:val="en-US" w:eastAsia="en-US" w:bidi="ar-SA"/>
        </w:rPr>
        <w:t>Ban hành K</w:t>
      </w:r>
      <w:r w:rsidR="001E5353" w:rsidRPr="00AE21E7">
        <w:rPr>
          <w:rFonts w:ascii="Arial" w:eastAsia="Times New Roman" w:hAnsi="Arial" w:cs="Arial"/>
          <w:b/>
          <w:color w:val="auto"/>
          <w:sz w:val="20"/>
          <w:szCs w:val="20"/>
          <w:lang w:val="en-US" w:eastAsia="en-US" w:bidi="ar-SA"/>
        </w:rPr>
        <w:t>ế hoạch phổ biến, giáo dục pháp</w:t>
      </w:r>
      <w:r w:rsidRPr="00AE21E7">
        <w:rPr>
          <w:rFonts w:ascii="Arial" w:eastAsia="Times New Roman" w:hAnsi="Arial" w:cs="Arial"/>
          <w:b/>
          <w:color w:val="auto"/>
          <w:sz w:val="20"/>
          <w:szCs w:val="20"/>
          <w:lang w:val="en-US" w:eastAsia="en-US" w:bidi="ar-SA"/>
        </w:rPr>
        <w:t xml:space="preserve"> luật; hỗ trợ pháp lý cho doanh</w:t>
      </w:r>
    </w:p>
    <w:p w:rsidR="001E5353" w:rsidRPr="00AE21E7" w:rsidRDefault="00AE21E7" w:rsidP="001E5353">
      <w:pPr>
        <w:widowControl/>
        <w:shd w:val="clear" w:color="auto" w:fill="FFFFFF"/>
        <w:jc w:val="center"/>
        <w:rPr>
          <w:rFonts w:ascii="Arial" w:eastAsia="Times New Roman" w:hAnsi="Arial" w:cs="Arial"/>
          <w:b/>
          <w:color w:val="auto"/>
          <w:sz w:val="20"/>
          <w:szCs w:val="20"/>
          <w:lang w:val="en-US" w:eastAsia="en-US" w:bidi="ar-SA"/>
        </w:rPr>
      </w:pPr>
      <w:r w:rsidRPr="00AE21E7">
        <w:rPr>
          <w:rFonts w:ascii="Arial" w:eastAsia="Times New Roman" w:hAnsi="Arial" w:cs="Arial"/>
          <w:b/>
          <w:color w:val="auto"/>
          <w:sz w:val="20"/>
          <w:szCs w:val="20"/>
          <w:lang w:val="en-US" w:eastAsia="en-US" w:bidi="ar-SA"/>
        </w:rPr>
        <w:t>nghiệp nhỏ và vừa năm 2024 của Tổng cục T</w:t>
      </w:r>
      <w:r w:rsidR="001E5353" w:rsidRPr="00AE21E7">
        <w:rPr>
          <w:rFonts w:ascii="Arial" w:eastAsia="Times New Roman" w:hAnsi="Arial" w:cs="Arial"/>
          <w:b/>
          <w:color w:val="auto"/>
          <w:sz w:val="20"/>
          <w:szCs w:val="20"/>
          <w:lang w:val="en-US" w:eastAsia="en-US" w:bidi="ar-SA"/>
        </w:rPr>
        <w:t>huế</w:t>
      </w:r>
    </w:p>
    <w:p w:rsidR="001E5353" w:rsidRPr="001E5353" w:rsidRDefault="001E5353" w:rsidP="001E5353">
      <w:pPr>
        <w:widowControl/>
        <w:shd w:val="clear" w:color="auto" w:fill="FFFFFF"/>
        <w:jc w:val="center"/>
        <w:rPr>
          <w:rFonts w:ascii="Arial" w:eastAsia="Times New Roman" w:hAnsi="Arial" w:cs="Arial"/>
          <w:color w:val="auto"/>
          <w:sz w:val="20"/>
          <w:szCs w:val="20"/>
          <w:vertAlign w:val="superscript"/>
          <w:lang w:val="en-US" w:eastAsia="en-US" w:bidi="ar-SA"/>
        </w:rPr>
      </w:pPr>
      <w:r w:rsidRPr="00AE21E7">
        <w:rPr>
          <w:rFonts w:ascii="Arial" w:eastAsia="Times New Roman" w:hAnsi="Arial" w:cs="Arial"/>
          <w:color w:val="auto"/>
          <w:sz w:val="20"/>
          <w:szCs w:val="20"/>
          <w:vertAlign w:val="superscript"/>
          <w:lang w:val="en-US" w:eastAsia="en-US" w:bidi="ar-SA"/>
        </w:rPr>
        <w:t>___________</w:t>
      </w:r>
    </w:p>
    <w:p w:rsidR="001E5353" w:rsidRPr="00AE21E7" w:rsidRDefault="001E5353" w:rsidP="001E5353">
      <w:pPr>
        <w:widowControl/>
        <w:shd w:val="clear" w:color="auto" w:fill="FFFFFF"/>
        <w:jc w:val="center"/>
        <w:rPr>
          <w:rFonts w:ascii="Arial" w:eastAsia="Times New Roman" w:hAnsi="Arial" w:cs="Arial"/>
          <w:b/>
          <w:bCs/>
          <w:color w:val="auto"/>
          <w:sz w:val="20"/>
          <w:szCs w:val="20"/>
          <w:lang w:val="en-US" w:eastAsia="en-US" w:bidi="ar-SA"/>
        </w:rPr>
      </w:pPr>
      <w:r w:rsidRPr="001E5353">
        <w:rPr>
          <w:rFonts w:ascii="Arial" w:eastAsia="Times New Roman" w:hAnsi="Arial" w:cs="Arial"/>
          <w:b/>
          <w:bCs/>
          <w:color w:val="auto"/>
          <w:sz w:val="20"/>
          <w:szCs w:val="20"/>
          <w:lang w:val="en-US" w:eastAsia="en-US" w:bidi="ar-SA"/>
        </w:rPr>
        <w:t>TỔNG CỤC TRƯỞNG TỔNG CỤC THUẾ</w:t>
      </w:r>
    </w:p>
    <w:p w:rsidR="001E5353" w:rsidRPr="001E5353" w:rsidRDefault="001E5353" w:rsidP="001E5353">
      <w:pPr>
        <w:widowControl/>
        <w:shd w:val="clear" w:color="auto" w:fill="FFFFFF"/>
        <w:jc w:val="center"/>
        <w:rPr>
          <w:rFonts w:ascii="Arial" w:eastAsia="Times New Roman" w:hAnsi="Arial" w:cs="Arial"/>
          <w:color w:val="auto"/>
          <w:sz w:val="20"/>
          <w:szCs w:val="20"/>
          <w:lang w:val="en-US" w:eastAsia="en-US" w:bidi="ar-SA"/>
        </w:rPr>
      </w:pP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Căn cứ Luật Phổ biến, giáo dục pháp luật và các văn bản hướng dẫn thi hành;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xml:space="preserve">Căn cứ Nghị quyết số 50/2022/QH15 ngày 13/6/2022 của Quốc hội về Chương trình xây dựng luật, pháp lệnh năm 2023 và điều chỉnh Chương trình xây dựng luật, pháp lệnh năm 2022 và Nghị quyết số 89/2023/QH15 ngày 02/6/2023 của Quốc hội về Chương trình </w:t>
      </w:r>
      <w:bookmarkStart w:id="0" w:name="_GoBack"/>
      <w:bookmarkEnd w:id="0"/>
      <w:r w:rsidRPr="001E5353">
        <w:rPr>
          <w:rFonts w:ascii="Arial" w:eastAsia="Times New Roman" w:hAnsi="Arial" w:cs="Arial"/>
          <w:i/>
          <w:iCs/>
          <w:color w:val="auto"/>
          <w:sz w:val="20"/>
          <w:szCs w:val="20"/>
          <w:lang w:val="en-US" w:eastAsia="en-US" w:bidi="ar-SA"/>
        </w:rPr>
        <w:t>xây dựng luật, pháp lệnh năm 2024 và điều chỉnh Chương trình xây dựng luật, pháp lệnh năm 2023;</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Căn cứ Nghị định số </w:t>
      </w:r>
      <w:r w:rsidRPr="00AE21E7">
        <w:rPr>
          <w:rFonts w:ascii="Arial" w:eastAsia="Times New Roman" w:hAnsi="Arial" w:cs="Arial"/>
          <w:i/>
          <w:iCs/>
          <w:color w:val="auto"/>
          <w:sz w:val="20"/>
          <w:szCs w:val="20"/>
          <w:lang w:val="en-US" w:eastAsia="en-US" w:bidi="ar-SA"/>
        </w:rPr>
        <w:t>55/2019/NĐ-CP</w:t>
      </w:r>
      <w:r w:rsidRPr="001E5353">
        <w:rPr>
          <w:rFonts w:ascii="Arial" w:eastAsia="Times New Roman" w:hAnsi="Arial" w:cs="Arial"/>
          <w:i/>
          <w:iCs/>
          <w:color w:val="auto"/>
          <w:sz w:val="20"/>
          <w:szCs w:val="20"/>
          <w:lang w:val="en-US" w:eastAsia="en-US" w:bidi="ar-SA"/>
        </w:rPr>
        <w:t> ngày 24/6/2019 của Chính phủ về hỗ trợ pháp lý cho doanh nghiệp nhỏ và vừa;</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Căn cứ Quyết định số </w:t>
      </w:r>
      <w:r w:rsidRPr="00AE21E7">
        <w:rPr>
          <w:rFonts w:ascii="Arial" w:eastAsia="Times New Roman" w:hAnsi="Arial" w:cs="Arial"/>
          <w:i/>
          <w:iCs/>
          <w:color w:val="auto"/>
          <w:sz w:val="20"/>
          <w:szCs w:val="20"/>
          <w:lang w:val="en-US" w:eastAsia="en-US" w:bidi="ar-SA"/>
        </w:rPr>
        <w:t>41/2018/QĐ-TTg</w:t>
      </w:r>
      <w:r w:rsidRPr="001E5353">
        <w:rPr>
          <w:rFonts w:ascii="Arial" w:eastAsia="Times New Roman" w:hAnsi="Arial" w:cs="Arial"/>
          <w:i/>
          <w:iCs/>
          <w:color w:val="auto"/>
          <w:sz w:val="20"/>
          <w:szCs w:val="20"/>
          <w:lang w:val="en-US" w:eastAsia="en-US" w:bidi="ar-SA"/>
        </w:rPr>
        <w:t> ngày 25/9/2018 của Thủ tướng Chính phủ quy định chức năng, nhiệm vụ, quyền hạn và cơ cấu tổ chức của Tổng cục Thuế trực thuộc Bộ Tài chính; Quyết định số </w:t>
      </w:r>
      <w:r w:rsidRPr="00AE21E7">
        <w:rPr>
          <w:rFonts w:ascii="Arial" w:eastAsia="Times New Roman" w:hAnsi="Arial" w:cs="Arial"/>
          <w:i/>
          <w:iCs/>
          <w:color w:val="auto"/>
          <w:sz w:val="20"/>
          <w:szCs w:val="20"/>
          <w:lang w:val="en-US" w:eastAsia="en-US" w:bidi="ar-SA"/>
        </w:rPr>
        <w:t>15/2021/QĐ-TTg</w:t>
      </w:r>
      <w:r w:rsidRPr="001E5353">
        <w:rPr>
          <w:rFonts w:ascii="Arial" w:eastAsia="Times New Roman" w:hAnsi="Arial" w:cs="Arial"/>
          <w:i/>
          <w:iCs/>
          <w:color w:val="auto"/>
          <w:sz w:val="20"/>
          <w:szCs w:val="20"/>
          <w:lang w:val="en-US" w:eastAsia="en-US" w:bidi="ar-SA"/>
        </w:rPr>
        <w:t> ngày 30/3/2021 của Thủ tướng Chính phủ sửa đổi, bổ sung Khoản 1 Điều 3 Quyết định số </w:t>
      </w:r>
      <w:r w:rsidRPr="00AE21E7">
        <w:rPr>
          <w:rFonts w:ascii="Arial" w:eastAsia="Times New Roman" w:hAnsi="Arial" w:cs="Arial"/>
          <w:i/>
          <w:iCs/>
          <w:color w:val="auto"/>
          <w:sz w:val="20"/>
          <w:szCs w:val="20"/>
          <w:lang w:val="en-US" w:eastAsia="en-US" w:bidi="ar-SA"/>
        </w:rPr>
        <w:t>41/2018/QĐ-TTg</w:t>
      </w:r>
      <w:r w:rsidRPr="001E5353">
        <w:rPr>
          <w:rFonts w:ascii="Arial" w:eastAsia="Times New Roman" w:hAnsi="Arial" w:cs="Arial"/>
          <w:i/>
          <w:iCs/>
          <w:color w:val="auto"/>
          <w:sz w:val="20"/>
          <w:szCs w:val="20"/>
          <w:lang w:val="en-US" w:eastAsia="en-US" w:bidi="ar-SA"/>
        </w:rPr>
        <w:t> ngày 25/9/2018 của Thủ tướng Chính phủ quy định chức năng, nhiệm vụ, quyền hạn và cơ cấu tổ chức của Tổng cục Thuế thuộc Bộ Tài chính;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Căn cứ Quyết định số </w:t>
      </w:r>
      <w:r w:rsidRPr="00AE21E7">
        <w:rPr>
          <w:rFonts w:ascii="Arial" w:eastAsia="Times New Roman" w:hAnsi="Arial" w:cs="Arial"/>
          <w:i/>
          <w:iCs/>
          <w:color w:val="auto"/>
          <w:sz w:val="20"/>
          <w:szCs w:val="20"/>
          <w:lang w:val="en-US" w:eastAsia="en-US" w:bidi="ar-SA"/>
        </w:rPr>
        <w:t>156/QĐ-BTC</w:t>
      </w:r>
      <w:r w:rsidRPr="001E5353">
        <w:rPr>
          <w:rFonts w:ascii="Arial" w:eastAsia="Times New Roman" w:hAnsi="Arial" w:cs="Arial"/>
          <w:i/>
          <w:iCs/>
          <w:color w:val="auto"/>
          <w:sz w:val="20"/>
          <w:szCs w:val="20"/>
          <w:lang w:val="en-US" w:eastAsia="en-US" w:bidi="ar-SA"/>
        </w:rPr>
        <w:t> ngày 23/01/2024 của Bộ Tài chính ban hành Kế hoạch phổ biến, giáo dục pháp luật năm 2024 của Bộ Tài chính;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Căn cứ Quyết định số </w:t>
      </w:r>
      <w:r w:rsidRPr="00AE21E7">
        <w:rPr>
          <w:rFonts w:ascii="Arial" w:eastAsia="Times New Roman" w:hAnsi="Arial" w:cs="Arial"/>
          <w:i/>
          <w:iCs/>
          <w:color w:val="auto"/>
          <w:sz w:val="20"/>
          <w:szCs w:val="20"/>
          <w:lang w:val="en-US" w:eastAsia="en-US" w:bidi="ar-SA"/>
        </w:rPr>
        <w:t>124/QĐ-BTC</w:t>
      </w:r>
      <w:r w:rsidRPr="001E5353">
        <w:rPr>
          <w:rFonts w:ascii="Arial" w:eastAsia="Times New Roman" w:hAnsi="Arial" w:cs="Arial"/>
          <w:i/>
          <w:iCs/>
          <w:color w:val="auto"/>
          <w:sz w:val="20"/>
          <w:szCs w:val="20"/>
          <w:lang w:val="en-US" w:eastAsia="en-US" w:bidi="ar-SA"/>
        </w:rPr>
        <w:t> ngày 18/01/2024 của Bộ Tài chính ban hành Kế hoạch hỗ trợ pháp lý cho doanh nghiệp nhỏ và vừa năm 2024 của Bộ Tài chính;</w:t>
      </w:r>
    </w:p>
    <w:p w:rsidR="001E5353" w:rsidRDefault="001E5353" w:rsidP="00B21E4C">
      <w:pPr>
        <w:widowControl/>
        <w:shd w:val="clear" w:color="auto" w:fill="FFFFFF"/>
        <w:ind w:firstLine="720"/>
        <w:jc w:val="both"/>
        <w:rPr>
          <w:rFonts w:ascii="Arial" w:eastAsia="Times New Roman" w:hAnsi="Arial" w:cs="Arial"/>
          <w:i/>
          <w:iCs/>
          <w:color w:val="auto"/>
          <w:sz w:val="20"/>
          <w:szCs w:val="20"/>
          <w:lang w:val="en-US" w:eastAsia="en-US" w:bidi="ar-SA"/>
        </w:rPr>
      </w:pPr>
      <w:r w:rsidRPr="001E5353">
        <w:rPr>
          <w:rFonts w:ascii="Arial" w:eastAsia="Times New Roman" w:hAnsi="Arial" w:cs="Arial"/>
          <w:i/>
          <w:iCs/>
          <w:color w:val="auto"/>
          <w:sz w:val="20"/>
          <w:szCs w:val="20"/>
          <w:lang w:val="en-US" w:eastAsia="en-US" w:bidi="ar-SA"/>
        </w:rPr>
        <w:t>Theo đề nghị của Vụ trưởng Vụ Pháp chế.</w:t>
      </w:r>
    </w:p>
    <w:p w:rsidR="00B21E4C" w:rsidRPr="001E5353" w:rsidRDefault="00B21E4C" w:rsidP="00B21E4C">
      <w:pPr>
        <w:widowControl/>
        <w:shd w:val="clear" w:color="auto" w:fill="FFFFFF"/>
        <w:ind w:firstLine="720"/>
        <w:jc w:val="both"/>
        <w:rPr>
          <w:rFonts w:ascii="Arial" w:eastAsia="Times New Roman" w:hAnsi="Arial" w:cs="Arial"/>
          <w:color w:val="auto"/>
          <w:sz w:val="20"/>
          <w:szCs w:val="20"/>
          <w:lang w:val="en-US" w:eastAsia="en-US" w:bidi="ar-SA"/>
        </w:rPr>
      </w:pPr>
    </w:p>
    <w:p w:rsidR="001E5353" w:rsidRDefault="001E5353" w:rsidP="00B21E4C">
      <w:pPr>
        <w:widowControl/>
        <w:shd w:val="clear" w:color="auto" w:fill="FFFFFF"/>
        <w:jc w:val="center"/>
        <w:rPr>
          <w:rFonts w:ascii="Arial" w:eastAsia="Times New Roman" w:hAnsi="Arial" w:cs="Arial"/>
          <w:b/>
          <w:bCs/>
          <w:color w:val="auto"/>
          <w:sz w:val="20"/>
          <w:szCs w:val="20"/>
          <w:lang w:val="en-US" w:eastAsia="en-US" w:bidi="ar-SA"/>
        </w:rPr>
      </w:pPr>
      <w:r w:rsidRPr="001E5353">
        <w:rPr>
          <w:rFonts w:ascii="Arial" w:eastAsia="Times New Roman" w:hAnsi="Arial" w:cs="Arial"/>
          <w:b/>
          <w:bCs/>
          <w:color w:val="auto"/>
          <w:sz w:val="20"/>
          <w:szCs w:val="20"/>
          <w:lang w:val="en-US" w:eastAsia="en-US" w:bidi="ar-SA"/>
        </w:rPr>
        <w:t>QUYẾT ĐỊNH:</w:t>
      </w:r>
    </w:p>
    <w:p w:rsidR="00B21E4C" w:rsidRPr="001E5353" w:rsidRDefault="00B21E4C" w:rsidP="00B21E4C">
      <w:pPr>
        <w:widowControl/>
        <w:shd w:val="clear" w:color="auto" w:fill="FFFFFF"/>
        <w:jc w:val="center"/>
        <w:rPr>
          <w:rFonts w:ascii="Arial" w:eastAsia="Times New Roman" w:hAnsi="Arial" w:cs="Arial"/>
          <w:color w:val="auto"/>
          <w:sz w:val="20"/>
          <w:szCs w:val="20"/>
          <w:lang w:val="en-US" w:eastAsia="en-US" w:bidi="ar-SA"/>
        </w:rPr>
      </w:pP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Điều 1.</w:t>
      </w:r>
      <w:r w:rsidRPr="001E5353">
        <w:rPr>
          <w:rFonts w:ascii="Arial" w:eastAsia="Times New Roman" w:hAnsi="Arial" w:cs="Arial"/>
          <w:color w:val="auto"/>
          <w:sz w:val="20"/>
          <w:szCs w:val="20"/>
          <w:lang w:val="en-US" w:eastAsia="en-US" w:bidi="ar-SA"/>
        </w:rPr>
        <w:t> Ban hành Kế hoạch phổ biến, giáo dục pháp luật; hỗ trợ pháp lý cho doanh nghiệp nhỏ và vừa năm 2024 của Tổng cục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Điều 2.</w:t>
      </w:r>
      <w:r w:rsidRPr="001E5353">
        <w:rPr>
          <w:rFonts w:ascii="Arial" w:eastAsia="Times New Roman" w:hAnsi="Arial" w:cs="Arial"/>
          <w:color w:val="auto"/>
          <w:sz w:val="20"/>
          <w:szCs w:val="20"/>
          <w:lang w:val="en-US" w:eastAsia="en-US" w:bidi="ar-SA"/>
        </w:rPr>
        <w:t> Quyết định này có hiệu lực thi hành kể từ ngày ký.</w:t>
      </w:r>
    </w:p>
    <w:p w:rsidR="001E5353" w:rsidRDefault="001E5353" w:rsidP="00B21E4C">
      <w:pPr>
        <w:widowControl/>
        <w:shd w:val="clear" w:color="auto" w:fill="FFFFFF"/>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Điều 3.</w:t>
      </w:r>
      <w:r w:rsidRPr="001E5353">
        <w:rPr>
          <w:rFonts w:ascii="Arial" w:eastAsia="Times New Roman" w:hAnsi="Arial" w:cs="Arial"/>
          <w:color w:val="auto"/>
          <w:sz w:val="20"/>
          <w:szCs w:val="20"/>
          <w:lang w:val="en-US" w:eastAsia="en-US" w:bidi="ar-SA"/>
        </w:rPr>
        <w:t> Chánh Văn phòng Tổng cục Thuế, Vụ trưởng Vụ Pháp chế, Thủ trưởng các Vụ/đơn vị thuộc/trực thuộc Tổng cục Thuế chịu trách nhiệm thi hành Quyết định này./.</w:t>
      </w:r>
    </w:p>
    <w:p w:rsidR="00B21E4C" w:rsidRPr="001E5353" w:rsidRDefault="00B21E4C" w:rsidP="00B21E4C">
      <w:pPr>
        <w:widowControl/>
        <w:shd w:val="clear" w:color="auto" w:fill="FFFFFF"/>
        <w:ind w:firstLine="720"/>
        <w:jc w:val="both"/>
        <w:rPr>
          <w:rFonts w:ascii="Arial" w:eastAsia="Times New Roman" w:hAnsi="Arial" w:cs="Arial"/>
          <w:color w:val="auto"/>
          <w:sz w:val="20"/>
          <w:szCs w:val="20"/>
          <w:lang w:val="en-US" w:eastAsia="en-US" w:bidi="ar-SA"/>
        </w:rPr>
      </w:pPr>
    </w:p>
    <w:tbl>
      <w:tblPr>
        <w:tblW w:w="5000" w:type="pct"/>
        <w:tblCellSpacing w:w="0" w:type="dxa"/>
        <w:tblCellMar>
          <w:left w:w="0" w:type="dxa"/>
          <w:right w:w="0" w:type="dxa"/>
        </w:tblCellMar>
        <w:tblLook w:val="04A0" w:firstRow="1" w:lastRow="0" w:firstColumn="1" w:lastColumn="0" w:noHBand="0" w:noVBand="1"/>
      </w:tblPr>
      <w:tblGrid>
        <w:gridCol w:w="4510"/>
        <w:gridCol w:w="4510"/>
      </w:tblGrid>
      <w:tr w:rsidR="001E5353" w:rsidRPr="00AE21E7" w:rsidTr="00B21E4C">
        <w:trPr>
          <w:tblCellSpacing w:w="0" w:type="dxa"/>
        </w:trPr>
        <w:tc>
          <w:tcPr>
            <w:tcW w:w="2500" w:type="pct"/>
            <w:tcMar>
              <w:top w:w="0" w:type="dxa"/>
              <w:left w:w="108" w:type="dxa"/>
              <w:bottom w:w="0" w:type="dxa"/>
              <w:right w:w="108" w:type="dxa"/>
            </w:tcMar>
            <w:hideMark/>
          </w:tcPr>
          <w:p w:rsidR="001E5353" w:rsidRPr="001E5353" w:rsidRDefault="001E5353" w:rsidP="00B21E4C">
            <w:pPr>
              <w:widowControl/>
              <w:rPr>
                <w:rFonts w:ascii="Arial" w:eastAsia="Times New Roman" w:hAnsi="Arial" w:cs="Arial"/>
                <w:color w:val="auto"/>
                <w:sz w:val="20"/>
                <w:szCs w:val="20"/>
                <w:lang w:val="en-US" w:eastAsia="en-US" w:bidi="ar-SA"/>
              </w:rPr>
            </w:pPr>
            <w:r w:rsidRPr="001E5353">
              <w:rPr>
                <w:rFonts w:ascii="Arial" w:eastAsia="Times New Roman" w:hAnsi="Arial" w:cs="Arial"/>
                <w:b/>
                <w:bCs/>
                <w:i/>
                <w:iCs/>
                <w:color w:val="auto"/>
                <w:sz w:val="20"/>
                <w:szCs w:val="20"/>
                <w:lang w:val="en-US" w:eastAsia="en-US" w:bidi="ar-SA"/>
              </w:rPr>
              <w:t>Nơi nhận:</w:t>
            </w:r>
            <w:r w:rsidRPr="001E5353">
              <w:rPr>
                <w:rFonts w:ascii="Arial" w:eastAsia="Times New Roman" w:hAnsi="Arial" w:cs="Arial"/>
                <w:b/>
                <w:bCs/>
                <w:i/>
                <w:iCs/>
                <w:color w:val="auto"/>
                <w:sz w:val="20"/>
                <w:szCs w:val="20"/>
                <w:lang w:val="en-US" w:eastAsia="en-US" w:bidi="ar-SA"/>
              </w:rPr>
              <w:br/>
            </w:r>
            <w:r w:rsidRPr="001E5353">
              <w:rPr>
                <w:rFonts w:ascii="Arial" w:eastAsia="Times New Roman" w:hAnsi="Arial" w:cs="Arial"/>
                <w:color w:val="auto"/>
                <w:sz w:val="20"/>
                <w:szCs w:val="20"/>
                <w:lang w:val="en-US" w:eastAsia="en-US" w:bidi="ar-SA"/>
              </w:rPr>
              <w:t>- Như Điều 3;</w:t>
            </w:r>
            <w:r w:rsidRPr="001E5353">
              <w:rPr>
                <w:rFonts w:ascii="Arial" w:eastAsia="Times New Roman" w:hAnsi="Arial" w:cs="Arial"/>
                <w:color w:val="auto"/>
                <w:sz w:val="20"/>
                <w:szCs w:val="20"/>
                <w:lang w:val="en-US" w:eastAsia="en-US" w:bidi="ar-SA"/>
              </w:rPr>
              <w:br/>
              <w:t>- Lãnh đạo Tổng cục;</w:t>
            </w:r>
            <w:r w:rsidRPr="001E5353">
              <w:rPr>
                <w:rFonts w:ascii="Arial" w:eastAsia="Times New Roman" w:hAnsi="Arial" w:cs="Arial"/>
                <w:color w:val="auto"/>
                <w:sz w:val="20"/>
                <w:szCs w:val="20"/>
                <w:lang w:val="en-US" w:eastAsia="en-US" w:bidi="ar-SA"/>
              </w:rPr>
              <w:br/>
              <w:t>- Vụ Pháp chế - BTC;</w:t>
            </w:r>
            <w:r w:rsidRPr="001E5353">
              <w:rPr>
                <w:rFonts w:ascii="Arial" w:eastAsia="Times New Roman" w:hAnsi="Arial" w:cs="Arial"/>
                <w:color w:val="auto"/>
                <w:sz w:val="20"/>
                <w:szCs w:val="20"/>
                <w:lang w:val="en-US" w:eastAsia="en-US" w:bidi="ar-SA"/>
              </w:rPr>
              <w:br/>
              <w:t>- Cục Thuế các tỉnh, TP trực thuộc TW;</w:t>
            </w:r>
            <w:r w:rsidRPr="001E5353">
              <w:rPr>
                <w:rFonts w:ascii="Arial" w:eastAsia="Times New Roman" w:hAnsi="Arial" w:cs="Arial"/>
                <w:color w:val="auto"/>
                <w:sz w:val="20"/>
                <w:szCs w:val="20"/>
                <w:lang w:val="en-US" w:eastAsia="en-US" w:bidi="ar-SA"/>
              </w:rPr>
              <w:br/>
              <w:t>- Lưu: VT, PC (4b).</w:t>
            </w:r>
          </w:p>
        </w:tc>
        <w:tc>
          <w:tcPr>
            <w:tcW w:w="2500" w:type="pct"/>
            <w:tcMar>
              <w:top w:w="0" w:type="dxa"/>
              <w:left w:w="108" w:type="dxa"/>
              <w:bottom w:w="0" w:type="dxa"/>
              <w:right w:w="108" w:type="dxa"/>
            </w:tcMar>
            <w:hideMark/>
          </w:tcPr>
          <w:p w:rsidR="001E5353" w:rsidRPr="001E5353" w:rsidRDefault="001E5353" w:rsidP="00B21E4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KT. TỔNG CỤC TRƯỞNG</w:t>
            </w:r>
            <w:r w:rsidRPr="001E5353">
              <w:rPr>
                <w:rFonts w:ascii="Arial" w:eastAsia="Times New Roman" w:hAnsi="Arial" w:cs="Arial"/>
                <w:b/>
                <w:bCs/>
                <w:color w:val="auto"/>
                <w:sz w:val="20"/>
                <w:szCs w:val="20"/>
                <w:lang w:val="en-US" w:eastAsia="en-US" w:bidi="ar-SA"/>
              </w:rPr>
              <w:br/>
              <w:t>PHÓ TỔNG CỤC TRƯỞNG</w:t>
            </w:r>
            <w:r w:rsidRPr="001E5353">
              <w:rPr>
                <w:rFonts w:ascii="Arial" w:eastAsia="Times New Roman" w:hAnsi="Arial" w:cs="Arial"/>
                <w:b/>
                <w:bCs/>
                <w:color w:val="auto"/>
                <w:sz w:val="20"/>
                <w:szCs w:val="20"/>
                <w:lang w:val="en-US" w:eastAsia="en-US" w:bidi="ar-SA"/>
              </w:rPr>
              <w:br/>
            </w:r>
            <w:r w:rsidRPr="001E5353">
              <w:rPr>
                <w:rFonts w:ascii="Arial" w:eastAsia="Times New Roman" w:hAnsi="Arial" w:cs="Arial"/>
                <w:b/>
                <w:bCs/>
                <w:color w:val="auto"/>
                <w:sz w:val="20"/>
                <w:szCs w:val="20"/>
                <w:lang w:val="en-US" w:eastAsia="en-US" w:bidi="ar-SA"/>
              </w:rPr>
              <w:br/>
            </w:r>
            <w:r w:rsidRPr="001E5353">
              <w:rPr>
                <w:rFonts w:ascii="Arial" w:eastAsia="Times New Roman" w:hAnsi="Arial" w:cs="Arial"/>
                <w:b/>
                <w:bCs/>
                <w:color w:val="auto"/>
                <w:sz w:val="20"/>
                <w:szCs w:val="20"/>
                <w:lang w:val="en-US" w:eastAsia="en-US" w:bidi="ar-SA"/>
              </w:rPr>
              <w:br/>
            </w:r>
            <w:r w:rsidRPr="001E5353">
              <w:rPr>
                <w:rFonts w:ascii="Arial" w:eastAsia="Times New Roman" w:hAnsi="Arial" w:cs="Arial"/>
                <w:b/>
                <w:bCs/>
                <w:color w:val="auto"/>
                <w:sz w:val="20"/>
                <w:szCs w:val="20"/>
                <w:lang w:val="en-US" w:eastAsia="en-US" w:bidi="ar-SA"/>
              </w:rPr>
              <w:br/>
            </w:r>
            <w:r w:rsidRPr="001E5353">
              <w:rPr>
                <w:rFonts w:ascii="Arial" w:eastAsia="Times New Roman" w:hAnsi="Arial" w:cs="Arial"/>
                <w:b/>
                <w:bCs/>
                <w:color w:val="auto"/>
                <w:sz w:val="20"/>
                <w:szCs w:val="20"/>
                <w:lang w:val="en-US" w:eastAsia="en-US" w:bidi="ar-SA"/>
              </w:rPr>
              <w:br/>
              <w:t>Mai Sơn</w:t>
            </w:r>
          </w:p>
        </w:tc>
      </w:tr>
    </w:tbl>
    <w:p w:rsidR="00B21E4C" w:rsidRDefault="00B21E4C" w:rsidP="001E5353">
      <w:pPr>
        <w:widowControl/>
        <w:shd w:val="clear" w:color="auto" w:fill="FFFFFF"/>
        <w:spacing w:after="120"/>
        <w:ind w:firstLine="720"/>
        <w:jc w:val="both"/>
        <w:rPr>
          <w:rFonts w:ascii="Arial" w:eastAsia="Times New Roman" w:hAnsi="Arial" w:cs="Arial"/>
          <w:b/>
          <w:bCs/>
          <w:color w:val="auto"/>
          <w:sz w:val="20"/>
          <w:szCs w:val="20"/>
          <w:lang w:val="en-US" w:eastAsia="en-US" w:bidi="ar-SA"/>
        </w:rPr>
      </w:pPr>
    </w:p>
    <w:p w:rsidR="00B21E4C" w:rsidRDefault="00B21E4C" w:rsidP="001E5353">
      <w:pPr>
        <w:widowControl/>
        <w:shd w:val="clear" w:color="auto" w:fill="FFFFFF"/>
        <w:spacing w:after="120"/>
        <w:ind w:firstLine="720"/>
        <w:jc w:val="both"/>
        <w:rPr>
          <w:rFonts w:ascii="Arial" w:eastAsia="Times New Roman" w:hAnsi="Arial" w:cs="Arial"/>
          <w:b/>
          <w:bCs/>
          <w:color w:val="auto"/>
          <w:sz w:val="20"/>
          <w:szCs w:val="20"/>
          <w:lang w:val="en-US" w:eastAsia="en-US" w:bidi="ar-SA"/>
        </w:rPr>
        <w:sectPr w:rsidR="00B21E4C" w:rsidSect="001E5353">
          <w:type w:val="continuous"/>
          <w:pgSz w:w="11900" w:h="16840" w:code="9"/>
          <w:pgMar w:top="1440" w:right="1440" w:bottom="1440" w:left="1440" w:header="0" w:footer="0" w:gutter="0"/>
          <w:pgNumType w:start="8"/>
          <w:cols w:space="720"/>
          <w:noEndnote/>
          <w:docGrid w:linePitch="360"/>
        </w:sectPr>
      </w:pPr>
    </w:p>
    <w:p w:rsidR="001E5353" w:rsidRPr="001E5353" w:rsidRDefault="001E5353" w:rsidP="00B21E4C">
      <w:pPr>
        <w:widowControl/>
        <w:shd w:val="clear" w:color="auto" w:fill="FFFFFF"/>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lastRenderedPageBreak/>
        <w:t>KẾ HOẠCH</w:t>
      </w:r>
    </w:p>
    <w:p w:rsidR="00B21E4C" w:rsidRDefault="00B21E4C" w:rsidP="00B21E4C">
      <w:pPr>
        <w:widowControl/>
        <w:shd w:val="clear" w:color="auto" w:fill="FFFFFF"/>
        <w:jc w:val="center"/>
        <w:rPr>
          <w:rFonts w:ascii="Arial" w:eastAsia="Times New Roman" w:hAnsi="Arial" w:cs="Arial"/>
          <w:b/>
          <w:color w:val="auto"/>
          <w:sz w:val="20"/>
          <w:szCs w:val="20"/>
          <w:lang w:val="en-US" w:eastAsia="en-US" w:bidi="ar-SA"/>
        </w:rPr>
      </w:pPr>
      <w:r w:rsidRPr="001E5353">
        <w:rPr>
          <w:rFonts w:ascii="Arial" w:eastAsia="Times New Roman" w:hAnsi="Arial" w:cs="Arial"/>
          <w:b/>
          <w:color w:val="auto"/>
          <w:sz w:val="20"/>
          <w:szCs w:val="20"/>
          <w:lang w:val="en-US" w:eastAsia="en-US" w:bidi="ar-SA"/>
        </w:rPr>
        <w:t>Phổ biến, giáo dục pháp luật; hỗ trợ pháp lý cho doanh nghiệp nhỏ và</w:t>
      </w:r>
      <w:r>
        <w:rPr>
          <w:rFonts w:ascii="Arial" w:eastAsia="Times New Roman" w:hAnsi="Arial" w:cs="Arial"/>
          <w:b/>
          <w:color w:val="auto"/>
          <w:sz w:val="20"/>
          <w:szCs w:val="20"/>
          <w:lang w:val="en-US" w:eastAsia="en-US" w:bidi="ar-SA"/>
        </w:rPr>
        <w:t xml:space="preserve"> vừa</w:t>
      </w:r>
    </w:p>
    <w:p w:rsidR="00B21E4C" w:rsidRPr="00B21E4C" w:rsidRDefault="00B21E4C" w:rsidP="00B21E4C">
      <w:pPr>
        <w:widowControl/>
        <w:shd w:val="clear" w:color="auto" w:fill="FFFFFF"/>
        <w:jc w:val="center"/>
        <w:rPr>
          <w:rFonts w:ascii="Arial" w:eastAsia="Times New Roman" w:hAnsi="Arial" w:cs="Arial"/>
          <w:b/>
          <w:color w:val="auto"/>
          <w:sz w:val="20"/>
          <w:szCs w:val="20"/>
          <w:lang w:val="en-US" w:eastAsia="en-US" w:bidi="ar-SA"/>
        </w:rPr>
      </w:pPr>
      <w:r>
        <w:rPr>
          <w:rFonts w:ascii="Arial" w:eastAsia="Times New Roman" w:hAnsi="Arial" w:cs="Arial"/>
          <w:b/>
          <w:color w:val="auto"/>
          <w:sz w:val="20"/>
          <w:szCs w:val="20"/>
          <w:lang w:val="en-US" w:eastAsia="en-US" w:bidi="ar-SA"/>
        </w:rPr>
        <w:t>năm 2024 của Tổng cục T</w:t>
      </w:r>
      <w:r w:rsidRPr="00B21E4C">
        <w:rPr>
          <w:rFonts w:ascii="Arial" w:eastAsia="Times New Roman" w:hAnsi="Arial" w:cs="Arial"/>
          <w:b/>
          <w:color w:val="auto"/>
          <w:sz w:val="20"/>
          <w:szCs w:val="20"/>
          <w:lang w:val="en-US" w:eastAsia="en-US" w:bidi="ar-SA"/>
        </w:rPr>
        <w:t>huế</w:t>
      </w:r>
    </w:p>
    <w:p w:rsidR="00B21E4C" w:rsidRDefault="001E5353" w:rsidP="00B21E4C">
      <w:pPr>
        <w:widowControl/>
        <w:shd w:val="clear" w:color="auto" w:fill="FFFFFF"/>
        <w:jc w:val="center"/>
        <w:rPr>
          <w:rFonts w:ascii="Arial" w:eastAsia="Times New Roman" w:hAnsi="Arial" w:cs="Arial"/>
          <w:i/>
          <w:iCs/>
          <w:color w:val="auto"/>
          <w:sz w:val="20"/>
          <w:szCs w:val="20"/>
          <w:lang w:val="en-US" w:eastAsia="en-US" w:bidi="ar-SA"/>
        </w:rPr>
      </w:pPr>
      <w:r w:rsidRPr="001E5353">
        <w:rPr>
          <w:rFonts w:ascii="Arial" w:eastAsia="Times New Roman" w:hAnsi="Arial" w:cs="Arial"/>
          <w:i/>
          <w:iCs/>
          <w:color w:val="auto"/>
          <w:sz w:val="20"/>
          <w:szCs w:val="20"/>
          <w:lang w:val="en-US" w:eastAsia="en-US" w:bidi="ar-SA"/>
        </w:rPr>
        <w:t>(Kèm theo Quyết định số: 183/Q</w:t>
      </w:r>
      <w:r w:rsidR="00B21E4C">
        <w:rPr>
          <w:rFonts w:ascii="Arial" w:eastAsia="Times New Roman" w:hAnsi="Arial" w:cs="Arial"/>
          <w:i/>
          <w:iCs/>
          <w:color w:val="auto"/>
          <w:sz w:val="20"/>
          <w:szCs w:val="20"/>
          <w:lang w:val="en-US" w:eastAsia="en-US" w:bidi="ar-SA"/>
        </w:rPr>
        <w:t>Đ-TCT ngày 07 tháng 02 năm 2024</w:t>
      </w:r>
    </w:p>
    <w:p w:rsidR="001E5353" w:rsidRDefault="001E5353" w:rsidP="00B21E4C">
      <w:pPr>
        <w:widowControl/>
        <w:shd w:val="clear" w:color="auto" w:fill="FFFFFF"/>
        <w:jc w:val="center"/>
        <w:rPr>
          <w:rFonts w:ascii="Arial" w:eastAsia="Times New Roman" w:hAnsi="Arial" w:cs="Arial"/>
          <w:i/>
          <w:iCs/>
          <w:color w:val="auto"/>
          <w:sz w:val="20"/>
          <w:szCs w:val="20"/>
          <w:lang w:val="en-US" w:eastAsia="en-US" w:bidi="ar-SA"/>
        </w:rPr>
      </w:pPr>
      <w:r w:rsidRPr="001E5353">
        <w:rPr>
          <w:rFonts w:ascii="Arial" w:eastAsia="Times New Roman" w:hAnsi="Arial" w:cs="Arial"/>
          <w:i/>
          <w:iCs/>
          <w:color w:val="auto"/>
          <w:sz w:val="20"/>
          <w:szCs w:val="20"/>
          <w:lang w:val="en-US" w:eastAsia="en-US" w:bidi="ar-SA"/>
        </w:rPr>
        <w:t>của Tổng cục trưởng Tổng cục Thuế)</w:t>
      </w:r>
    </w:p>
    <w:p w:rsidR="00B21E4C" w:rsidRPr="001E5353" w:rsidRDefault="00B21E4C" w:rsidP="00B21E4C">
      <w:pPr>
        <w:widowControl/>
        <w:shd w:val="clear" w:color="auto" w:fill="FFFFFF"/>
        <w:jc w:val="center"/>
        <w:rPr>
          <w:rFonts w:ascii="Arial" w:eastAsia="Times New Roman" w:hAnsi="Arial" w:cs="Arial"/>
          <w:color w:val="auto"/>
          <w:sz w:val="20"/>
          <w:szCs w:val="20"/>
          <w:lang w:val="en-US" w:eastAsia="en-US" w:bidi="ar-SA"/>
        </w:rPr>
      </w:pP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I. MỤC ĐÍCH, YÊU CẦU</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1. Cung cấp đầy đủ, kịp thời thông tin pháp luật, nhất là các luật mới ban hành, các văn bản quy phạm pháp luật (QPPL) mới về thuế đến cán bộ, công chức ngành thuế, người nộp thuế và cộng đồng xã hội, đáp ứng nhu cầu nắm bắt, tìm hiểu văn bản QPPL của các đối tượng thi hành và thực thi hiệu quả.</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2. Đảm bảo đúng nội dung, hình thức và phương pháp theo quy định của Nghị định số </w:t>
      </w:r>
      <w:r w:rsidRPr="00AE21E7">
        <w:rPr>
          <w:rFonts w:ascii="Arial" w:eastAsia="Times New Roman" w:hAnsi="Arial" w:cs="Arial"/>
          <w:color w:val="auto"/>
          <w:sz w:val="20"/>
          <w:szCs w:val="20"/>
          <w:lang w:val="en-US" w:eastAsia="en-US" w:bidi="ar-SA"/>
        </w:rPr>
        <w:t>55/2019/NĐ-CP</w:t>
      </w:r>
      <w:r w:rsidRPr="001E5353">
        <w:rPr>
          <w:rFonts w:ascii="Arial" w:eastAsia="Times New Roman" w:hAnsi="Arial" w:cs="Arial"/>
          <w:color w:val="auto"/>
          <w:sz w:val="20"/>
          <w:szCs w:val="20"/>
          <w:lang w:val="en-US" w:eastAsia="en-US" w:bidi="ar-SA"/>
        </w:rPr>
        <w:t> ngày 24/6/2019 của Chính phủ về việc hỗ trợ pháp lý cho doanh nghiệp nhỏ và vừa.</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3. Bám sát Kế hoạch Phổ biến, giáo dục pháp luật năm 2024 của Bộ Tài chính và Kế hoạch Hỗ trợ pháp lý cho doanh nghiệp nhỏ và vừa năm 2024 của Bộ Tài chính; phát huy thế mạnh của hệ thống thuế toàn ngành; gắn hoạt động tuyên truyền, phổ biến pháp luật với hoạt động hỗ trợ pháp lý cho doanh nghiệp, hoàn thiện văn bản QPPL và các hoạt động quản lý nhà nước khác theo chức năng.</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4. Tổ chức thực hiện có trọng tâm, trọng điểm hiệu quả công tác này.</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II. NỘI DUNG, HÌNH THỨC VÀ PHÂN CÔNG THỰC HIỆN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A. Ban hành văn bản chỉ đạo các đơn vị triển khai công tác phổ biến, giáo dục pháp luật; hỗ trợ pháp lý cho doanh nghiệp nhỏ và vừa</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Đơn vị thực hiện:</w:t>
      </w:r>
      <w:r w:rsidRPr="001E5353">
        <w:rPr>
          <w:rFonts w:ascii="Arial" w:eastAsia="Times New Roman" w:hAnsi="Arial" w:cs="Arial"/>
          <w:color w:val="auto"/>
          <w:sz w:val="20"/>
          <w:szCs w:val="20"/>
          <w:lang w:val="en-US" w:eastAsia="en-US" w:bidi="ar-SA"/>
        </w:rPr>
        <w:t> Vụ Pháp chế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Kết quả thực hiện:</w:t>
      </w:r>
      <w:r w:rsidRPr="001E5353">
        <w:rPr>
          <w:rFonts w:ascii="Arial" w:eastAsia="Times New Roman" w:hAnsi="Arial" w:cs="Arial"/>
          <w:color w:val="auto"/>
          <w:sz w:val="20"/>
          <w:szCs w:val="20"/>
          <w:lang w:val="en-US" w:eastAsia="en-US" w:bidi="ar-SA"/>
        </w:rPr>
        <w:t> Văn bản hướng dẫn của Tổng cục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Thời gian thực hiện:</w:t>
      </w:r>
      <w:r w:rsidRPr="001E5353">
        <w:rPr>
          <w:rFonts w:ascii="Arial" w:eastAsia="Times New Roman" w:hAnsi="Arial" w:cs="Arial"/>
          <w:color w:val="auto"/>
          <w:sz w:val="20"/>
          <w:szCs w:val="20"/>
          <w:lang w:val="en-US" w:eastAsia="en-US" w:bidi="ar-SA"/>
        </w:rPr>
        <w:t> Quý I năm 2024.</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B. Triển khai công tác phổ biến, giáo dục pháp luật</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1. Phổ biến các văn bản QPPL về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1.1. Văn bản thực hiện phổ biến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Thực hiện phổ biến các văn bản QPPL đã được áp dụng từ năm 2022 nhưng có nhiều điểm mới để người nộp thuế (NNT) tiếp cận, hiểu và thực hiện đúng quy định.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Phổ biến, tuyên truyền văn bản QPPL mới về thuế ban hành trong năm 2023 như: Thông tư số </w:t>
      </w:r>
      <w:r w:rsidRPr="00AE21E7">
        <w:rPr>
          <w:rFonts w:ascii="Arial" w:eastAsia="Times New Roman" w:hAnsi="Arial" w:cs="Arial"/>
          <w:color w:val="auto"/>
          <w:sz w:val="20"/>
          <w:szCs w:val="20"/>
          <w:lang w:val="en-US" w:eastAsia="en-US" w:bidi="ar-SA"/>
        </w:rPr>
        <w:t>13/2023/TT-BTC</w:t>
      </w:r>
      <w:r w:rsidRPr="001E5353">
        <w:rPr>
          <w:rFonts w:ascii="Arial" w:eastAsia="Times New Roman" w:hAnsi="Arial" w:cs="Arial"/>
          <w:color w:val="auto"/>
          <w:sz w:val="20"/>
          <w:szCs w:val="20"/>
          <w:lang w:val="en-US" w:eastAsia="en-US" w:bidi="ar-SA"/>
        </w:rPr>
        <w:t> ngày 28/2/2023 của Bộ Tài chính hướng dẫn thi hành Nghị định số </w:t>
      </w:r>
      <w:r w:rsidRPr="00AE21E7">
        <w:rPr>
          <w:rFonts w:ascii="Arial" w:eastAsia="Times New Roman" w:hAnsi="Arial" w:cs="Arial"/>
          <w:color w:val="auto"/>
          <w:sz w:val="20"/>
          <w:szCs w:val="20"/>
          <w:lang w:val="en-US" w:eastAsia="en-US" w:bidi="ar-SA"/>
        </w:rPr>
        <w:t>49/2022/NĐ-CP</w:t>
      </w:r>
      <w:r w:rsidRPr="001E5353">
        <w:rPr>
          <w:rFonts w:ascii="Arial" w:eastAsia="Times New Roman" w:hAnsi="Arial" w:cs="Arial"/>
          <w:color w:val="auto"/>
          <w:sz w:val="20"/>
          <w:szCs w:val="20"/>
          <w:lang w:val="en-US" w:eastAsia="en-US" w:bidi="ar-SA"/>
        </w:rPr>
        <w:t> ngày 29 tháng 7 năm 2022 của Chính phủ sửa đổi, bổ sung một số điều của Nghị định số </w:t>
      </w:r>
      <w:r w:rsidRPr="00AE21E7">
        <w:rPr>
          <w:rFonts w:ascii="Arial" w:eastAsia="Times New Roman" w:hAnsi="Arial" w:cs="Arial"/>
          <w:color w:val="auto"/>
          <w:sz w:val="20"/>
          <w:szCs w:val="20"/>
          <w:lang w:val="en-US" w:eastAsia="en-US" w:bidi="ar-SA"/>
        </w:rPr>
        <w:t>209/2013/NĐ-CP</w:t>
      </w:r>
      <w:r w:rsidRPr="001E5353">
        <w:rPr>
          <w:rFonts w:ascii="Arial" w:eastAsia="Times New Roman" w:hAnsi="Arial" w:cs="Arial"/>
          <w:color w:val="auto"/>
          <w:sz w:val="20"/>
          <w:szCs w:val="20"/>
          <w:lang w:val="en-US" w:eastAsia="en-US" w:bidi="ar-SA"/>
        </w:rPr>
        <w:t> ngày 18 tháng 12 năm 2013 của Chính phủ quy định chi tiết và hướng dẫn thi hành một số điều của Luật Thuế giá trị gia tăng đã được sửa đổi, bổ sung một số điều theo Nghị định số </w:t>
      </w:r>
      <w:r w:rsidRPr="00AE21E7">
        <w:rPr>
          <w:rFonts w:ascii="Arial" w:eastAsia="Times New Roman" w:hAnsi="Arial" w:cs="Arial"/>
          <w:color w:val="auto"/>
          <w:sz w:val="20"/>
          <w:szCs w:val="20"/>
          <w:lang w:val="en-US" w:eastAsia="en-US" w:bidi="ar-SA"/>
        </w:rPr>
        <w:t>12/2015/NĐ-CP</w:t>
      </w:r>
      <w:r w:rsidRPr="001E5353">
        <w:rPr>
          <w:rFonts w:ascii="Arial" w:eastAsia="Times New Roman" w:hAnsi="Arial" w:cs="Arial"/>
          <w:color w:val="auto"/>
          <w:sz w:val="20"/>
          <w:szCs w:val="20"/>
          <w:lang w:val="en-US" w:eastAsia="en-US" w:bidi="ar-SA"/>
        </w:rPr>
        <w:t> , Nghị định số </w:t>
      </w:r>
      <w:r w:rsidRPr="00AE21E7">
        <w:rPr>
          <w:rFonts w:ascii="Arial" w:eastAsia="Times New Roman" w:hAnsi="Arial" w:cs="Arial"/>
          <w:color w:val="auto"/>
          <w:sz w:val="20"/>
          <w:szCs w:val="20"/>
          <w:lang w:val="en-US" w:eastAsia="en-US" w:bidi="ar-SA"/>
        </w:rPr>
        <w:t>100/2016/NĐ-CP</w:t>
      </w:r>
      <w:r w:rsidRPr="001E5353">
        <w:rPr>
          <w:rFonts w:ascii="Arial" w:eastAsia="Times New Roman" w:hAnsi="Arial" w:cs="Arial"/>
          <w:color w:val="auto"/>
          <w:sz w:val="20"/>
          <w:szCs w:val="20"/>
          <w:lang w:val="en-US" w:eastAsia="en-US" w:bidi="ar-SA"/>
        </w:rPr>
        <w:t> và Nghị định số </w:t>
      </w:r>
      <w:r w:rsidRPr="00AE21E7">
        <w:rPr>
          <w:rFonts w:ascii="Arial" w:eastAsia="Times New Roman" w:hAnsi="Arial" w:cs="Arial"/>
          <w:color w:val="auto"/>
          <w:sz w:val="20"/>
          <w:szCs w:val="20"/>
          <w:lang w:val="en-US" w:eastAsia="en-US" w:bidi="ar-SA"/>
        </w:rPr>
        <w:t>146/2017/NĐ-CP</w:t>
      </w:r>
      <w:r w:rsidRPr="001E5353">
        <w:rPr>
          <w:rFonts w:ascii="Arial" w:eastAsia="Times New Roman" w:hAnsi="Arial" w:cs="Arial"/>
          <w:color w:val="auto"/>
          <w:sz w:val="20"/>
          <w:szCs w:val="20"/>
          <w:lang w:val="en-US" w:eastAsia="en-US" w:bidi="ar-SA"/>
        </w:rPr>
        <w:t> và sửa đổi bổ sung Thông tư số </w:t>
      </w:r>
      <w:r w:rsidRPr="00AE21E7">
        <w:rPr>
          <w:rFonts w:ascii="Arial" w:eastAsia="Times New Roman" w:hAnsi="Arial" w:cs="Arial"/>
          <w:color w:val="auto"/>
          <w:sz w:val="20"/>
          <w:szCs w:val="20"/>
          <w:lang w:val="en-US" w:eastAsia="en-US" w:bidi="ar-SA"/>
        </w:rPr>
        <w:t>80/2021/TT-BTC</w:t>
      </w:r>
      <w:r w:rsidRPr="001E5353">
        <w:rPr>
          <w:rFonts w:ascii="Arial" w:eastAsia="Times New Roman" w:hAnsi="Arial" w:cs="Arial"/>
          <w:color w:val="auto"/>
          <w:sz w:val="20"/>
          <w:szCs w:val="20"/>
          <w:lang w:val="en-US" w:eastAsia="en-US" w:bidi="ar-SA"/>
        </w:rPr>
        <w:t> ngày 29 tháng 9 năm 2021 của Bộ Tài chính,...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Phổ biến, tuyên truyền văn bản QPPL mới về thuế có hiệu lực thi hành từ năm 2024 và các văn bản QPPL Người nộp thuế, công chức thuế và cộng đồng xã hội quan tâm.</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1.2. Đối tượng được phổ biến: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Người nộp thuế, công chức thuế và cộng đồng xã hội.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1.3. Hình thức:</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Tùy theo điều kiện, cơ quan thuế lựa chọn hình thức tuyên truyền, phổ biến phù hợp, hiệu quả như:</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a) Phổ biến bằng các phương thức điện tử, như: Đăng tải thông tin trên hệ thống trang thông tin điện tử ngành thuế, hệ thống các nền tảng mạng xã hội (Fanpage, Zalo, Facebook...), qua hộp thư điện tử…;</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b) Phổ biến trên các phương tiện thông tin đại chúng: báo giấy, báo điện tử, Đài Truyền hình, Đài phát thanh...;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lastRenderedPageBreak/>
        <w:t>c) Tổ chức hội nghị phổ biến, tập huấn; tổ chức các buổi đối thoại, tọa đàm (trực tiếp hoặc trực tuyến)...;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d) Biên soạn, in ấn cấp phát các tài liệu, ấn phẩm, tờ rơi...để giới thiệu, phổ biến văn bản QPPL đến NNT.</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đ) Hướng dẫn NNT tại bộ phận “một cửa” của cơ quan thuế, trả lời vướng mắc của NNT bằng văn bản, trên cổng thông tin điện tử ngành thuế, qua mục Hỏi - Đáp trên hệ thống Dịch vụ Thuế điện tử (eTax), qua điện thoại...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1.4. Đơn vị thực hiện: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Các Vụ/đơn vị thuộc Tổng cục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Cục Thuế các tỉnh, Thành phố trực thuộc trung ương.</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Hình thức phổ biến và phân công tổ chức thực hiện chi tiết tại Phụ lục ban hành kèm theo Kế hoạch này.</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1.5. Thời gian thực hiện: Năm 2024.</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2. Đăng tải đề cương lên Hệ thống trang thông tin điện tử ngành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2.1. Danh mục văn bản QPPL đăng tải đề cương:</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(i) Luật Dầu khí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(ii) Luật phòng, chống bạo lực gia đình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(iii) Luật Thanh tra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(iv) Luật Thực hiện dân chủ ở cơ sở;</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(v) Luật sửa đổi, bổ sung một số điều của Luật Tần số vô tuyến điện;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(vi) Luật Phòng, chống rửa tiền;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(vii) Luật Bảo vệ quyền lợi người tiêu dùng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(viii) Luật Đấu thầu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(ix) Luật Giá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(x) Luật Giao dịch điện tử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(xi) Luật Hợp tác xã (sửa đổi);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(xii) Luật Phòng thủ dân sự.</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2.2. Hình thức thực hiện:</w:t>
      </w:r>
      <w:r w:rsidRPr="001E5353">
        <w:rPr>
          <w:rFonts w:ascii="Arial" w:eastAsia="Times New Roman" w:hAnsi="Arial" w:cs="Arial"/>
          <w:color w:val="auto"/>
          <w:sz w:val="20"/>
          <w:szCs w:val="20"/>
          <w:lang w:val="en-US" w:eastAsia="en-US" w:bidi="ar-SA"/>
        </w:rPr>
        <w:t> Đăng tải trên hệ thống thông tin điện tử ngành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2.3. Đơn vị thực hiện: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Vụ Pháp chế biên tập đề cương, chuyển các đơn vị thực hiện đăng tải.</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Vụ Tuyên truyền hỗ trợ người nộp thuế: thực hiện đăng tải đề cương trên Cổng Thông tin điện tử của Tổng cục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Các Cục Thuế: thực hiện đăng tải đề cương trên Cổng thông tin điện tử của Cục Thuế.</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2.4. Thời gian thực hiện:</w:t>
      </w:r>
      <w:r w:rsidRPr="001E5353">
        <w:rPr>
          <w:rFonts w:ascii="Arial" w:eastAsia="Times New Roman" w:hAnsi="Arial" w:cs="Arial"/>
          <w:color w:val="auto"/>
          <w:sz w:val="20"/>
          <w:szCs w:val="20"/>
          <w:lang w:val="en-US" w:eastAsia="en-US" w:bidi="ar-SA"/>
        </w:rPr>
        <w:t> Cả năm 2024 (sau khi văn bản QPPL được ban hành).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3.</w:t>
      </w:r>
      <w:r w:rsidRPr="001E5353">
        <w:rPr>
          <w:rFonts w:ascii="Arial" w:eastAsia="Times New Roman" w:hAnsi="Arial" w:cs="Arial"/>
          <w:color w:val="auto"/>
          <w:sz w:val="20"/>
          <w:szCs w:val="20"/>
          <w:lang w:val="en-US" w:eastAsia="en-US" w:bidi="ar-SA"/>
        </w:rPr>
        <w:t> Đối với các văn bản quy phạm pháp luật không nêu trong Kế hoạch này, các Vụ/đơn vị thuộc, trực thuộc Tổng cục Thuế, các Cục Thuế căn cứ vào chức năng, nhiệm vụ và tình hình thực tế chủ động tổ chức phổ biến bằng hình thức thích hợp, bảo đảm phù hợp với các đối tượng.</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4. Thực hiện cập nhật, đăng tải các văn bản QPPL mới ban hành trên Cơ sở dữ liệu quốc gia về pháp luật</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Các đơn vị được giao chủ trì soạn thảo văn bản QPPL có trách nhiệm gửi văn bản đến Vụ Pháp chế chậm nhất là 02 ngày kể từ ngày văn bản được ký ban hành (đối với văn bản do Lãnh đạo Bộ Tài chính ký ban hành theo thẩm quyền); 10 ngày kể từ ngày công bố/ký ban hành (đối với văn bản do Bộ Tài chính chủ trì soạn thảo trình cấp có thẩm quyền ban hành).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lastRenderedPageBreak/>
        <w:t>Ngay trong ngày nhận được văn bản do Vụ/đơn vị chủ trì gửi đến, Vụ Pháp chế trình Tổng cục gửi Vụ Pháp chế - Bộ Tài chính để làm thủ tục đăng tải trên Cơ sở dữ liệu quốc gia về pháp luật theo quy định tại Nghị định số </w:t>
      </w:r>
      <w:r w:rsidRPr="00AE21E7">
        <w:rPr>
          <w:rFonts w:ascii="Arial" w:eastAsia="Times New Roman" w:hAnsi="Arial" w:cs="Arial"/>
          <w:color w:val="auto"/>
          <w:sz w:val="20"/>
          <w:szCs w:val="20"/>
          <w:lang w:val="en-US" w:eastAsia="en-US" w:bidi="ar-SA"/>
        </w:rPr>
        <w:t>52/2015/NĐ-CP</w:t>
      </w:r>
      <w:r w:rsidRPr="001E5353">
        <w:rPr>
          <w:rFonts w:ascii="Arial" w:eastAsia="Times New Roman" w:hAnsi="Arial" w:cs="Arial"/>
          <w:color w:val="auto"/>
          <w:sz w:val="20"/>
          <w:szCs w:val="20"/>
          <w:lang w:val="en-US" w:eastAsia="en-US" w:bidi="ar-SA"/>
        </w:rPr>
        <w:t> ngày 28/5/2015 của Chính phủ quy định về cơ sở dữ liệu quốc gia về pháp luật và Quy chế cung cấp thông tin pháp luật và đăng tải văn bản trên cơ sở dữ liệu quốc gia về pháp luật được ban hành kèm theo Quyết định số </w:t>
      </w:r>
      <w:r w:rsidRPr="00AE21E7">
        <w:rPr>
          <w:rFonts w:ascii="Arial" w:eastAsia="Times New Roman" w:hAnsi="Arial" w:cs="Arial"/>
          <w:color w:val="auto"/>
          <w:sz w:val="20"/>
          <w:szCs w:val="20"/>
          <w:lang w:val="en-US" w:eastAsia="en-US" w:bidi="ar-SA"/>
        </w:rPr>
        <w:t>2524/QĐ-BTC</w:t>
      </w:r>
      <w:r w:rsidRPr="001E5353">
        <w:rPr>
          <w:rFonts w:ascii="Arial" w:eastAsia="Times New Roman" w:hAnsi="Arial" w:cs="Arial"/>
          <w:color w:val="auto"/>
          <w:sz w:val="20"/>
          <w:szCs w:val="20"/>
          <w:lang w:val="en-US" w:eastAsia="en-US" w:bidi="ar-SA"/>
        </w:rPr>
        <w:t> ngày 02/12/2015 của Bộ trưởng Bộ Tài chính và Thông báo số 3138/TB-TCT ngày 19/5/2016 của Tổng cục Thuế về việc cung cấp thông tin pháp luật và đăng tải văn bản trên Cơ sở dữ liệu quốc gia về pháp luật, Cổng Thông tin điện tử Bộ Tài chính.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Thời gian thực hiện:</w:t>
      </w:r>
      <w:r w:rsidRPr="001E5353">
        <w:rPr>
          <w:rFonts w:ascii="Arial" w:eastAsia="Times New Roman" w:hAnsi="Arial" w:cs="Arial"/>
          <w:color w:val="auto"/>
          <w:sz w:val="20"/>
          <w:szCs w:val="20"/>
          <w:lang w:val="en-US" w:eastAsia="en-US" w:bidi="ar-SA"/>
        </w:rPr>
        <w:t> Năm 2024.</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5. Hoạt động triển khai “Ngày pháp luật tài chính” và “Ngày pháp luật nước Cộng hòa xã hội chủ nghĩa Việt Nam”.</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Đơn vị thực hiện:</w:t>
      </w:r>
      <w:r w:rsidRPr="001E5353">
        <w:rPr>
          <w:rFonts w:ascii="Arial" w:eastAsia="Times New Roman" w:hAnsi="Arial" w:cs="Arial"/>
          <w:color w:val="auto"/>
          <w:sz w:val="20"/>
          <w:szCs w:val="20"/>
          <w:lang w:val="en-US" w:eastAsia="en-US" w:bidi="ar-SA"/>
        </w:rPr>
        <w:t> Vụ Pháp chế hướng dẫn triển khai thực hiện theo kế hoạch của Bộ Tài chính.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Kết quả thực hiện:</w:t>
      </w:r>
      <w:r w:rsidRPr="001E5353">
        <w:rPr>
          <w:rFonts w:ascii="Arial" w:eastAsia="Times New Roman" w:hAnsi="Arial" w:cs="Arial"/>
          <w:color w:val="auto"/>
          <w:sz w:val="20"/>
          <w:szCs w:val="20"/>
          <w:lang w:val="en-US" w:eastAsia="en-US" w:bidi="ar-SA"/>
        </w:rPr>
        <w:t> Công văn triển khai các hoạt động nhân “Ngày pháp luật tài chính” và “Ngày pháp luật nước Cộng hòa xã hội chủ nghĩa Việt Nam”.</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Thời gian thực hiện:</w:t>
      </w:r>
      <w:r w:rsidRPr="001E5353">
        <w:rPr>
          <w:rFonts w:ascii="Arial" w:eastAsia="Times New Roman" w:hAnsi="Arial" w:cs="Arial"/>
          <w:color w:val="auto"/>
          <w:sz w:val="20"/>
          <w:szCs w:val="20"/>
          <w:lang w:val="en-US" w:eastAsia="en-US" w:bidi="ar-SA"/>
        </w:rPr>
        <w:t> Quý III, IV/2024.</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C. Triển khai thực hiện hỗ trợ pháp lý cho doanh nghiệp nhỏ và vừa</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1. Vụ Quản lý thuế doanh nghiệp nhỏ và vừa, hộ kinh doanh, cá nhân và các Vụ/đơn vị thuộc, trực thuộc Tổng cục Thuế, các Cục thuế thực hiện hỗ trợ pháp lý cho doanh nghiệp nhỏ và vừa đối với các văn bản quy phạm pháp luật về thuế, đặc biệt là các văn bản hướng dẫn Luật Quản lý thuế mới được ban hành liên quan đến doanh nghiệp nhỏ và vừa theo các hình thức nêu tại Điểm 1.3 Mục B Kế hoạch này.</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Thời gian thực hiện:</w:t>
      </w:r>
      <w:r w:rsidRPr="001E5353">
        <w:rPr>
          <w:rFonts w:ascii="Arial" w:eastAsia="Times New Roman" w:hAnsi="Arial" w:cs="Arial"/>
          <w:color w:val="auto"/>
          <w:sz w:val="20"/>
          <w:szCs w:val="20"/>
          <w:lang w:val="en-US" w:eastAsia="en-US" w:bidi="ar-SA"/>
        </w:rPr>
        <w:t> Năm 2024.</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2. Các đơn vị chủ trì soạn thảo các văn bản quy phạm pháp luật (Nghị định sửa đổi Nghị định số </w:t>
      </w:r>
      <w:r w:rsidRPr="00AE21E7">
        <w:rPr>
          <w:rFonts w:ascii="Arial" w:eastAsia="Times New Roman" w:hAnsi="Arial" w:cs="Arial"/>
          <w:color w:val="auto"/>
          <w:sz w:val="20"/>
          <w:szCs w:val="20"/>
          <w:lang w:val="en-US" w:eastAsia="en-US" w:bidi="ar-SA"/>
        </w:rPr>
        <w:t>123/2020/NĐ-CP</w:t>
      </w:r>
      <w:r w:rsidRPr="001E5353">
        <w:rPr>
          <w:rFonts w:ascii="Arial" w:eastAsia="Times New Roman" w:hAnsi="Arial" w:cs="Arial"/>
          <w:color w:val="auto"/>
          <w:sz w:val="20"/>
          <w:szCs w:val="20"/>
          <w:lang w:val="en-US" w:eastAsia="en-US" w:bidi="ar-SA"/>
        </w:rPr>
        <w:t> ; Nghị định sửa đổi, bổ sung Nghị định số 132/2020/NĐ-CP) phối hợp với Vụ Pháp chế - Bộ Tài chính và các đơn vị có liên quan xác định đối tượng, nội dung, hình thức, thời gian và địa điểm tổ chức hỗ trợ pháp lý cho doanh nghiệp.</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Thời gian thực hiện: Năm 2024.</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3. Các đơn vị thuộc Tổng cục Thuế tiếp tục thực hiện các nhiệm vụ theo phân công tại Kế hoạch triển khai Đề án “Nâng cao chất lượng, hiệu quả công tác hỗ trợ pháp lý cho doanh nghiệp giai đoạn 2023-2030” thuộc trách nhiệm của Tổng cục Thuế ban hành kèm theo Quyết định số 1949/QĐ-BTC ngày 13/9/2023 của Bộ trưởng Bộ Tài chính.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Thời gian thực hiện: Từ năm 2023 đến năm 2030.</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4. Thực hiện tuyên truyền pháp luật cho cộng đồng các doanh nghiệp nhỏ và vừa thông qua việc đăng tải trên hệ thống thông tin điện tử ngành thuế và trên các báo, tạp chí, các phương tiện truyền thông đại chúng, trong đó chú trọng đến việc tuyên truyền đề xuất chính sách mới có tác động lớn đến xã hội theo Quyết định số </w:t>
      </w:r>
      <w:r w:rsidRPr="00AE21E7">
        <w:rPr>
          <w:rFonts w:ascii="Arial" w:eastAsia="Times New Roman" w:hAnsi="Arial" w:cs="Arial"/>
          <w:color w:val="auto"/>
          <w:sz w:val="20"/>
          <w:szCs w:val="20"/>
          <w:lang w:val="en-US" w:eastAsia="en-US" w:bidi="ar-SA"/>
        </w:rPr>
        <w:t>407/QĐ-TTg</w:t>
      </w:r>
      <w:r w:rsidRPr="001E5353">
        <w:rPr>
          <w:rFonts w:ascii="Arial" w:eastAsia="Times New Roman" w:hAnsi="Arial" w:cs="Arial"/>
          <w:color w:val="auto"/>
          <w:sz w:val="20"/>
          <w:szCs w:val="20"/>
          <w:lang w:val="en-US" w:eastAsia="en-US" w:bidi="ar-SA"/>
        </w:rPr>
        <w:t> của Thủ tướng Chính phủ phê duyệt đề án “Tổ chức truyền thông chính sách có tác động lớn đến xã hội trong quá trình xây dựng văn bản quy phạm pháp luật giai đoạn 2022-2027”; phản ánh các ý kiến đóng góp của người dân và doanh nghiệp trong quá trình soạn thảo văn bản.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i/>
          <w:iCs/>
          <w:color w:val="auto"/>
          <w:sz w:val="20"/>
          <w:szCs w:val="20"/>
          <w:lang w:val="en-US" w:eastAsia="en-US" w:bidi="ar-SA"/>
        </w:rPr>
        <w:t>- Thời gian thực hiện: Từ năm 2024</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III. TỔ CHỨC THỰC HIỆN</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1. Vụ Pháp chế có trách nhiệm:</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Hướng dẫn, triển khai Kế hoạch phổ biến, giáo dục pháp luật và hỗ trợ pháp lý cho doanh nghiệp nhỏ và vừa;</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Báo cáo kết quả thực hiện công tác phổ biến, giáo dục pháp luật và công tác hỗ trợ pháp lý cho doanh nghiệp, doanh nghiệp nhỏ và vừa theo quy định;</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Thực hiện các nhiệm vụ cụ thể nêu tại Mục II Kế hoạch này.</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2. Các Vụ/đơn vị thuộc, trực thuộc Tổng cục Thuế; các Cục Thuế triển khai thực hiện công tác phổ biến, giáo dục pháp luật; công tác hỗ trợ pháp lý cho doanh nghiệp theo Kế hoạch này.</w:t>
      </w:r>
    </w:p>
    <w:p w:rsidR="001E5353" w:rsidRPr="001E5353" w:rsidRDefault="001E5353" w:rsidP="001E5353">
      <w:pPr>
        <w:widowControl/>
        <w:shd w:val="clear" w:color="auto" w:fill="FFFFFF"/>
        <w:spacing w:after="120"/>
        <w:ind w:firstLine="720"/>
        <w:jc w:val="both"/>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lastRenderedPageBreak/>
        <w:t>3. Kinh phí bảo đảm thực hiện nhiệm vụ tuyên truyền, phổ biến, giáo dục pháp luật và hỗ trợ pháp lý cho doanh nghiệp được thực hiện theo quy định của pháp luật hiện hành./.</w:t>
      </w:r>
    </w:p>
    <w:p w:rsidR="005925E9" w:rsidRDefault="005925E9" w:rsidP="005925E9">
      <w:pPr>
        <w:widowControl/>
        <w:shd w:val="clear" w:color="auto" w:fill="FFFFFF"/>
        <w:spacing w:after="120"/>
        <w:ind w:firstLine="720"/>
        <w:jc w:val="right"/>
        <w:rPr>
          <w:rFonts w:ascii="Arial" w:eastAsia="Times New Roman" w:hAnsi="Arial" w:cs="Arial"/>
          <w:b/>
          <w:bCs/>
          <w:color w:val="auto"/>
          <w:sz w:val="20"/>
          <w:szCs w:val="20"/>
          <w:lang w:val="en-US" w:eastAsia="en-US" w:bidi="ar-SA"/>
        </w:rPr>
        <w:sectPr w:rsidR="005925E9" w:rsidSect="00B21E4C">
          <w:pgSz w:w="11900" w:h="16840" w:code="9"/>
          <w:pgMar w:top="1440" w:right="1440" w:bottom="1440" w:left="1440" w:header="0" w:footer="0" w:gutter="0"/>
          <w:pgNumType w:start="8"/>
          <w:cols w:space="720"/>
          <w:noEndnote/>
          <w:docGrid w:linePitch="360"/>
        </w:sectPr>
      </w:pPr>
      <w:r>
        <w:rPr>
          <w:rFonts w:ascii="Arial" w:eastAsia="Times New Roman" w:hAnsi="Arial" w:cs="Arial"/>
          <w:b/>
          <w:bCs/>
          <w:color w:val="auto"/>
          <w:sz w:val="20"/>
          <w:szCs w:val="20"/>
          <w:lang w:val="en-US" w:eastAsia="en-US" w:bidi="ar-SA"/>
        </w:rPr>
        <w:t>TỔNG CỤC THUẾ</w:t>
      </w:r>
    </w:p>
    <w:p w:rsidR="001E5353" w:rsidRPr="001E5353" w:rsidRDefault="00451EEF" w:rsidP="00451EEF">
      <w:pPr>
        <w:widowControl/>
        <w:shd w:val="clear" w:color="auto" w:fill="FFFFFF"/>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lastRenderedPageBreak/>
        <w:t>Phụ lục</w:t>
      </w:r>
    </w:p>
    <w:p w:rsidR="00451EEF" w:rsidRPr="00451EEF" w:rsidRDefault="001E5353" w:rsidP="00451EEF">
      <w:pPr>
        <w:widowControl/>
        <w:shd w:val="clear" w:color="auto" w:fill="FFFFFF"/>
        <w:jc w:val="center"/>
        <w:rPr>
          <w:rFonts w:ascii="Arial" w:eastAsia="Times New Roman" w:hAnsi="Arial" w:cs="Arial"/>
          <w:b/>
          <w:color w:val="auto"/>
          <w:sz w:val="20"/>
          <w:szCs w:val="20"/>
          <w:lang w:val="en-US" w:eastAsia="en-US" w:bidi="ar-SA"/>
        </w:rPr>
      </w:pPr>
      <w:r w:rsidRPr="001E5353">
        <w:rPr>
          <w:rFonts w:ascii="Arial" w:eastAsia="Times New Roman" w:hAnsi="Arial" w:cs="Arial"/>
          <w:b/>
          <w:color w:val="auto"/>
          <w:sz w:val="20"/>
          <w:szCs w:val="20"/>
          <w:lang w:val="en-US" w:eastAsia="en-US" w:bidi="ar-SA"/>
        </w:rPr>
        <w:t>CÁC HÌNH THỨC PHỔ BIẾN, HỖ TRỢ</w:t>
      </w:r>
      <w:r w:rsidR="00451EEF" w:rsidRPr="00451EEF">
        <w:rPr>
          <w:rFonts w:ascii="Arial" w:eastAsia="Times New Roman" w:hAnsi="Arial" w:cs="Arial"/>
          <w:b/>
          <w:color w:val="auto"/>
          <w:sz w:val="20"/>
          <w:szCs w:val="20"/>
          <w:lang w:val="en-US" w:eastAsia="en-US" w:bidi="ar-SA"/>
        </w:rPr>
        <w:t xml:space="preserve"> VÀ PHÂN CÔNG TỔ CHỨC THỰC HIỆN</w:t>
      </w:r>
    </w:p>
    <w:p w:rsidR="001E5353" w:rsidRDefault="001E5353" w:rsidP="00451EEF">
      <w:pPr>
        <w:widowControl/>
        <w:shd w:val="clear" w:color="auto" w:fill="FFFFFF"/>
        <w:jc w:val="center"/>
        <w:rPr>
          <w:rFonts w:ascii="Arial" w:eastAsia="Times New Roman" w:hAnsi="Arial" w:cs="Arial"/>
          <w:i/>
          <w:iCs/>
          <w:color w:val="auto"/>
          <w:sz w:val="20"/>
          <w:szCs w:val="20"/>
          <w:lang w:val="en-US" w:eastAsia="en-US" w:bidi="ar-SA"/>
        </w:rPr>
      </w:pPr>
      <w:r w:rsidRPr="001E5353">
        <w:rPr>
          <w:rFonts w:ascii="Arial" w:eastAsia="Times New Roman" w:hAnsi="Arial" w:cs="Arial"/>
          <w:i/>
          <w:iCs/>
          <w:color w:val="auto"/>
          <w:sz w:val="20"/>
          <w:szCs w:val="20"/>
          <w:lang w:val="en-US" w:eastAsia="en-US" w:bidi="ar-SA"/>
        </w:rPr>
        <w:t>(Kèm theo Kế hoạch phổ biến, giáo dục pháp luật; hỗ trợ pháp lý cho doanh nghiệp nhỏ và vừa năm 2024 của Tổng cục Thuế)</w:t>
      </w:r>
    </w:p>
    <w:p w:rsidR="00451EEF" w:rsidRPr="001E5353" w:rsidRDefault="00451EEF" w:rsidP="00451EEF">
      <w:pPr>
        <w:widowControl/>
        <w:shd w:val="clear" w:color="auto" w:fill="FFFFFF"/>
        <w:jc w:val="center"/>
        <w:rPr>
          <w:rFonts w:ascii="Arial" w:eastAsia="Times New Roman" w:hAnsi="Arial" w:cs="Arial"/>
          <w:color w:val="auto"/>
          <w:sz w:val="20"/>
          <w:szCs w:val="20"/>
          <w:lang w:val="en-US" w:eastAsia="en-US" w:bidi="ar-SA"/>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6"/>
        <w:gridCol w:w="2279"/>
        <w:gridCol w:w="1281"/>
        <w:gridCol w:w="1426"/>
        <w:gridCol w:w="996"/>
        <w:gridCol w:w="996"/>
        <w:gridCol w:w="1992"/>
        <w:gridCol w:w="1850"/>
        <w:gridCol w:w="854"/>
      </w:tblGrid>
      <w:tr w:rsidR="001E5353" w:rsidRPr="00AE21E7" w:rsidTr="00AC50AC">
        <w:trPr>
          <w:tblCellSpacing w:w="0" w:type="dxa"/>
        </w:trPr>
        <w:tc>
          <w:tcPr>
            <w:tcW w:w="1633" w:type="pct"/>
            <w:gridSpan w:val="2"/>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Phổ biến bằng các phương thức điện tử, như: Đăng tải thông tin trên hệ thống trang thông tin điện tử ngành thuế, hệ thống các nền tảng mạng xã hội (Fanpage, Zalo, Facebook..), qua hộp thư điện tử</w:t>
            </w:r>
          </w:p>
        </w:tc>
        <w:tc>
          <w:tcPr>
            <w:tcW w:w="970" w:type="pct"/>
            <w:gridSpan w:val="2"/>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Phổ biến trên các phương tiện thông tin đại chúng: báo giấy, báo điện tử, Đài Truyền hình, Đài phát thanh,....</w:t>
            </w:r>
          </w:p>
        </w:tc>
        <w:tc>
          <w:tcPr>
            <w:tcW w:w="714" w:type="pct"/>
            <w:gridSpan w:val="2"/>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Tổ chức hội nghị tập huấn; Tổ chức các buổi đối thoại, tọa đàm.</w:t>
            </w:r>
          </w:p>
        </w:tc>
        <w:tc>
          <w:tcPr>
            <w:tcW w:w="1377" w:type="pct"/>
            <w:gridSpan w:val="2"/>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Hướng dẫn NNT tại bộ phận “một cửa” của cơ quan thuế, trả lời vướng mắc của NNT bằng văn bản, trên cổng thông tin điện tử ngành thuế, qua mục Hỏi - Đáp trên hệ thống Dịch vụ Thuế điện tử (eTax), qua điện thoại.</w:t>
            </w:r>
          </w:p>
        </w:tc>
        <w:tc>
          <w:tcPr>
            <w:tcW w:w="306"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Ghi chú</w:t>
            </w:r>
          </w:p>
        </w:tc>
      </w:tr>
      <w:tr w:rsidR="00AC50AC" w:rsidRPr="00AE21E7" w:rsidTr="00AC50AC">
        <w:trPr>
          <w:tblCellSpacing w:w="0" w:type="dxa"/>
        </w:trPr>
        <w:tc>
          <w:tcPr>
            <w:tcW w:w="816"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Đối tượng</w:t>
            </w:r>
          </w:p>
        </w:tc>
        <w:tc>
          <w:tcPr>
            <w:tcW w:w="817"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Đơn vị thực hiện</w:t>
            </w:r>
          </w:p>
        </w:tc>
        <w:tc>
          <w:tcPr>
            <w:tcW w:w="459"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Đối tượng</w:t>
            </w:r>
          </w:p>
        </w:tc>
        <w:tc>
          <w:tcPr>
            <w:tcW w:w="511"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Đơn vị thực hiện</w:t>
            </w:r>
          </w:p>
        </w:tc>
        <w:tc>
          <w:tcPr>
            <w:tcW w:w="357"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Đối tượng</w:t>
            </w:r>
          </w:p>
        </w:tc>
        <w:tc>
          <w:tcPr>
            <w:tcW w:w="357"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Đơn vị thực hiện</w:t>
            </w:r>
          </w:p>
        </w:tc>
        <w:tc>
          <w:tcPr>
            <w:tcW w:w="714"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Đối tượng</w:t>
            </w:r>
          </w:p>
        </w:tc>
        <w:tc>
          <w:tcPr>
            <w:tcW w:w="663"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b/>
                <w:bCs/>
                <w:color w:val="auto"/>
                <w:sz w:val="20"/>
                <w:szCs w:val="20"/>
                <w:lang w:val="en-US" w:eastAsia="en-US" w:bidi="ar-SA"/>
              </w:rPr>
              <w:t>Đơn vị thực hiện</w:t>
            </w:r>
          </w:p>
        </w:tc>
        <w:tc>
          <w:tcPr>
            <w:tcW w:w="306"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p>
        </w:tc>
      </w:tr>
      <w:tr w:rsidR="00AC50AC" w:rsidRPr="00AE21E7" w:rsidTr="00AC50AC">
        <w:trPr>
          <w:tblCellSpacing w:w="0" w:type="dxa"/>
        </w:trPr>
        <w:tc>
          <w:tcPr>
            <w:tcW w:w="816" w:type="pct"/>
            <w:hideMark/>
          </w:tcPr>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Người nộp thuế;</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Công chức thuế;</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Cộng đồng xã hội</w:t>
            </w:r>
          </w:p>
        </w:tc>
        <w:tc>
          <w:tcPr>
            <w:tcW w:w="817" w:type="pct"/>
            <w:hideMark/>
          </w:tcPr>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Vụ TTHT;</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Văn phòng;</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Cục Thuế.</w:t>
            </w:r>
          </w:p>
        </w:tc>
        <w:tc>
          <w:tcPr>
            <w:tcW w:w="459" w:type="pct"/>
            <w:hideMark/>
          </w:tcPr>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Người nộp thuế;</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Công chức thuế;</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Cộng đồng xã hội</w:t>
            </w:r>
          </w:p>
        </w:tc>
        <w:tc>
          <w:tcPr>
            <w:tcW w:w="511" w:type="pct"/>
            <w:hideMark/>
          </w:tcPr>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Vụ TTHT;</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Văn phòng;</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Cục Thuế.</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Tạp chí thuế</w:t>
            </w:r>
          </w:p>
        </w:tc>
        <w:tc>
          <w:tcPr>
            <w:tcW w:w="357" w:type="pct"/>
            <w:hideMark/>
          </w:tcPr>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Người nộp thuế;</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Công chức thuế.</w:t>
            </w:r>
          </w:p>
        </w:tc>
        <w:tc>
          <w:tcPr>
            <w:tcW w:w="357" w:type="pct"/>
            <w:hideMark/>
          </w:tcPr>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Các Vụ/ đơn vị chủ trì soạn thảo văn bản QPPL;</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Cục Thuế</w:t>
            </w:r>
          </w:p>
        </w:tc>
        <w:tc>
          <w:tcPr>
            <w:tcW w:w="714" w:type="pct"/>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Người nộp thuế</w:t>
            </w:r>
          </w:p>
        </w:tc>
        <w:tc>
          <w:tcPr>
            <w:tcW w:w="663" w:type="pct"/>
            <w:hideMark/>
          </w:tcPr>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Các Vụ/đơn vị theo chức năng, nhiệm vụ;</w:t>
            </w:r>
          </w:p>
          <w:p w:rsidR="001E5353" w:rsidRPr="001E5353" w:rsidRDefault="001E5353" w:rsidP="00AC50AC">
            <w:pPr>
              <w:widowControl/>
              <w:rPr>
                <w:rFonts w:ascii="Arial" w:eastAsia="Times New Roman" w:hAnsi="Arial" w:cs="Arial"/>
                <w:color w:val="auto"/>
                <w:sz w:val="20"/>
                <w:szCs w:val="20"/>
                <w:lang w:val="en-US" w:eastAsia="en-US" w:bidi="ar-SA"/>
              </w:rPr>
            </w:pPr>
            <w:r w:rsidRPr="001E5353">
              <w:rPr>
                <w:rFonts w:ascii="Arial" w:eastAsia="Times New Roman" w:hAnsi="Arial" w:cs="Arial"/>
                <w:color w:val="auto"/>
                <w:sz w:val="20"/>
                <w:szCs w:val="20"/>
                <w:lang w:val="en-US" w:eastAsia="en-US" w:bidi="ar-SA"/>
              </w:rPr>
              <w:t>- Cục Thuế</w:t>
            </w:r>
          </w:p>
        </w:tc>
        <w:tc>
          <w:tcPr>
            <w:tcW w:w="306" w:type="pct"/>
            <w:vAlign w:val="center"/>
            <w:hideMark/>
          </w:tcPr>
          <w:p w:rsidR="001E5353" w:rsidRPr="001E5353" w:rsidRDefault="001E5353" w:rsidP="00AC50AC">
            <w:pPr>
              <w:widowControl/>
              <w:jc w:val="center"/>
              <w:rPr>
                <w:rFonts w:ascii="Arial" w:eastAsia="Times New Roman" w:hAnsi="Arial" w:cs="Arial"/>
                <w:color w:val="auto"/>
                <w:sz w:val="20"/>
                <w:szCs w:val="20"/>
                <w:lang w:val="en-US" w:eastAsia="en-US" w:bidi="ar-SA"/>
              </w:rPr>
            </w:pPr>
          </w:p>
        </w:tc>
      </w:tr>
    </w:tbl>
    <w:p w:rsidR="00987F5B" w:rsidRPr="00AE21E7" w:rsidRDefault="00987F5B" w:rsidP="001E5353">
      <w:pPr>
        <w:spacing w:after="120"/>
        <w:ind w:firstLine="720"/>
        <w:jc w:val="both"/>
        <w:rPr>
          <w:rFonts w:ascii="Arial" w:hAnsi="Arial" w:cs="Arial"/>
          <w:color w:val="auto"/>
          <w:sz w:val="20"/>
          <w:szCs w:val="20"/>
        </w:rPr>
      </w:pPr>
    </w:p>
    <w:sectPr w:rsidR="00987F5B" w:rsidRPr="00AE21E7" w:rsidSect="00451EEF">
      <w:pgSz w:w="16840" w:h="11900" w:orient="landscape" w:code="9"/>
      <w:pgMar w:top="1440" w:right="1440" w:bottom="1440" w:left="1440" w:header="0" w:footer="0"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52" w:rsidRDefault="00EB6852">
      <w:r>
        <w:separator/>
      </w:r>
    </w:p>
  </w:endnote>
  <w:endnote w:type="continuationSeparator" w:id="0">
    <w:p w:rsidR="00EB6852" w:rsidRDefault="00EB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52" w:rsidRDefault="00EB6852"/>
  </w:footnote>
  <w:footnote w:type="continuationSeparator" w:id="0">
    <w:p w:rsidR="00EB6852" w:rsidRDefault="00EB685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E64"/>
    <w:multiLevelType w:val="multilevel"/>
    <w:tmpl w:val="A85A2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F1ED0"/>
    <w:multiLevelType w:val="multilevel"/>
    <w:tmpl w:val="98F80198"/>
    <w:lvl w:ilvl="0">
      <w:start w:val="9"/>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6316A"/>
    <w:multiLevelType w:val="multilevel"/>
    <w:tmpl w:val="D47C24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417B4"/>
    <w:multiLevelType w:val="multilevel"/>
    <w:tmpl w:val="22F0CC78"/>
    <w:lvl w:ilvl="0">
      <w:start w:val="2"/>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5393F"/>
    <w:multiLevelType w:val="multilevel"/>
    <w:tmpl w:val="C6B20F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506C3C"/>
    <w:multiLevelType w:val="multilevel"/>
    <w:tmpl w:val="03682A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A37C3A"/>
    <w:multiLevelType w:val="multilevel"/>
    <w:tmpl w:val="FFA64274"/>
    <w:lvl w:ilvl="0">
      <w:start w:val="2"/>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DE51C2"/>
    <w:multiLevelType w:val="multilevel"/>
    <w:tmpl w:val="9C44893A"/>
    <w:lvl w:ilvl="0">
      <w:start w:val="4"/>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3D0C7F"/>
    <w:multiLevelType w:val="multilevel"/>
    <w:tmpl w:val="1658A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C41318"/>
    <w:multiLevelType w:val="multilevel"/>
    <w:tmpl w:val="679A1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0F6636"/>
    <w:multiLevelType w:val="multilevel"/>
    <w:tmpl w:val="CB24D2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FB6222"/>
    <w:multiLevelType w:val="multilevel"/>
    <w:tmpl w:val="F9886B42"/>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297F50"/>
    <w:multiLevelType w:val="multilevel"/>
    <w:tmpl w:val="EF5E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960FC"/>
    <w:multiLevelType w:val="multilevel"/>
    <w:tmpl w:val="FD22C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217D2A"/>
    <w:multiLevelType w:val="multilevel"/>
    <w:tmpl w:val="36361D5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9A0058"/>
    <w:multiLevelType w:val="multilevel"/>
    <w:tmpl w:val="A62084C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9"/>
  </w:num>
  <w:num w:numId="4">
    <w:abstractNumId w:val="15"/>
  </w:num>
  <w:num w:numId="5">
    <w:abstractNumId w:val="2"/>
  </w:num>
  <w:num w:numId="6">
    <w:abstractNumId w:val="3"/>
  </w:num>
  <w:num w:numId="7">
    <w:abstractNumId w:val="11"/>
  </w:num>
  <w:num w:numId="8">
    <w:abstractNumId w:val="4"/>
  </w:num>
  <w:num w:numId="9">
    <w:abstractNumId w:val="7"/>
  </w:num>
  <w:num w:numId="10">
    <w:abstractNumId w:val="14"/>
  </w:num>
  <w:num w:numId="11">
    <w:abstractNumId w:val="10"/>
  </w:num>
  <w:num w:numId="12">
    <w:abstractNumId w:val="1"/>
  </w:num>
  <w:num w:numId="13">
    <w:abstractNumId w:val="6"/>
  </w:num>
  <w:num w:numId="14">
    <w:abstractNumId w:val="8"/>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D1"/>
    <w:rsid w:val="00042BAD"/>
    <w:rsid w:val="001E5353"/>
    <w:rsid w:val="00231AD1"/>
    <w:rsid w:val="002A1B7F"/>
    <w:rsid w:val="003E4AA4"/>
    <w:rsid w:val="00451EEF"/>
    <w:rsid w:val="00526A2B"/>
    <w:rsid w:val="005925E9"/>
    <w:rsid w:val="005B3F9D"/>
    <w:rsid w:val="00987F5B"/>
    <w:rsid w:val="00AC50AC"/>
    <w:rsid w:val="00AE21E7"/>
    <w:rsid w:val="00B21E4C"/>
    <w:rsid w:val="00EB6852"/>
    <w:rsid w:val="00F7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007E8-CB7A-4611-8871-F0E19628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b w:val="0"/>
      <w:bCs w:val="0"/>
      <w:i w:val="0"/>
      <w:iCs w:val="0"/>
      <w:smallCaps w:val="0"/>
      <w:strike w:val="0"/>
      <w:sz w:val="15"/>
      <w:szCs w:val="15"/>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customStyle="1" w:styleId="Chthchnh0">
    <w:name w:val="Chú thích ảnh"/>
    <w:basedOn w:val="Normal"/>
    <w:link w:val="Chthchnh"/>
    <w:pPr>
      <w:jc w:val="right"/>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26" w:lineRule="auto"/>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ind w:left="1740"/>
    </w:pPr>
    <w:rPr>
      <w:sz w:val="15"/>
      <w:szCs w:val="15"/>
    </w:rPr>
  </w:style>
  <w:style w:type="paragraph" w:customStyle="1" w:styleId="Khc0">
    <w:name w:val="Khác"/>
    <w:basedOn w:val="Normal"/>
    <w:link w:val="Khc"/>
    <w:pPr>
      <w:spacing w:after="100"/>
      <w:ind w:firstLine="400"/>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042BAD"/>
    <w:pPr>
      <w:tabs>
        <w:tab w:val="center" w:pos="4680"/>
        <w:tab w:val="right" w:pos="9360"/>
      </w:tabs>
    </w:pPr>
  </w:style>
  <w:style w:type="character" w:customStyle="1" w:styleId="HeaderChar">
    <w:name w:val="Header Char"/>
    <w:basedOn w:val="DefaultParagraphFont"/>
    <w:link w:val="Header"/>
    <w:uiPriority w:val="99"/>
    <w:rsid w:val="00042BAD"/>
    <w:rPr>
      <w:color w:val="000000"/>
    </w:rPr>
  </w:style>
  <w:style w:type="paragraph" w:styleId="Footer">
    <w:name w:val="footer"/>
    <w:basedOn w:val="Normal"/>
    <w:link w:val="FooterChar"/>
    <w:uiPriority w:val="99"/>
    <w:unhideWhenUsed/>
    <w:rsid w:val="00042BAD"/>
    <w:pPr>
      <w:tabs>
        <w:tab w:val="center" w:pos="4680"/>
        <w:tab w:val="right" w:pos="9360"/>
      </w:tabs>
    </w:pPr>
  </w:style>
  <w:style w:type="character" w:customStyle="1" w:styleId="FooterChar">
    <w:name w:val="Footer Char"/>
    <w:basedOn w:val="DefaultParagraphFont"/>
    <w:link w:val="Footer"/>
    <w:uiPriority w:val="99"/>
    <w:rsid w:val="00042BAD"/>
    <w:rPr>
      <w:color w:val="000000"/>
    </w:rPr>
  </w:style>
  <w:style w:type="paragraph" w:styleId="NormalWeb">
    <w:name w:val="Normal (Web)"/>
    <w:basedOn w:val="Normal"/>
    <w:uiPriority w:val="99"/>
    <w:semiHidden/>
    <w:unhideWhenUsed/>
    <w:rsid w:val="001E535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1E5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685162">
      <w:bodyDiv w:val="1"/>
      <w:marLeft w:val="0"/>
      <w:marRight w:val="0"/>
      <w:marTop w:val="0"/>
      <w:marBottom w:val="0"/>
      <w:divBdr>
        <w:top w:val="none" w:sz="0" w:space="0" w:color="auto"/>
        <w:left w:val="none" w:sz="0" w:space="0" w:color="auto"/>
        <w:bottom w:val="none" w:sz="0" w:space="0" w:color="auto"/>
        <w:right w:val="none" w:sz="0" w:space="0" w:color="auto"/>
      </w:divBdr>
      <w:divsChild>
        <w:div w:id="720790738">
          <w:marLeft w:val="0"/>
          <w:marRight w:val="0"/>
          <w:marTop w:val="0"/>
          <w:marBottom w:val="0"/>
          <w:divBdr>
            <w:top w:val="none" w:sz="0" w:space="0" w:color="auto"/>
            <w:left w:val="none" w:sz="0" w:space="0" w:color="auto"/>
            <w:bottom w:val="none" w:sz="0" w:space="0" w:color="auto"/>
            <w:right w:val="none" w:sz="0" w:space="0" w:color="auto"/>
          </w:divBdr>
          <w:divsChild>
            <w:div w:id="1243296302">
              <w:marLeft w:val="0"/>
              <w:marRight w:val="0"/>
              <w:marTop w:val="0"/>
              <w:marBottom w:val="0"/>
              <w:divBdr>
                <w:top w:val="single" w:sz="12" w:space="0" w:color="F89B1A"/>
                <w:left w:val="single" w:sz="6" w:space="0" w:color="C8D4DB"/>
                <w:bottom w:val="none" w:sz="0" w:space="0" w:color="auto"/>
                <w:right w:val="single" w:sz="6" w:space="0" w:color="C8D4DB"/>
              </w:divBdr>
              <w:divsChild>
                <w:div w:id="1898977407">
                  <w:marLeft w:val="0"/>
                  <w:marRight w:val="0"/>
                  <w:marTop w:val="0"/>
                  <w:marBottom w:val="0"/>
                  <w:divBdr>
                    <w:top w:val="none" w:sz="0" w:space="0" w:color="auto"/>
                    <w:left w:val="none" w:sz="0" w:space="0" w:color="auto"/>
                    <w:bottom w:val="none" w:sz="0" w:space="0" w:color="auto"/>
                    <w:right w:val="none" w:sz="0" w:space="0" w:color="auto"/>
                  </w:divBdr>
                  <w:divsChild>
                    <w:div w:id="534005708">
                      <w:marLeft w:val="0"/>
                      <w:marRight w:val="0"/>
                      <w:marTop w:val="0"/>
                      <w:marBottom w:val="0"/>
                      <w:divBdr>
                        <w:top w:val="none" w:sz="0" w:space="0" w:color="auto"/>
                        <w:left w:val="none" w:sz="0" w:space="0" w:color="auto"/>
                        <w:bottom w:val="none" w:sz="0" w:space="0" w:color="auto"/>
                        <w:right w:val="none" w:sz="0" w:space="0" w:color="auto"/>
                      </w:divBdr>
                      <w:divsChild>
                        <w:div w:id="141966279">
                          <w:marLeft w:val="0"/>
                          <w:marRight w:val="225"/>
                          <w:marTop w:val="0"/>
                          <w:marBottom w:val="0"/>
                          <w:divBdr>
                            <w:top w:val="none" w:sz="0" w:space="0" w:color="auto"/>
                            <w:left w:val="none" w:sz="0" w:space="0" w:color="auto"/>
                            <w:bottom w:val="none" w:sz="0" w:space="0" w:color="auto"/>
                            <w:right w:val="none" w:sz="0" w:space="0" w:color="auto"/>
                          </w:divBdr>
                          <w:divsChild>
                            <w:div w:id="751508592">
                              <w:marLeft w:val="0"/>
                              <w:marRight w:val="0"/>
                              <w:marTop w:val="0"/>
                              <w:marBottom w:val="0"/>
                              <w:divBdr>
                                <w:top w:val="none" w:sz="0" w:space="0" w:color="auto"/>
                                <w:left w:val="none" w:sz="0" w:space="0" w:color="auto"/>
                                <w:bottom w:val="none" w:sz="0" w:space="0" w:color="auto"/>
                                <w:right w:val="none" w:sz="0" w:space="0" w:color="auto"/>
                              </w:divBdr>
                              <w:divsChild>
                                <w:div w:id="1634827881">
                                  <w:marLeft w:val="0"/>
                                  <w:marRight w:val="0"/>
                                  <w:marTop w:val="0"/>
                                  <w:marBottom w:val="0"/>
                                  <w:divBdr>
                                    <w:top w:val="none" w:sz="0" w:space="0" w:color="auto"/>
                                    <w:left w:val="none" w:sz="0" w:space="0" w:color="auto"/>
                                    <w:bottom w:val="none" w:sz="0" w:space="0" w:color="auto"/>
                                    <w:right w:val="none" w:sz="0" w:space="0" w:color="auto"/>
                                  </w:divBdr>
                                  <w:divsChild>
                                    <w:div w:id="1844318338">
                                      <w:marLeft w:val="0"/>
                                      <w:marRight w:val="0"/>
                                      <w:marTop w:val="0"/>
                                      <w:marBottom w:val="0"/>
                                      <w:divBdr>
                                        <w:top w:val="none" w:sz="0" w:space="0" w:color="auto"/>
                                        <w:left w:val="none" w:sz="0" w:space="0" w:color="auto"/>
                                        <w:bottom w:val="none" w:sz="0" w:space="0" w:color="auto"/>
                                        <w:right w:val="none" w:sz="0" w:space="0" w:color="auto"/>
                                      </w:divBdr>
                                      <w:divsChild>
                                        <w:div w:id="20697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3880">
                          <w:marLeft w:val="0"/>
                          <w:marRight w:val="0"/>
                          <w:marTop w:val="150"/>
                          <w:marBottom w:val="0"/>
                          <w:divBdr>
                            <w:top w:val="none" w:sz="0" w:space="0" w:color="auto"/>
                            <w:left w:val="none" w:sz="0" w:space="0" w:color="auto"/>
                            <w:bottom w:val="none" w:sz="0" w:space="0" w:color="auto"/>
                            <w:right w:val="none" w:sz="0" w:space="0" w:color="auto"/>
                          </w:divBdr>
                          <w:divsChild>
                            <w:div w:id="2081782397">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2024-02-21T09:57:00Z</dcterms:created>
  <dcterms:modified xsi:type="dcterms:W3CDTF">2024-02-21T09:57:00Z</dcterms:modified>
</cp:coreProperties>
</file>