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C21F15" w:rsidRPr="0029209C">
        <w:tc>
          <w:tcPr>
            <w:tcW w:w="1645" w:type="pct"/>
          </w:tcPr>
          <w:p w:rsidR="005E57E1" w:rsidRPr="0029209C" w:rsidRDefault="00C21F15" w:rsidP="0029209C">
            <w:pPr>
              <w:spacing w:after="0" w:line="240" w:lineRule="auto"/>
              <w:jc w:val="center"/>
              <w:rPr>
                <w:rFonts w:ascii="Arial" w:hAnsi="Arial" w:cs="Arial"/>
                <w:color w:val="000000" w:themeColor="text1"/>
                <w:sz w:val="20"/>
                <w:szCs w:val="20"/>
              </w:rPr>
            </w:pPr>
            <w:r w:rsidRPr="0029209C">
              <w:rPr>
                <w:rFonts w:ascii="Arial" w:hAnsi="Arial" w:cs="Arial"/>
                <w:b/>
                <w:color w:val="000000" w:themeColor="text1"/>
                <w:sz w:val="20"/>
                <w:szCs w:val="20"/>
              </w:rPr>
              <w:t>BỘ TÀI CHÍNH</w:t>
            </w:r>
            <w:r w:rsidRPr="0029209C">
              <w:rPr>
                <w:rFonts w:ascii="Arial" w:hAnsi="Arial" w:cs="Arial"/>
                <w:color w:val="000000" w:themeColor="text1"/>
                <w:sz w:val="20"/>
                <w:szCs w:val="20"/>
              </w:rPr>
              <w:br/>
            </w:r>
            <w:r w:rsidRPr="0029209C">
              <w:rPr>
                <w:rFonts w:ascii="Arial" w:hAnsi="Arial" w:cs="Arial"/>
                <w:color w:val="000000" w:themeColor="text1"/>
                <w:sz w:val="20"/>
                <w:szCs w:val="20"/>
                <w:vertAlign w:val="superscript"/>
              </w:rPr>
              <w:t>_______</w:t>
            </w:r>
            <w:r w:rsidRPr="0029209C">
              <w:rPr>
                <w:rFonts w:ascii="Arial" w:hAnsi="Arial" w:cs="Arial"/>
                <w:color w:val="000000" w:themeColor="text1"/>
                <w:sz w:val="20"/>
                <w:szCs w:val="20"/>
              </w:rPr>
              <w:br/>
              <w:t>Số: 12</w:t>
            </w:r>
            <w:r w:rsidR="0093336A" w:rsidRPr="0029209C">
              <w:rPr>
                <w:rFonts w:ascii="Arial" w:hAnsi="Arial" w:cs="Arial"/>
                <w:color w:val="000000" w:themeColor="text1"/>
                <w:sz w:val="20"/>
                <w:szCs w:val="20"/>
              </w:rPr>
              <w:t>5</w:t>
            </w:r>
            <w:r w:rsidRPr="0029209C">
              <w:rPr>
                <w:rFonts w:ascii="Arial" w:hAnsi="Arial" w:cs="Arial"/>
                <w:color w:val="000000" w:themeColor="text1"/>
                <w:sz w:val="20"/>
                <w:szCs w:val="20"/>
              </w:rPr>
              <w:t>/2025/TT-BTC</w:t>
            </w:r>
          </w:p>
        </w:tc>
        <w:tc>
          <w:tcPr>
            <w:tcW w:w="3355" w:type="pct"/>
          </w:tcPr>
          <w:p w:rsidR="005E57E1" w:rsidRPr="0029209C" w:rsidRDefault="00C21F15" w:rsidP="0029209C">
            <w:pPr>
              <w:spacing w:after="0" w:line="240" w:lineRule="auto"/>
              <w:jc w:val="center"/>
              <w:rPr>
                <w:rFonts w:ascii="Arial" w:hAnsi="Arial" w:cs="Arial"/>
                <w:color w:val="000000" w:themeColor="text1"/>
                <w:sz w:val="20"/>
                <w:szCs w:val="20"/>
              </w:rPr>
            </w:pPr>
            <w:r w:rsidRPr="0029209C">
              <w:rPr>
                <w:rFonts w:ascii="Arial" w:hAnsi="Arial" w:cs="Arial"/>
                <w:b/>
                <w:color w:val="000000" w:themeColor="text1"/>
                <w:sz w:val="20"/>
                <w:szCs w:val="20"/>
              </w:rPr>
              <w:t>CỘNG HÒA XÃ HỘI CHỦ NGHĨA VIỆT NAM</w:t>
            </w:r>
            <w:r w:rsidRPr="0029209C">
              <w:rPr>
                <w:rFonts w:ascii="Arial" w:hAnsi="Arial" w:cs="Arial"/>
                <w:color w:val="000000" w:themeColor="text1"/>
                <w:sz w:val="20"/>
                <w:szCs w:val="20"/>
              </w:rPr>
              <w:br/>
            </w:r>
            <w:r w:rsidRPr="0029209C">
              <w:rPr>
                <w:rFonts w:ascii="Arial" w:hAnsi="Arial" w:cs="Arial"/>
                <w:b/>
                <w:color w:val="000000" w:themeColor="text1"/>
                <w:sz w:val="20"/>
                <w:szCs w:val="20"/>
              </w:rPr>
              <w:t>Độc lập – Tự do – Hạnh phúc</w:t>
            </w:r>
            <w:r w:rsidRPr="0029209C">
              <w:rPr>
                <w:rFonts w:ascii="Arial" w:hAnsi="Arial" w:cs="Arial"/>
                <w:color w:val="000000" w:themeColor="text1"/>
                <w:sz w:val="20"/>
                <w:szCs w:val="20"/>
              </w:rPr>
              <w:br/>
            </w:r>
            <w:r w:rsidRPr="0029209C">
              <w:rPr>
                <w:rFonts w:ascii="Arial" w:hAnsi="Arial" w:cs="Arial"/>
                <w:color w:val="000000" w:themeColor="text1"/>
                <w:sz w:val="20"/>
                <w:szCs w:val="20"/>
                <w:vertAlign w:val="superscript"/>
              </w:rPr>
              <w:t>_________________</w:t>
            </w:r>
            <w:r w:rsidRPr="0029209C">
              <w:rPr>
                <w:rFonts w:ascii="Arial" w:hAnsi="Arial" w:cs="Arial"/>
                <w:color w:val="000000" w:themeColor="text1"/>
                <w:sz w:val="20"/>
                <w:szCs w:val="20"/>
              </w:rPr>
              <w:br/>
            </w:r>
            <w:r w:rsidRPr="0029209C">
              <w:rPr>
                <w:rFonts w:ascii="Arial" w:hAnsi="Arial" w:cs="Arial"/>
                <w:i/>
                <w:color w:val="000000" w:themeColor="text1"/>
                <w:sz w:val="20"/>
                <w:szCs w:val="20"/>
              </w:rPr>
              <w:t xml:space="preserve">Hà Nội, ngày </w:t>
            </w:r>
            <w:r w:rsidR="0093336A" w:rsidRPr="0029209C">
              <w:rPr>
                <w:rFonts w:ascii="Arial" w:hAnsi="Arial" w:cs="Arial"/>
                <w:i/>
                <w:color w:val="000000" w:themeColor="text1"/>
                <w:sz w:val="20"/>
                <w:szCs w:val="20"/>
              </w:rPr>
              <w:t>23</w:t>
            </w:r>
            <w:r w:rsidRPr="0029209C">
              <w:rPr>
                <w:rFonts w:ascii="Arial" w:hAnsi="Arial" w:cs="Arial"/>
                <w:i/>
                <w:color w:val="000000" w:themeColor="text1"/>
                <w:sz w:val="20"/>
                <w:szCs w:val="20"/>
              </w:rPr>
              <w:t xml:space="preserve"> tháng 12 năm 2025</w:t>
            </w:r>
          </w:p>
        </w:tc>
      </w:tr>
    </w:tbl>
    <w:p w:rsidR="00C21F15" w:rsidRPr="0029209C" w:rsidRDefault="00C21F15" w:rsidP="0029209C">
      <w:pPr>
        <w:spacing w:after="0" w:line="240" w:lineRule="auto"/>
        <w:jc w:val="center"/>
        <w:rPr>
          <w:rFonts w:ascii="Arial" w:hAnsi="Arial" w:cs="Arial"/>
          <w:b/>
          <w:color w:val="000000" w:themeColor="text1"/>
          <w:sz w:val="20"/>
          <w:szCs w:val="20"/>
        </w:rPr>
      </w:pPr>
    </w:p>
    <w:p w:rsidR="00C21F15" w:rsidRPr="0029209C" w:rsidRDefault="00C21F15" w:rsidP="0029209C">
      <w:pPr>
        <w:spacing w:after="0" w:line="240" w:lineRule="auto"/>
        <w:jc w:val="center"/>
        <w:rPr>
          <w:rFonts w:ascii="Arial" w:hAnsi="Arial" w:cs="Arial"/>
          <w:b/>
          <w:color w:val="000000" w:themeColor="text1"/>
          <w:sz w:val="20"/>
          <w:szCs w:val="20"/>
        </w:rPr>
      </w:pPr>
    </w:p>
    <w:p w:rsidR="005E57E1" w:rsidRPr="0029209C" w:rsidRDefault="00C21F15" w:rsidP="0029209C">
      <w:pPr>
        <w:spacing w:after="0" w:line="240" w:lineRule="auto"/>
        <w:jc w:val="center"/>
        <w:rPr>
          <w:rFonts w:ascii="Arial" w:hAnsi="Arial" w:cs="Arial"/>
          <w:color w:val="000000" w:themeColor="text1"/>
          <w:sz w:val="20"/>
          <w:szCs w:val="20"/>
        </w:rPr>
      </w:pPr>
      <w:r w:rsidRPr="0029209C">
        <w:rPr>
          <w:rFonts w:ascii="Arial" w:hAnsi="Arial" w:cs="Arial"/>
          <w:b/>
          <w:color w:val="000000" w:themeColor="text1"/>
          <w:sz w:val="20"/>
          <w:szCs w:val="20"/>
        </w:rPr>
        <w:t>THÔNG TƯ</w:t>
      </w:r>
    </w:p>
    <w:p w:rsidR="0093336A" w:rsidRPr="0029209C" w:rsidRDefault="00E453AA" w:rsidP="0029209C">
      <w:pPr>
        <w:spacing w:after="0" w:line="240" w:lineRule="auto"/>
        <w:jc w:val="center"/>
        <w:rPr>
          <w:rFonts w:ascii="Arial" w:hAnsi="Arial" w:cs="Arial"/>
          <w:b/>
          <w:bCs/>
          <w:sz w:val="20"/>
          <w:szCs w:val="20"/>
          <w:shd w:val="clear" w:color="auto" w:fill="FFFFFF"/>
        </w:rPr>
      </w:pPr>
      <w:r>
        <w:rPr>
          <w:rFonts w:ascii="Arial" w:hAnsi="Arial" w:cs="Arial"/>
          <w:b/>
          <w:bCs/>
          <w:sz w:val="20"/>
          <w:szCs w:val="20"/>
          <w:shd w:val="clear" w:color="auto" w:fill="FFFFFF"/>
        </w:rPr>
        <w:t>S</w:t>
      </w:r>
      <w:r w:rsidR="0093336A" w:rsidRPr="0029209C">
        <w:rPr>
          <w:rFonts w:ascii="Arial" w:hAnsi="Arial" w:cs="Arial"/>
          <w:b/>
          <w:bCs/>
          <w:sz w:val="20"/>
          <w:szCs w:val="20"/>
          <w:shd w:val="clear" w:color="auto" w:fill="FFFFFF"/>
        </w:rPr>
        <w:t>ửa đổi, bổ sung một số điều của Thông tư số 33/2017/TT-BTC ngày 20/4/2017 của Bộ trưởng Bộ Tài chính quy định chế độ quản lý tiền mặt, giấy tờ có giá, tài sản quý trong hệ thống Kho bạc Nhà nước</w:t>
      </w:r>
    </w:p>
    <w:p w:rsidR="005E57E1" w:rsidRPr="0029209C" w:rsidRDefault="00C21F15" w:rsidP="0029209C">
      <w:pPr>
        <w:spacing w:after="0" w:line="240" w:lineRule="auto"/>
        <w:jc w:val="center"/>
        <w:rPr>
          <w:rFonts w:ascii="Arial" w:hAnsi="Arial" w:cs="Arial"/>
          <w:color w:val="000000" w:themeColor="text1"/>
          <w:sz w:val="20"/>
          <w:szCs w:val="20"/>
          <w:vertAlign w:val="superscript"/>
        </w:rPr>
      </w:pPr>
      <w:r w:rsidRPr="0029209C">
        <w:rPr>
          <w:rFonts w:ascii="Arial" w:hAnsi="Arial" w:cs="Arial"/>
          <w:color w:val="000000" w:themeColor="text1"/>
          <w:sz w:val="20"/>
          <w:szCs w:val="20"/>
          <w:vertAlign w:val="superscript"/>
        </w:rPr>
        <w:t>___________</w:t>
      </w:r>
    </w:p>
    <w:p w:rsidR="00C21F15" w:rsidRPr="0029209C" w:rsidRDefault="00C21F15" w:rsidP="0029209C">
      <w:pPr>
        <w:spacing w:after="0" w:line="240" w:lineRule="auto"/>
        <w:jc w:val="center"/>
        <w:rPr>
          <w:rFonts w:ascii="Arial" w:hAnsi="Arial" w:cs="Arial"/>
          <w:color w:val="000000" w:themeColor="text1"/>
          <w:sz w:val="20"/>
          <w:szCs w:val="20"/>
          <w:vertAlign w:val="superscript"/>
        </w:rPr>
      </w:pP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i/>
          <w:sz w:val="20"/>
          <w:szCs w:val="20"/>
        </w:rP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i/>
          <w:sz w:val="20"/>
          <w:szCs w:val="20"/>
        </w:rP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i/>
          <w:sz w:val="20"/>
          <w:szCs w:val="20"/>
        </w:rPr>
        <w:t>Theo đề nghị của Giám đốc Kho bạc Nhà nước: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i/>
          <w:sz w:val="20"/>
          <w:szCs w:val="20"/>
        </w:rPr>
        <w:t>Bộ trưởng Bộ Tài Chính ban hành Thông tư sửa đổi, bổ sung một số điều của Thông tư số 33/2017/TT-BTC ngày 20 tháng 4 năm 2017 của Bộ trưởng Bộ Tài chính quy định chế độ quản lý tiền mặt, giấy tờ có giá, tài sản quý trong hệ thống Kho bạc Nhà nước.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 Sửa đổi, bổ sung một số khoản của Điều 3</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Sửa đổi, bổ sung khoản 3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“3. Tài sản quý: Gồm vàng, bạc, đá quý, kim loại quý, ngoại tệ tiền mặt và các loại tài sản quý khác.”.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Sửa đổi, bổ sung khoản 8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“8. Thủ trưởng đơn vị có kho tiền: Là người đứng đầu đơn vị Kho bạc Nhà nước có kho tiền.”.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2. Sửa đổi, bổ sung Điều 4</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4. Thành phần Ban Quản lý kho tiền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Tại Kho bạc Nhà nước: Trưởng Ban Kế toán Nhà nước là Trưởng ban; Kế toán trưởng Ban Giao dịch (gọi tắt là Kế toán trưởng) và thủ kho là thành viên.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Tại Kho bạc Nhà nước khu vực: Giám đốc Kho bạc Nhà nước khu vực là Trưởng ban; Kế toán trưởng và thủ kho là thành viên.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Tại địa bàn của tỉnh/thành phố nơi Kho bạc Nhà nước khu vực không đóng trụ sở chính: Giám đốc Kho bạc Nhà nước khu vực ủy quyền cho Phó Giám đốc Kho bạc Nhà nước khu vực là Trưởng ban; Phó Trưởng phòng Kế toán Nhà nước và thủ kho là thành viên.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3. Việc thành lập Ban Quản lý kho tiền tại Kho bạc Nhà nước do Giám đốc Kho bạc Nhà nước quyết định; tại Kho bạc Nhà nước khu vực do Giám đốc Kho bạc Nhà nước khu vực quyết định.</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4. Kho bạc Nhà nước hướng dẫn về thành phần Ban Quản lý kho tiền/Ban Quản lý quỹ; thành lập Ban Quản lý kho tiền/Ban Quản lý quỹ tại các đơn vị thuộc Kho bạc Nhà nước khu vực.”.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3. Sửa đổi, bổ sung Điều 8</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i/>
          <w:sz w:val="20"/>
          <w:szCs w:val="20"/>
        </w:rPr>
        <w:t>"Điều 8. Các chức danh kho quỹ</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Các chức danh kho quỹ gồm: Thủ kho, phụ kho; thủ quỹ; kiêm ngân.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Giám đốc Kho bạc Nhà nước quyết định bằng văn bản các chức danh kiêm nhiệm hoặc riêng biệt tại Kho bạc Nhà nước, Giám đốc Kho bạc Nhà nước khu vực quyết định bằng văn bản các chức danh kiêm nhiệm hoặc riêng biệt tại Kho bạc Nhà nước khu vực và các đơn vị thuộc Kho bạc Nhà nước khu vực.”.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w:t>
      </w:r>
      <w:bookmarkStart w:id="0" w:name="_GoBack"/>
      <w:bookmarkEnd w:id="0"/>
      <w:r w:rsidRPr="0029209C">
        <w:rPr>
          <w:rFonts w:ascii="Arial" w:hAnsi="Arial" w:cs="Arial"/>
          <w:b/>
          <w:sz w:val="20"/>
          <w:szCs w:val="20"/>
        </w:rPr>
        <w:t>u 4. Sửa đổi, bổ sung một số khoản của Điều 9</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lastRenderedPageBreak/>
        <w:t>1. Sửa đổi, bổ sung khoản 1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Trưởng Ban Kế toán Nhà nước Kho bạc Nhà nước, Thủ trưởng Kho bạc Nhà nước khu vực và các đơn vị thuộc Kho bạc Nhà nước khu vực được ủy quyền cho cấp phó của mình thực hiện toàn bộ hoặc từng ph</w:t>
      </w:r>
      <w:r w:rsidR="009B514E">
        <w:rPr>
          <w:rFonts w:ascii="Arial" w:hAnsi="Arial" w:cs="Arial"/>
          <w:sz w:val="20"/>
          <w:szCs w:val="20"/>
        </w:rPr>
        <w:t>ầ</w:t>
      </w:r>
      <w:r w:rsidRPr="0029209C">
        <w:rPr>
          <w:rFonts w:ascii="Arial" w:hAnsi="Arial" w:cs="Arial"/>
          <w:sz w:val="20"/>
          <w:szCs w:val="20"/>
        </w:rPr>
        <w:t>n công việc quản lý tiền mặt, giấy tờ có giá, tài sản quý.”.</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Sửa đổi, bổ sung khoản 2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Kế toán trưởng được ủy quyền cho người được ủy quyền Kế toán trưởng thực hiện toàn bộ hoặc từng ph</w:t>
      </w:r>
      <w:r w:rsidR="009B514E">
        <w:rPr>
          <w:rFonts w:ascii="Arial" w:hAnsi="Arial" w:cs="Arial"/>
          <w:sz w:val="20"/>
          <w:szCs w:val="20"/>
        </w:rPr>
        <w:t>ầ</w:t>
      </w:r>
      <w:r w:rsidRPr="0029209C">
        <w:rPr>
          <w:rFonts w:ascii="Arial" w:hAnsi="Arial" w:cs="Arial"/>
          <w:sz w:val="20"/>
          <w:szCs w:val="20"/>
        </w:rPr>
        <w:t>n công việc quản lý tiền mặt, giấy tờ có giá, tài sản quý. Trong trường hợp Kế toán trưởng không thể ủy quyền cho người được ủy quyền Kế toán trưởng thì ủy quyền cho công chức kế toán trong tổ chức của mình có đủ điều kiện thực hiện toàn bộ hoặc từng ph</w:t>
      </w:r>
      <w:r w:rsidR="009B514E">
        <w:rPr>
          <w:rFonts w:ascii="Arial" w:hAnsi="Arial" w:cs="Arial"/>
          <w:sz w:val="20"/>
          <w:szCs w:val="20"/>
        </w:rPr>
        <w:t>ầ</w:t>
      </w:r>
      <w:r w:rsidRPr="0029209C">
        <w:rPr>
          <w:rFonts w:ascii="Arial" w:hAnsi="Arial" w:cs="Arial"/>
          <w:sz w:val="20"/>
          <w:szCs w:val="20"/>
        </w:rPr>
        <w:t>n công việc quản lý tiền mặt, giấy tờ có giá, tài sản quý và phải được Giám đốc Kho bạc Nhà nước khu vực chấp thuận bằng văn bản.”.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3. Sửa đổi, bổ sung khoản 3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“3. Việc ủy quyền phải được thủ trưởng đơn vị có kho tiền chấp thuận bằng văn bản và giới hạn trong một khoảng thời gian nhất định. Văn bản ủy quyền phải tuân theo thể thức, được đóng dấu cơ quan của người ủy quyền. Người nhận ủy quyền không được ủy quyền lại cho người khác.”.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5. Sửa đổi, bổ sung khoản 1 Điều 10</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Kho tiền được đặt tại Kho bạc Nhà nước, Kho bạc Nhà nước khu vực và các đơn vị thuộc Kho bạc Nhà nước khu vực, đảm bảo kín đáo, an toàn, thuận tiện cho việc xuất, nhập tiền mặt, giấy tờ có giá, tài sản quý. Cấu trúc kho tiền phải đảm bảo an toàn, bền chắc, thông thoáng. Kho tiền có một cửa ra vào; cửa kho phải có 02 lớp cánh bằng sắt lắp ổ khóa chất lượng cao; lớp cánh cửa ngoài có tối thiểu 02 ổ khóa số, lớp cánh cửa trong có tối thiểu 01 ổ khóa.”.</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6. Sửa đổi, bổ sung một số khoản của Điều 13</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Sửa đổi, bổ sung khoản 2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Giám đốc, Phó Giám đốc Kho bạc Nhà nước vào kiểm tra kho tiền Kho bạc Nhà nước, kho tiền Kho bạc Nhà nước khu vực.”.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Sửa đổi, bổ sung khoản 3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“3. Giám đốc, Phó Giám đốc Kho bạc Nhà nước khu vực vào kiểm tra kho tiền thuộc cấp mình quản lý.”.</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7. Sửa đổi, bổ sung khoản 4 Điều 19</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“4. Khách hàng khi nhận tiền mặt phải xuất trình thẻ căn cước/ thẻ căn cước công dân còn giá trị sử dụng hoặc căn cước điện tử được xác thực tài khoản định danh điện tử mức độ 02, ghi rõ họ tên và ký trên chứng từ, bảng kê chi tiền đồng thời kiểm đếm, xác nhận đã nhận đủ tiền trước khi rời khỏi quầy giao dịch của Kho bạc Nhà nước.”.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8. Bãi bỏ điểm c khoản 2 Điều 21</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9. Sửa đổi, bổ sung một số khoản của Điều 23</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Sửa đổi, bổ sung điểm c khoản 1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“c) Người đi nhận giấy tờ có giá phải có giấy giới thiệu của thủ trưởng đơn vị, ghi rõ họ tên, chức vụ, số thẻ căn cước/ thẻ căn cước công dân còn giá trị sử dụng; đồng thời xuất trình thẻ căn cước/ thẻ căn cước công dân hoặc căn cước điện tử được xác thực tài khoản định danh điện tử mức độ 02 để kiểm tra đối chiếu.”.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Sửa đổi, bổ sung điểm c khoản 2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“c) Người đi nhận giấy tờ có giá phải có giấy giới thiệu của thủ trưởng đơn vị, ghi rõ họ tên, chức vụ, số thẻ căn cước/ thẻ căn cước công dân còn giá trị sử dụng; đồng thời xuất trình thẻ căn cước/ thẻ căn cước công dân hoặc căn cước điện tử được xác thực tài khoản định danh điện tử mức độ 02 để kiểm tra đối chiếu.”.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10. Sửa đổi, bổ sung điểm c khoản 1 Điều 27</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 xml:space="preserve">“c) Hộp đựng chìa khóa dự phòng cửa kho tiền của Kho bạc Nhà nước do Lãnh đạo Kho bạc Nhà nước phụ trách Ban Kế toán Nhà nước bảo quản trong két sắt của mình đặt tại phòng làm việc; hộp đựng chìa khóa dự phòng cửa kho tiền Kho bạc Nhà nước khu vực do Giám đốc Kho bạc Nhà </w:t>
      </w:r>
      <w:r w:rsidRPr="0029209C">
        <w:rPr>
          <w:rFonts w:ascii="Arial" w:hAnsi="Arial" w:cs="Arial"/>
          <w:sz w:val="20"/>
          <w:szCs w:val="20"/>
        </w:rPr>
        <w:lastRenderedPageBreak/>
        <w:t>nước khu vực bảo quản trong két sắt của mình đặt tại phòng làm việc; hộp đựng chìa khóa dự phòng cửa kho tiền Kho bạc Nhà nước khu vực tại địa bàn tỉnh không đóng trụ sở chính, hộp đựng chìa khóa dự phòng cửa kho tiền các đơn vị thuộc Kho bạc Nhà nước khu vực được gửi và bảo quản tại kho tiền của Kho bạc Nhà nước khu vực hoặc các đơn vị thuộc cùng Kho bạc Nhà nước khu vực gần nhất hoặc gửi, bảo quản tại ngân hàng trên địa bàn. Trường hợp gửi, bảo quản tại ngân hàng phải được sự đồng ý bằng văn bản của Giám đốc Kho bạc Nhà nước khu vực.”.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11. Sửa đổi, bổ sung một số khoản của Điều 29</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Sửa đổi, bổ sung khoản 1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Vận chuyển tiền mặt, giấy tờ có giá, tài sản quý giữa các đơn vị Kho bạc Nhà nước phải có lệnh của Giám đốc Kho bạc Nhà nước hoặc Giám đốc Kho bạc Nhà nước khu vực.”.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Sửa đổi, bổ sung khoản 8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“8. Việc bố trí lực lượng bảo vệ thực hiện nhiệm vụ áp tải, bảo vệ tiền mặt, giấy tờ có giá, tài sản quý trên đường vận chuyển phải đảm bảo:</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a) Xe vận chuyển tiền mặt, giấy tờ có giá, tài sản quý do Kho bạc Nhà nước, Kho bạc Nhà nước khu vực quản lý: Có cảnh sát bảo vệ áp tải, hỗ trợ.</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b) Xe vận chuyển tiền mặt, giấy tờ có giá, tài sản quý do Kho bạc Nhà nước khu vực tại địa bàn tỉnh không đóng trụ sở chính, các đơn vị thuộc Kho bạc Nhà nước khu vực quản lý: Có bảo vệ chuyên trách hoặc cán bộ tăng cường được trang bị công cụ hỗ trợ áp tải, bảo vệ.”.</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12. Sửa đổi, bổ sung một số khoản của Điều 31</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Sửa đổi, bổ sung khoản 1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Vận chuyển tiền mặt, giấy tờ có giá, tài sản quý giữa Kho bạc Nhà nước với Kho bạc Nhà nước khu vực; giữa Kho bạc Nhà nước khu vực với các đơn vị thuộc Kho bạc Nhà nước khu vực phải bằng ô tô chuyên dùng.”.</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Sửa đổi, bổ sung khoản 2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Vận chuyển tiền mặt từ ngân hàng về trụ sở Kho bạc Nhà nước khu vực, các đơn vị thuộc Kho bạc Nhà nước khu vực và ngược lại bằng ô tô chuyên dùng; trường hợp phải vận chuyển bằng phương tiện khác thì thủ trưởng đơn vị có kho tiền phải có biện pháp đảm bảo an toàn tài sản trong quá trình vận chuyển.”.</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13. Sửa đổi, bổ sung/Bãi bỏ một số khoản của Điều 32</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Sửa đổi, bổ sung điểm a khoản 1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“a) Hằng ngày, khi hết giờ giao dịch, Trưởng Ban Quản lý kho tiền, thành viên Ban Quản lý kho tiền là Kế toán trưởng phải thực hiện kiểm kê tồn quỹ tiền mặt, giấy tờ có giá, tài sản quý thực tế đến cuối ngày. Trường hợp trong ngày không mở kho và không phát sinh giao dịch tiền mặt, giấy tờ có giá, tài sản quý thì không tổ chức kiểm kê cuối ngày.”.</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Bãi bỏ khoản 2.</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14. Sửa đổi, bổ sung điểm d khoản 2 Điều 33</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“d) Khi có quyết định của Giám đốc Kho bạc Nhà nước hoặc Giám đốc Kho bạc Nhà nước khu vực.”.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15. Sửa đổi, bổ sung một số khoản của Điều 35</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Sửa đổi, bổ sung khoản 2 như sau:</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“2. Thủ trưởng đơn vị có kho tiền cùng các thành phần có trách nhiệm quản lý phải kiểm kê ngay toàn bộ tiền, tài sản của nơi xảy ra thừa, thiếu; lập biên bản, xác định rõ mức độ, nguyên nhân, quy trách nhiệm đối với tập thể, cá nhân gây thừa, thiếu; có biện pháp kịp thời để thu hồi tài sản bị thiếu, mất; Kho bạc Nhà nước khu vực điện báo cáo Kho bạc Nhà nước (qua điện thoại, email,...) chậm nhất trong 24 giờ kể từ khi xảy ra vụ việc. Đồng thời, có văn bản báo cáo Kho bạc Nhà nước tình hình diễn biến vụ việc để phối hợp xử lý.”.</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 xml:space="preserve">2. Sửa đổi, bổ sung khoản 5 như sau: </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lastRenderedPageBreak/>
        <w:t>“5. Đối với các vụ việc thừa, thiếu, mất tiền có giá trị từ 50 triệu đồng trở lên, Kho bạc Nhà nước khu vực ngoài việc điều tra, xác minh, xử lý còn phải lập hồ sơ, báo cáo kịp thời, đầy đủ với Kho bạc Nhà nước.”.</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16. Sửa đổi, bổ sung khoản 1 Điều 37</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b/>
          <w:sz w:val="20"/>
          <w:szCs w:val="20"/>
        </w:rPr>
        <w:t>Điều 17. Điều khoản thi hành</w:t>
      </w:r>
    </w:p>
    <w:p w:rsidR="0093336A" w:rsidRPr="0029209C" w:rsidRDefault="0093336A" w:rsidP="0029209C">
      <w:pPr>
        <w:spacing w:after="120" w:line="240" w:lineRule="auto"/>
        <w:ind w:firstLine="720"/>
        <w:jc w:val="both"/>
        <w:rPr>
          <w:rFonts w:ascii="Arial" w:hAnsi="Arial" w:cs="Arial"/>
          <w:sz w:val="20"/>
          <w:szCs w:val="20"/>
        </w:rPr>
      </w:pPr>
      <w:r w:rsidRPr="0029209C">
        <w:rPr>
          <w:rFonts w:ascii="Arial" w:hAnsi="Arial" w:cs="Arial"/>
          <w:sz w:val="20"/>
          <w:szCs w:val="20"/>
        </w:rPr>
        <w:t>1. Thông tư này có hiệu lực thi hành từ ngày 10 tháng 02 năm 2026.</w:t>
      </w:r>
    </w:p>
    <w:p w:rsidR="0093336A" w:rsidRPr="0029209C" w:rsidRDefault="0093336A" w:rsidP="0029209C">
      <w:pPr>
        <w:spacing w:after="0" w:line="240" w:lineRule="auto"/>
        <w:ind w:firstLine="720"/>
        <w:jc w:val="both"/>
        <w:rPr>
          <w:rFonts w:ascii="Arial" w:hAnsi="Arial" w:cs="Arial"/>
          <w:sz w:val="20"/>
          <w:szCs w:val="20"/>
        </w:rPr>
      </w:pPr>
      <w:r w:rsidRPr="0029209C">
        <w:rPr>
          <w:rFonts w:ascii="Arial" w:hAnsi="Arial" w:cs="Arial"/>
          <w:sz w:val="20"/>
          <w:szCs w:val="20"/>
        </w:rPr>
        <w:t>2. Các Bộ, cơ quan trung ương và địa phương, các tổ chức, cá nhân có liên quan chịu trách nhiệm thực hiện các quy định tại Thông tư này./.</w:t>
      </w:r>
    </w:p>
    <w:p w:rsidR="00C21F15" w:rsidRPr="0029209C" w:rsidRDefault="00C21F15" w:rsidP="0029209C">
      <w:pPr>
        <w:adjustRightInd w:val="0"/>
        <w:snapToGrid w:val="0"/>
        <w:spacing w:after="0" w:line="240" w:lineRule="auto"/>
        <w:ind w:firstLine="720"/>
        <w:jc w:val="both"/>
        <w:rPr>
          <w:rFonts w:ascii="Arial" w:hAnsi="Arial" w:cs="Arial"/>
          <w:color w:val="000000" w:themeColor="text1"/>
          <w:sz w:val="20"/>
          <w:szCs w:val="20"/>
          <w:lang w:val="fr-FR"/>
        </w:rPr>
      </w:pPr>
    </w:p>
    <w:tbl>
      <w:tblPr>
        <w:tblW w:w="5000" w:type="pct"/>
        <w:tblInd w:w="10" w:type="dxa"/>
        <w:tblCellMar>
          <w:left w:w="10" w:type="dxa"/>
          <w:right w:w="10" w:type="dxa"/>
        </w:tblCellMar>
        <w:tblLook w:val="07E0" w:firstRow="1" w:lastRow="1" w:firstColumn="1" w:lastColumn="1" w:noHBand="1" w:noVBand="1"/>
      </w:tblPr>
      <w:tblGrid>
        <w:gridCol w:w="5803"/>
        <w:gridCol w:w="3224"/>
      </w:tblGrid>
      <w:tr w:rsidR="00C21F15" w:rsidRPr="0029209C" w:rsidTr="0029209C">
        <w:tc>
          <w:tcPr>
            <w:tcW w:w="3214" w:type="pct"/>
          </w:tcPr>
          <w:p w:rsidR="005E57E1" w:rsidRPr="0029209C" w:rsidRDefault="00C21F15" w:rsidP="0029209C">
            <w:pPr>
              <w:spacing w:after="0" w:line="240" w:lineRule="auto"/>
              <w:rPr>
                <w:rFonts w:ascii="Arial" w:hAnsi="Arial" w:cs="Arial"/>
                <w:color w:val="000000" w:themeColor="text1"/>
                <w:sz w:val="20"/>
                <w:szCs w:val="20"/>
                <w:lang w:val="fr-FR"/>
              </w:rPr>
            </w:pPr>
            <w:r w:rsidRPr="0029209C">
              <w:rPr>
                <w:rFonts w:ascii="Arial" w:hAnsi="Arial" w:cs="Arial"/>
                <w:b/>
                <w:i/>
                <w:color w:val="000000" w:themeColor="text1"/>
                <w:sz w:val="20"/>
                <w:szCs w:val="20"/>
                <w:lang w:val="fr-FR"/>
              </w:rPr>
              <w:t>Nơi nhận:</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Ban </w:t>
            </w:r>
            <w:r w:rsidRPr="0029209C">
              <w:rPr>
                <w:rStyle w:val="spi"/>
                <w:rFonts w:ascii="Arial" w:hAnsi="Arial" w:cs="Arial"/>
                <w:sz w:val="20"/>
                <w:szCs w:val="20"/>
              </w:rPr>
              <w:t>Bí</w:t>
            </w:r>
            <w:r w:rsidRPr="0029209C">
              <w:rPr>
                <w:rFonts w:ascii="Arial" w:hAnsi="Arial" w:cs="Arial"/>
                <w:sz w:val="20"/>
                <w:szCs w:val="20"/>
              </w:rPr>
              <w:t xml:space="preserve"> thư Trung ương </w:t>
            </w:r>
            <w:r w:rsidRPr="0029209C">
              <w:rPr>
                <w:rStyle w:val="spi"/>
                <w:rFonts w:ascii="Arial" w:hAnsi="Arial" w:cs="Arial"/>
                <w:sz w:val="20"/>
                <w:szCs w:val="20"/>
              </w:rPr>
              <w:t>Đảng</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Thủ</w:t>
            </w:r>
            <w:r w:rsidRPr="0029209C">
              <w:rPr>
                <w:rFonts w:ascii="Arial" w:hAnsi="Arial" w:cs="Arial"/>
                <w:sz w:val="20"/>
                <w:szCs w:val="20"/>
              </w:rPr>
              <w:t xml:space="preserve"> tướng, các Phó </w:t>
            </w:r>
            <w:r w:rsidRPr="0029209C">
              <w:rPr>
                <w:rStyle w:val="spi"/>
                <w:rFonts w:ascii="Arial" w:hAnsi="Arial" w:cs="Arial"/>
                <w:sz w:val="20"/>
                <w:szCs w:val="20"/>
              </w:rPr>
              <w:t>Thủ</w:t>
            </w:r>
            <w:r w:rsidRPr="0029209C">
              <w:rPr>
                <w:rFonts w:ascii="Arial" w:hAnsi="Arial" w:cs="Arial"/>
                <w:sz w:val="20"/>
                <w:szCs w:val="20"/>
              </w:rPr>
              <w:t xml:space="preserve"> tướng Chính </w:t>
            </w:r>
            <w:r w:rsidRPr="0029209C">
              <w:rPr>
                <w:rStyle w:val="spi"/>
                <w:rFonts w:ascii="Arial" w:hAnsi="Arial" w:cs="Arial"/>
                <w:sz w:val="20"/>
                <w:szCs w:val="20"/>
              </w:rPr>
              <w:t>phủ</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Văn</w:t>
            </w:r>
            <w:r w:rsidRPr="0029209C">
              <w:rPr>
                <w:rFonts w:ascii="Arial" w:hAnsi="Arial" w:cs="Arial"/>
                <w:sz w:val="20"/>
                <w:szCs w:val="20"/>
              </w:rPr>
              <w:t xml:space="preserve"> phòng Trung ương và các </w:t>
            </w:r>
            <w:r w:rsidRPr="0029209C">
              <w:rPr>
                <w:rStyle w:val="spi"/>
                <w:rFonts w:ascii="Arial" w:hAnsi="Arial" w:cs="Arial"/>
                <w:sz w:val="20"/>
                <w:szCs w:val="20"/>
              </w:rPr>
              <w:t>Ban</w:t>
            </w:r>
            <w:r w:rsidRPr="0029209C">
              <w:rPr>
                <w:rFonts w:ascii="Arial" w:hAnsi="Arial" w:cs="Arial"/>
                <w:sz w:val="20"/>
                <w:szCs w:val="20"/>
              </w:rPr>
              <w:t xml:space="preserve"> </w:t>
            </w:r>
            <w:r w:rsidRPr="0029209C">
              <w:rPr>
                <w:rStyle w:val="spi"/>
                <w:rFonts w:ascii="Arial" w:hAnsi="Arial" w:cs="Arial"/>
                <w:sz w:val="20"/>
                <w:szCs w:val="20"/>
              </w:rPr>
              <w:t>của</w:t>
            </w:r>
            <w:r w:rsidRPr="0029209C">
              <w:rPr>
                <w:rFonts w:ascii="Arial" w:hAnsi="Arial" w:cs="Arial"/>
                <w:sz w:val="20"/>
                <w:szCs w:val="20"/>
              </w:rPr>
              <w:t xml:space="preserve"> </w:t>
            </w:r>
            <w:r w:rsidRPr="0029209C">
              <w:rPr>
                <w:rStyle w:val="spi"/>
                <w:rFonts w:ascii="Arial" w:hAnsi="Arial" w:cs="Arial"/>
                <w:sz w:val="20"/>
                <w:szCs w:val="20"/>
              </w:rPr>
              <w:t>Đảng</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Văn phòng </w:t>
            </w:r>
            <w:r w:rsidRPr="0029209C">
              <w:rPr>
                <w:rStyle w:val="spi"/>
                <w:rFonts w:ascii="Arial" w:hAnsi="Arial" w:cs="Arial"/>
                <w:sz w:val="20"/>
                <w:szCs w:val="20"/>
              </w:rPr>
              <w:t>Tổng</w:t>
            </w:r>
            <w:r w:rsidRPr="0029209C">
              <w:rPr>
                <w:rFonts w:ascii="Arial" w:hAnsi="Arial" w:cs="Arial"/>
                <w:sz w:val="20"/>
                <w:szCs w:val="20"/>
              </w:rPr>
              <w:t xml:space="preserve"> </w:t>
            </w:r>
            <w:r w:rsidRPr="0029209C">
              <w:rPr>
                <w:rStyle w:val="spi"/>
                <w:rFonts w:ascii="Arial" w:hAnsi="Arial" w:cs="Arial"/>
                <w:sz w:val="20"/>
                <w:szCs w:val="20"/>
              </w:rPr>
              <w:t>Bí</w:t>
            </w:r>
            <w:r w:rsidRPr="0029209C">
              <w:rPr>
                <w:rFonts w:ascii="Arial" w:hAnsi="Arial" w:cs="Arial"/>
                <w:sz w:val="20"/>
                <w:szCs w:val="20"/>
              </w:rPr>
              <w:t xml:space="preserve"> </w:t>
            </w:r>
            <w:r w:rsidRPr="0029209C">
              <w:rPr>
                <w:rStyle w:val="spi"/>
                <w:rFonts w:ascii="Arial" w:hAnsi="Arial" w:cs="Arial"/>
                <w:sz w:val="20"/>
                <w:szCs w:val="20"/>
              </w:rPr>
              <w:t>thư</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Văn</w:t>
            </w:r>
            <w:r w:rsidRPr="0029209C">
              <w:rPr>
                <w:rFonts w:ascii="Arial" w:hAnsi="Arial" w:cs="Arial"/>
                <w:sz w:val="20"/>
                <w:szCs w:val="20"/>
              </w:rPr>
              <w:t xml:space="preserve"> phòng Chủ </w:t>
            </w:r>
            <w:r w:rsidRPr="0029209C">
              <w:rPr>
                <w:rStyle w:val="spi"/>
                <w:rFonts w:ascii="Arial" w:hAnsi="Arial" w:cs="Arial"/>
                <w:sz w:val="20"/>
                <w:szCs w:val="20"/>
              </w:rPr>
              <w:t>tịch</w:t>
            </w:r>
            <w:r w:rsidRPr="0029209C">
              <w:rPr>
                <w:rFonts w:ascii="Arial" w:hAnsi="Arial" w:cs="Arial"/>
                <w:sz w:val="20"/>
                <w:szCs w:val="20"/>
              </w:rPr>
              <w:t xml:space="preserve"> </w:t>
            </w:r>
            <w:r w:rsidRPr="0029209C">
              <w:rPr>
                <w:rStyle w:val="spi"/>
                <w:rFonts w:ascii="Arial" w:hAnsi="Arial" w:cs="Arial"/>
                <w:sz w:val="20"/>
                <w:szCs w:val="20"/>
              </w:rPr>
              <w:t>nước</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Văn</w:t>
            </w:r>
            <w:r w:rsidRPr="0029209C">
              <w:rPr>
                <w:rFonts w:ascii="Arial" w:hAnsi="Arial" w:cs="Arial"/>
                <w:sz w:val="20"/>
                <w:szCs w:val="20"/>
              </w:rPr>
              <w:t xml:space="preserve"> phòng </w:t>
            </w:r>
            <w:r w:rsidRPr="0029209C">
              <w:rPr>
                <w:rStyle w:val="spi"/>
                <w:rFonts w:ascii="Arial" w:hAnsi="Arial" w:cs="Arial"/>
                <w:sz w:val="20"/>
                <w:szCs w:val="20"/>
              </w:rPr>
              <w:t>Quốc</w:t>
            </w:r>
            <w:r w:rsidRPr="0029209C">
              <w:rPr>
                <w:rFonts w:ascii="Arial" w:hAnsi="Arial" w:cs="Arial"/>
                <w:sz w:val="20"/>
                <w:szCs w:val="20"/>
              </w:rPr>
              <w:t xml:space="preserve"> </w:t>
            </w:r>
            <w:r w:rsidRPr="0029209C">
              <w:rPr>
                <w:rStyle w:val="spi"/>
                <w:rFonts w:ascii="Arial" w:hAnsi="Arial" w:cs="Arial"/>
                <w:sz w:val="20"/>
                <w:szCs w:val="20"/>
              </w:rPr>
              <w:t>hội</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Văn</w:t>
            </w:r>
            <w:r w:rsidRPr="0029209C">
              <w:rPr>
                <w:rFonts w:ascii="Arial" w:hAnsi="Arial" w:cs="Arial"/>
                <w:sz w:val="20"/>
                <w:szCs w:val="20"/>
              </w:rPr>
              <w:t xml:space="preserve"> </w:t>
            </w:r>
            <w:r w:rsidRPr="0029209C">
              <w:rPr>
                <w:rStyle w:val="spi"/>
                <w:rFonts w:ascii="Arial" w:hAnsi="Arial" w:cs="Arial"/>
                <w:sz w:val="20"/>
                <w:szCs w:val="20"/>
              </w:rPr>
              <w:t>phòng</w:t>
            </w:r>
            <w:r w:rsidRPr="0029209C">
              <w:rPr>
                <w:rFonts w:ascii="Arial" w:hAnsi="Arial" w:cs="Arial"/>
                <w:sz w:val="20"/>
                <w:szCs w:val="20"/>
              </w:rPr>
              <w:t xml:space="preserve"> </w:t>
            </w:r>
            <w:r w:rsidRPr="0029209C">
              <w:rPr>
                <w:rStyle w:val="spi"/>
                <w:rFonts w:ascii="Arial" w:hAnsi="Arial" w:cs="Arial"/>
                <w:sz w:val="20"/>
                <w:szCs w:val="20"/>
              </w:rPr>
              <w:t>Chính</w:t>
            </w:r>
            <w:r w:rsidRPr="0029209C">
              <w:rPr>
                <w:rFonts w:ascii="Arial" w:hAnsi="Arial" w:cs="Arial"/>
                <w:sz w:val="20"/>
                <w:szCs w:val="20"/>
              </w:rPr>
              <w:t xml:space="preserve"> </w:t>
            </w:r>
            <w:r w:rsidRPr="0029209C">
              <w:rPr>
                <w:rStyle w:val="spi"/>
                <w:rFonts w:ascii="Arial" w:hAnsi="Arial" w:cs="Arial"/>
                <w:sz w:val="20"/>
                <w:szCs w:val="20"/>
              </w:rPr>
              <w:t>phủ</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Hội</w:t>
            </w:r>
            <w:r w:rsidRPr="0029209C">
              <w:rPr>
                <w:rFonts w:ascii="Arial" w:hAnsi="Arial" w:cs="Arial"/>
                <w:sz w:val="20"/>
                <w:szCs w:val="20"/>
              </w:rPr>
              <w:t xml:space="preserve"> đồng dân </w:t>
            </w:r>
            <w:r w:rsidRPr="0029209C">
              <w:rPr>
                <w:rStyle w:val="spi"/>
                <w:rFonts w:ascii="Arial" w:hAnsi="Arial" w:cs="Arial"/>
                <w:sz w:val="20"/>
                <w:szCs w:val="20"/>
              </w:rPr>
              <w:t>tộc</w:t>
            </w:r>
            <w:r w:rsidRPr="0029209C">
              <w:rPr>
                <w:rFonts w:ascii="Arial" w:hAnsi="Arial" w:cs="Arial"/>
                <w:sz w:val="20"/>
                <w:szCs w:val="20"/>
              </w:rPr>
              <w:t xml:space="preserve"> </w:t>
            </w:r>
            <w:r w:rsidRPr="0029209C">
              <w:rPr>
                <w:rStyle w:val="spi"/>
                <w:rFonts w:ascii="Arial" w:hAnsi="Arial" w:cs="Arial"/>
                <w:sz w:val="20"/>
                <w:szCs w:val="20"/>
              </w:rPr>
              <w:t>và</w:t>
            </w:r>
            <w:r w:rsidRPr="0029209C">
              <w:rPr>
                <w:rFonts w:ascii="Arial" w:hAnsi="Arial" w:cs="Arial"/>
                <w:sz w:val="20"/>
                <w:szCs w:val="20"/>
              </w:rPr>
              <w:t xml:space="preserve"> các Ủy ban của Quốc hội;</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Các</w:t>
            </w:r>
            <w:r w:rsidRPr="0029209C">
              <w:rPr>
                <w:rFonts w:ascii="Arial" w:hAnsi="Arial" w:cs="Arial"/>
                <w:sz w:val="20"/>
                <w:szCs w:val="20"/>
              </w:rPr>
              <w:t xml:space="preserve"> Bộ, cơ quan ngang </w:t>
            </w:r>
            <w:r w:rsidRPr="0029209C">
              <w:rPr>
                <w:rStyle w:val="spi"/>
                <w:rFonts w:ascii="Arial" w:hAnsi="Arial" w:cs="Arial"/>
                <w:sz w:val="20"/>
                <w:szCs w:val="20"/>
              </w:rPr>
              <w:t>Bộ</w:t>
            </w:r>
            <w:r w:rsidRPr="0029209C">
              <w:rPr>
                <w:rFonts w:ascii="Arial" w:hAnsi="Arial" w:cs="Arial"/>
                <w:sz w:val="20"/>
                <w:szCs w:val="20"/>
              </w:rPr>
              <w:t xml:space="preserve">, cơ </w:t>
            </w:r>
            <w:r w:rsidRPr="0029209C">
              <w:rPr>
                <w:rStyle w:val="spi"/>
                <w:rFonts w:ascii="Arial" w:hAnsi="Arial" w:cs="Arial"/>
                <w:sz w:val="20"/>
                <w:szCs w:val="20"/>
              </w:rPr>
              <w:t>quan</w:t>
            </w:r>
            <w:r w:rsidRPr="0029209C">
              <w:rPr>
                <w:rFonts w:ascii="Arial" w:hAnsi="Arial" w:cs="Arial"/>
                <w:sz w:val="20"/>
                <w:szCs w:val="20"/>
              </w:rPr>
              <w:t xml:space="preserve"> </w:t>
            </w:r>
            <w:r w:rsidRPr="0029209C">
              <w:rPr>
                <w:rStyle w:val="spi"/>
                <w:rFonts w:ascii="Arial" w:hAnsi="Arial" w:cs="Arial"/>
                <w:sz w:val="20"/>
                <w:szCs w:val="20"/>
              </w:rPr>
              <w:t>thuộc</w:t>
            </w:r>
            <w:r w:rsidRPr="0029209C">
              <w:rPr>
                <w:rFonts w:ascii="Arial" w:hAnsi="Arial" w:cs="Arial"/>
                <w:sz w:val="20"/>
                <w:szCs w:val="20"/>
              </w:rPr>
              <w:t xml:space="preserve"> </w:t>
            </w:r>
            <w:r w:rsidRPr="0029209C">
              <w:rPr>
                <w:rStyle w:val="spi"/>
                <w:rFonts w:ascii="Arial" w:hAnsi="Arial" w:cs="Arial"/>
                <w:sz w:val="20"/>
                <w:szCs w:val="20"/>
              </w:rPr>
              <w:t>Chính</w:t>
            </w:r>
            <w:r w:rsidRPr="0029209C">
              <w:rPr>
                <w:rFonts w:ascii="Arial" w:hAnsi="Arial" w:cs="Arial"/>
                <w:sz w:val="20"/>
                <w:szCs w:val="20"/>
              </w:rPr>
              <w:t xml:space="preserve"> </w:t>
            </w:r>
            <w:r w:rsidRPr="0029209C">
              <w:rPr>
                <w:rStyle w:val="spi"/>
                <w:rFonts w:ascii="Arial" w:hAnsi="Arial" w:cs="Arial"/>
                <w:sz w:val="20"/>
                <w:szCs w:val="20"/>
              </w:rPr>
              <w:t>phủ</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Tòa</w:t>
            </w:r>
            <w:r w:rsidRPr="0029209C">
              <w:rPr>
                <w:rFonts w:ascii="Arial" w:hAnsi="Arial" w:cs="Arial"/>
                <w:sz w:val="20"/>
                <w:szCs w:val="20"/>
              </w:rPr>
              <w:t xml:space="preserve"> </w:t>
            </w:r>
            <w:r w:rsidRPr="0029209C">
              <w:rPr>
                <w:rStyle w:val="spi"/>
                <w:rFonts w:ascii="Arial" w:hAnsi="Arial" w:cs="Arial"/>
                <w:sz w:val="20"/>
                <w:szCs w:val="20"/>
              </w:rPr>
              <w:t>án</w:t>
            </w:r>
            <w:r w:rsidRPr="0029209C">
              <w:rPr>
                <w:rFonts w:ascii="Arial" w:hAnsi="Arial" w:cs="Arial"/>
                <w:sz w:val="20"/>
                <w:szCs w:val="20"/>
              </w:rPr>
              <w:t xml:space="preserve"> nhân dân tối cao;</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Viện</w:t>
            </w:r>
            <w:r w:rsidRPr="0029209C">
              <w:rPr>
                <w:rFonts w:ascii="Arial" w:hAnsi="Arial" w:cs="Arial"/>
                <w:sz w:val="20"/>
                <w:szCs w:val="20"/>
              </w:rPr>
              <w:t xml:space="preserve"> Kiểm sát nhân </w:t>
            </w:r>
            <w:r w:rsidRPr="0029209C">
              <w:rPr>
                <w:rStyle w:val="spi"/>
                <w:rFonts w:ascii="Arial" w:hAnsi="Arial" w:cs="Arial"/>
                <w:sz w:val="20"/>
                <w:szCs w:val="20"/>
              </w:rPr>
              <w:t>dân</w:t>
            </w:r>
            <w:r w:rsidRPr="0029209C">
              <w:rPr>
                <w:rFonts w:ascii="Arial" w:hAnsi="Arial" w:cs="Arial"/>
                <w:sz w:val="20"/>
                <w:szCs w:val="20"/>
              </w:rPr>
              <w:t xml:space="preserve"> </w:t>
            </w:r>
            <w:r w:rsidRPr="0029209C">
              <w:rPr>
                <w:rStyle w:val="spi"/>
                <w:rFonts w:ascii="Arial" w:hAnsi="Arial" w:cs="Arial"/>
                <w:sz w:val="20"/>
                <w:szCs w:val="20"/>
              </w:rPr>
              <w:t>tối</w:t>
            </w:r>
            <w:r w:rsidRPr="0029209C">
              <w:rPr>
                <w:rFonts w:ascii="Arial" w:hAnsi="Arial" w:cs="Arial"/>
                <w:sz w:val="20"/>
                <w:szCs w:val="20"/>
              </w:rPr>
              <w:t xml:space="preserve"> </w:t>
            </w:r>
            <w:r w:rsidRPr="0029209C">
              <w:rPr>
                <w:rStyle w:val="spi"/>
                <w:rFonts w:ascii="Arial" w:hAnsi="Arial" w:cs="Arial"/>
                <w:sz w:val="20"/>
                <w:szCs w:val="20"/>
              </w:rPr>
              <w:t>cao</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Kiểm</w:t>
            </w:r>
            <w:r w:rsidRPr="0029209C">
              <w:rPr>
                <w:rFonts w:ascii="Arial" w:hAnsi="Arial" w:cs="Arial"/>
                <w:sz w:val="20"/>
                <w:szCs w:val="20"/>
              </w:rPr>
              <w:t xml:space="preserve"> </w:t>
            </w:r>
            <w:r w:rsidRPr="0029209C">
              <w:rPr>
                <w:rStyle w:val="spi"/>
                <w:rFonts w:ascii="Arial" w:hAnsi="Arial" w:cs="Arial"/>
                <w:sz w:val="20"/>
                <w:szCs w:val="20"/>
              </w:rPr>
              <w:t>toán</w:t>
            </w:r>
            <w:r w:rsidRPr="0029209C">
              <w:rPr>
                <w:rFonts w:ascii="Arial" w:hAnsi="Arial" w:cs="Arial"/>
                <w:sz w:val="20"/>
                <w:szCs w:val="20"/>
              </w:rPr>
              <w:t xml:space="preserve"> </w:t>
            </w:r>
            <w:r w:rsidRPr="0029209C">
              <w:rPr>
                <w:rStyle w:val="spi"/>
                <w:rFonts w:ascii="Arial" w:hAnsi="Arial" w:cs="Arial"/>
                <w:sz w:val="20"/>
                <w:szCs w:val="20"/>
              </w:rPr>
              <w:t>Nhà</w:t>
            </w:r>
            <w:r w:rsidRPr="0029209C">
              <w:rPr>
                <w:rFonts w:ascii="Arial" w:hAnsi="Arial" w:cs="Arial"/>
                <w:sz w:val="20"/>
                <w:szCs w:val="20"/>
              </w:rPr>
              <w:t xml:space="preserve"> </w:t>
            </w:r>
            <w:r w:rsidRPr="0029209C">
              <w:rPr>
                <w:rStyle w:val="spi"/>
                <w:rFonts w:ascii="Arial" w:hAnsi="Arial" w:cs="Arial"/>
                <w:sz w:val="20"/>
                <w:szCs w:val="20"/>
              </w:rPr>
              <w:t>nước</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Ủy</w:t>
            </w:r>
            <w:r w:rsidRPr="0029209C">
              <w:rPr>
                <w:rFonts w:ascii="Arial" w:hAnsi="Arial" w:cs="Arial"/>
                <w:sz w:val="20"/>
                <w:szCs w:val="20"/>
              </w:rPr>
              <w:t xml:space="preserve"> </w:t>
            </w:r>
            <w:r w:rsidRPr="0029209C">
              <w:rPr>
                <w:rStyle w:val="spi"/>
                <w:rFonts w:ascii="Arial" w:hAnsi="Arial" w:cs="Arial"/>
                <w:sz w:val="20"/>
                <w:szCs w:val="20"/>
              </w:rPr>
              <w:t>ban</w:t>
            </w:r>
            <w:r w:rsidRPr="0029209C">
              <w:rPr>
                <w:rFonts w:ascii="Arial" w:hAnsi="Arial" w:cs="Arial"/>
                <w:sz w:val="20"/>
                <w:szCs w:val="20"/>
              </w:rPr>
              <w:t xml:space="preserve"> Trung ương Mặt trận </w:t>
            </w:r>
            <w:r w:rsidRPr="0029209C">
              <w:rPr>
                <w:rStyle w:val="spi"/>
                <w:rFonts w:ascii="Arial" w:hAnsi="Arial" w:cs="Arial"/>
                <w:sz w:val="20"/>
                <w:szCs w:val="20"/>
              </w:rPr>
              <w:t>tổ</w:t>
            </w:r>
            <w:r w:rsidRPr="0029209C">
              <w:rPr>
                <w:rFonts w:ascii="Arial" w:hAnsi="Arial" w:cs="Arial"/>
                <w:sz w:val="20"/>
                <w:szCs w:val="20"/>
              </w:rPr>
              <w:t xml:space="preserve"> </w:t>
            </w:r>
            <w:r w:rsidRPr="0029209C">
              <w:rPr>
                <w:rStyle w:val="spi"/>
                <w:rFonts w:ascii="Arial" w:hAnsi="Arial" w:cs="Arial"/>
                <w:sz w:val="20"/>
                <w:szCs w:val="20"/>
              </w:rPr>
              <w:t>quốc</w:t>
            </w:r>
            <w:r w:rsidRPr="0029209C">
              <w:rPr>
                <w:rFonts w:ascii="Arial" w:hAnsi="Arial" w:cs="Arial"/>
                <w:sz w:val="20"/>
                <w:szCs w:val="20"/>
              </w:rPr>
              <w:t xml:space="preserve"> </w:t>
            </w:r>
            <w:r w:rsidRPr="0029209C">
              <w:rPr>
                <w:rStyle w:val="spi"/>
                <w:rFonts w:ascii="Arial" w:hAnsi="Arial" w:cs="Arial"/>
                <w:sz w:val="20"/>
                <w:szCs w:val="20"/>
              </w:rPr>
              <w:t>Việt</w:t>
            </w:r>
            <w:r w:rsidRPr="0029209C">
              <w:rPr>
                <w:rFonts w:ascii="Arial" w:hAnsi="Arial" w:cs="Arial"/>
                <w:sz w:val="20"/>
                <w:szCs w:val="20"/>
              </w:rPr>
              <w:t xml:space="preserve"> </w:t>
            </w:r>
            <w:r w:rsidRPr="0029209C">
              <w:rPr>
                <w:rStyle w:val="spi"/>
                <w:rFonts w:ascii="Arial" w:hAnsi="Arial" w:cs="Arial"/>
                <w:sz w:val="20"/>
                <w:szCs w:val="20"/>
              </w:rPr>
              <w:t>Nam</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Cơ</w:t>
            </w:r>
            <w:r w:rsidRPr="0029209C">
              <w:rPr>
                <w:rFonts w:ascii="Arial" w:hAnsi="Arial" w:cs="Arial"/>
                <w:sz w:val="20"/>
                <w:szCs w:val="20"/>
              </w:rPr>
              <w:t xml:space="preserve"> quan </w:t>
            </w:r>
            <w:r w:rsidRPr="0029209C">
              <w:rPr>
                <w:rStyle w:val="spi"/>
                <w:rFonts w:ascii="Arial" w:hAnsi="Arial" w:cs="Arial"/>
                <w:sz w:val="20"/>
                <w:szCs w:val="20"/>
              </w:rPr>
              <w:t>Trung</w:t>
            </w:r>
            <w:r w:rsidRPr="0029209C">
              <w:rPr>
                <w:rFonts w:ascii="Arial" w:hAnsi="Arial" w:cs="Arial"/>
                <w:sz w:val="20"/>
                <w:szCs w:val="20"/>
              </w:rPr>
              <w:t xml:space="preserve"> </w:t>
            </w:r>
            <w:r w:rsidRPr="0029209C">
              <w:rPr>
                <w:rStyle w:val="spi"/>
                <w:rFonts w:ascii="Arial" w:hAnsi="Arial" w:cs="Arial"/>
                <w:sz w:val="20"/>
                <w:szCs w:val="20"/>
              </w:rPr>
              <w:t>ương</w:t>
            </w:r>
            <w:r w:rsidRPr="0029209C">
              <w:rPr>
                <w:rFonts w:ascii="Arial" w:hAnsi="Arial" w:cs="Arial"/>
                <w:sz w:val="20"/>
                <w:szCs w:val="20"/>
              </w:rPr>
              <w:t xml:space="preserve"> </w:t>
            </w:r>
            <w:r w:rsidRPr="0029209C">
              <w:rPr>
                <w:rStyle w:val="spi"/>
                <w:rFonts w:ascii="Arial" w:hAnsi="Arial" w:cs="Arial"/>
                <w:sz w:val="20"/>
                <w:szCs w:val="20"/>
              </w:rPr>
              <w:t>của</w:t>
            </w:r>
            <w:r w:rsidRPr="0029209C">
              <w:rPr>
                <w:rFonts w:ascii="Arial" w:hAnsi="Arial" w:cs="Arial"/>
                <w:sz w:val="20"/>
                <w:szCs w:val="20"/>
              </w:rPr>
              <w:t xml:space="preserve"> các đoàn thể;</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Hội</w:t>
            </w:r>
            <w:r w:rsidRPr="0029209C">
              <w:rPr>
                <w:rFonts w:ascii="Arial" w:hAnsi="Arial" w:cs="Arial"/>
                <w:sz w:val="20"/>
                <w:szCs w:val="20"/>
              </w:rPr>
              <w:t xml:space="preserve"> </w:t>
            </w:r>
            <w:r w:rsidRPr="0029209C">
              <w:rPr>
                <w:rStyle w:val="spi"/>
                <w:rFonts w:ascii="Arial" w:hAnsi="Arial" w:cs="Arial"/>
                <w:sz w:val="20"/>
                <w:szCs w:val="20"/>
              </w:rPr>
              <w:t>đồng</w:t>
            </w:r>
            <w:r w:rsidRPr="0029209C">
              <w:rPr>
                <w:rFonts w:ascii="Arial" w:hAnsi="Arial" w:cs="Arial"/>
                <w:sz w:val="20"/>
                <w:szCs w:val="20"/>
              </w:rPr>
              <w:t xml:space="preserve"> nhân </w:t>
            </w:r>
            <w:r w:rsidRPr="0029209C">
              <w:rPr>
                <w:rStyle w:val="spi"/>
                <w:rFonts w:ascii="Arial" w:hAnsi="Arial" w:cs="Arial"/>
                <w:sz w:val="20"/>
                <w:szCs w:val="20"/>
              </w:rPr>
              <w:t>dân</w:t>
            </w:r>
            <w:r w:rsidRPr="0029209C">
              <w:rPr>
                <w:rFonts w:ascii="Arial" w:hAnsi="Arial" w:cs="Arial"/>
                <w:sz w:val="20"/>
                <w:szCs w:val="20"/>
              </w:rPr>
              <w:t xml:space="preserve">, UBND các </w:t>
            </w:r>
            <w:r w:rsidRPr="0029209C">
              <w:rPr>
                <w:rStyle w:val="spi"/>
                <w:rFonts w:ascii="Arial" w:hAnsi="Arial" w:cs="Arial"/>
                <w:sz w:val="20"/>
                <w:szCs w:val="20"/>
              </w:rPr>
              <w:t>tỉnh</w:t>
            </w:r>
            <w:r w:rsidRPr="0029209C">
              <w:rPr>
                <w:rFonts w:ascii="Arial" w:hAnsi="Arial" w:cs="Arial"/>
                <w:sz w:val="20"/>
                <w:szCs w:val="20"/>
              </w:rPr>
              <w:t xml:space="preserve">, thành </w:t>
            </w:r>
            <w:r w:rsidRPr="0029209C">
              <w:rPr>
                <w:rStyle w:val="spi"/>
                <w:rFonts w:ascii="Arial" w:hAnsi="Arial" w:cs="Arial"/>
                <w:sz w:val="20"/>
                <w:szCs w:val="20"/>
              </w:rPr>
              <w:t>phố</w:t>
            </w:r>
            <w:r w:rsidRPr="0029209C">
              <w:rPr>
                <w:rFonts w:ascii="Arial" w:hAnsi="Arial" w:cs="Arial"/>
                <w:sz w:val="20"/>
                <w:szCs w:val="20"/>
              </w:rPr>
              <w:t xml:space="preserve"> trực thuộc Trung ương;</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Sở</w:t>
            </w:r>
            <w:r w:rsidRPr="0029209C">
              <w:rPr>
                <w:rFonts w:ascii="Arial" w:hAnsi="Arial" w:cs="Arial"/>
                <w:sz w:val="20"/>
                <w:szCs w:val="20"/>
              </w:rPr>
              <w:t xml:space="preserve"> Tài chính các tỉnh, thành phố trực </w:t>
            </w:r>
            <w:r w:rsidRPr="0029209C">
              <w:rPr>
                <w:rStyle w:val="spi"/>
                <w:rFonts w:ascii="Arial" w:hAnsi="Arial" w:cs="Arial"/>
                <w:sz w:val="20"/>
                <w:szCs w:val="20"/>
              </w:rPr>
              <w:t>thuộc</w:t>
            </w:r>
            <w:r w:rsidRPr="0029209C">
              <w:rPr>
                <w:rFonts w:ascii="Arial" w:hAnsi="Arial" w:cs="Arial"/>
                <w:sz w:val="20"/>
                <w:szCs w:val="20"/>
              </w:rPr>
              <w:t xml:space="preserve"> Trung </w:t>
            </w:r>
            <w:r w:rsidRPr="0029209C">
              <w:rPr>
                <w:rStyle w:val="spi"/>
                <w:rFonts w:ascii="Arial" w:hAnsi="Arial" w:cs="Arial"/>
                <w:sz w:val="20"/>
                <w:szCs w:val="20"/>
              </w:rPr>
              <w:t>ương</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KBNN</w:t>
            </w:r>
            <w:r w:rsidRPr="0029209C">
              <w:rPr>
                <w:rFonts w:ascii="Arial" w:hAnsi="Arial" w:cs="Arial"/>
                <w:sz w:val="20"/>
                <w:szCs w:val="20"/>
              </w:rPr>
              <w:t xml:space="preserve"> </w:t>
            </w:r>
            <w:r w:rsidRPr="0029209C">
              <w:rPr>
                <w:rStyle w:val="spi"/>
                <w:rFonts w:ascii="Arial" w:hAnsi="Arial" w:cs="Arial"/>
                <w:sz w:val="20"/>
                <w:szCs w:val="20"/>
              </w:rPr>
              <w:t>các</w:t>
            </w:r>
            <w:r w:rsidRPr="0029209C">
              <w:rPr>
                <w:rFonts w:ascii="Arial" w:hAnsi="Arial" w:cs="Arial"/>
                <w:sz w:val="20"/>
                <w:szCs w:val="20"/>
              </w:rPr>
              <w:t xml:space="preserve"> </w:t>
            </w:r>
            <w:r w:rsidRPr="0029209C">
              <w:rPr>
                <w:rStyle w:val="spi"/>
                <w:rFonts w:ascii="Arial" w:hAnsi="Arial" w:cs="Arial"/>
                <w:sz w:val="20"/>
                <w:szCs w:val="20"/>
              </w:rPr>
              <w:t>khu</w:t>
            </w:r>
            <w:r w:rsidRPr="0029209C">
              <w:rPr>
                <w:rFonts w:ascii="Arial" w:hAnsi="Arial" w:cs="Arial"/>
                <w:sz w:val="20"/>
                <w:szCs w:val="20"/>
              </w:rPr>
              <w:t xml:space="preserve"> vực;</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Cục</w:t>
            </w:r>
            <w:r w:rsidRPr="0029209C">
              <w:rPr>
                <w:rFonts w:ascii="Arial" w:hAnsi="Arial" w:cs="Arial"/>
                <w:sz w:val="20"/>
                <w:szCs w:val="20"/>
              </w:rPr>
              <w:t xml:space="preserve"> Kiểm tra văn bản và Quản lý xử lý vi phạm hành chính, Bộ Tư </w:t>
            </w:r>
            <w:r w:rsidRPr="0029209C">
              <w:rPr>
                <w:rStyle w:val="spi"/>
                <w:rFonts w:ascii="Arial" w:hAnsi="Arial" w:cs="Arial"/>
                <w:sz w:val="20"/>
                <w:szCs w:val="20"/>
              </w:rPr>
              <w:t>pháp</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Công </w:t>
            </w:r>
            <w:r w:rsidRPr="0029209C">
              <w:rPr>
                <w:rStyle w:val="spi"/>
                <w:rFonts w:ascii="Arial" w:hAnsi="Arial" w:cs="Arial"/>
                <w:sz w:val="20"/>
                <w:szCs w:val="20"/>
              </w:rPr>
              <w:t>báo</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Cổng</w:t>
            </w:r>
            <w:r w:rsidRPr="0029209C">
              <w:rPr>
                <w:rFonts w:ascii="Arial" w:hAnsi="Arial" w:cs="Arial"/>
                <w:sz w:val="20"/>
                <w:szCs w:val="20"/>
              </w:rPr>
              <w:t xml:space="preserve"> thông tin điện tử </w:t>
            </w:r>
            <w:r w:rsidRPr="0029209C">
              <w:rPr>
                <w:rStyle w:val="spi"/>
                <w:rFonts w:ascii="Arial" w:hAnsi="Arial" w:cs="Arial"/>
                <w:sz w:val="20"/>
                <w:szCs w:val="20"/>
              </w:rPr>
              <w:t>Chính</w:t>
            </w:r>
            <w:r w:rsidRPr="0029209C">
              <w:rPr>
                <w:rFonts w:ascii="Arial" w:hAnsi="Arial" w:cs="Arial"/>
                <w:sz w:val="20"/>
                <w:szCs w:val="20"/>
              </w:rPr>
              <w:t xml:space="preserve"> </w:t>
            </w:r>
            <w:r w:rsidRPr="0029209C">
              <w:rPr>
                <w:rStyle w:val="spi"/>
                <w:rFonts w:ascii="Arial" w:hAnsi="Arial" w:cs="Arial"/>
                <w:sz w:val="20"/>
                <w:szCs w:val="20"/>
              </w:rPr>
              <w:t>phủ</w:t>
            </w:r>
            <w:r w:rsidRPr="0029209C">
              <w:rPr>
                <w:rFonts w:ascii="Arial" w:hAnsi="Arial" w:cs="Arial"/>
                <w:sz w:val="20"/>
                <w:szCs w:val="20"/>
              </w:rPr>
              <w:t>;</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Cổng</w:t>
            </w:r>
            <w:r w:rsidRPr="0029209C">
              <w:rPr>
                <w:rFonts w:ascii="Arial" w:hAnsi="Arial" w:cs="Arial"/>
                <w:sz w:val="20"/>
                <w:szCs w:val="20"/>
              </w:rPr>
              <w:t xml:space="preserve"> </w:t>
            </w:r>
            <w:r w:rsidRPr="0029209C">
              <w:rPr>
                <w:rStyle w:val="spi"/>
                <w:rFonts w:ascii="Arial" w:hAnsi="Arial" w:cs="Arial"/>
                <w:sz w:val="20"/>
                <w:szCs w:val="20"/>
              </w:rPr>
              <w:t>thông</w:t>
            </w:r>
            <w:r w:rsidRPr="0029209C">
              <w:rPr>
                <w:rFonts w:ascii="Arial" w:hAnsi="Arial" w:cs="Arial"/>
                <w:sz w:val="20"/>
                <w:szCs w:val="20"/>
              </w:rPr>
              <w:t xml:space="preserve"> </w:t>
            </w:r>
            <w:r w:rsidRPr="0029209C">
              <w:rPr>
                <w:rStyle w:val="spi"/>
                <w:rFonts w:ascii="Arial" w:hAnsi="Arial" w:cs="Arial"/>
                <w:sz w:val="20"/>
                <w:szCs w:val="20"/>
              </w:rPr>
              <w:t>tin</w:t>
            </w:r>
            <w:r w:rsidRPr="0029209C">
              <w:rPr>
                <w:rFonts w:ascii="Arial" w:hAnsi="Arial" w:cs="Arial"/>
                <w:sz w:val="20"/>
                <w:szCs w:val="20"/>
              </w:rPr>
              <w:t xml:space="preserve"> </w:t>
            </w:r>
            <w:r w:rsidRPr="0029209C">
              <w:rPr>
                <w:rStyle w:val="spi"/>
                <w:rFonts w:ascii="Arial" w:hAnsi="Arial" w:cs="Arial"/>
                <w:sz w:val="20"/>
                <w:szCs w:val="20"/>
              </w:rPr>
              <w:t>điện</w:t>
            </w:r>
            <w:r w:rsidRPr="0029209C">
              <w:rPr>
                <w:rFonts w:ascii="Arial" w:hAnsi="Arial" w:cs="Arial"/>
                <w:sz w:val="20"/>
                <w:szCs w:val="20"/>
              </w:rPr>
              <w:t xml:space="preserve"> </w:t>
            </w:r>
            <w:r w:rsidRPr="0029209C">
              <w:rPr>
                <w:rStyle w:val="spi"/>
                <w:rFonts w:ascii="Arial" w:hAnsi="Arial" w:cs="Arial"/>
                <w:sz w:val="20"/>
                <w:szCs w:val="20"/>
              </w:rPr>
              <w:t>tử</w:t>
            </w:r>
            <w:r w:rsidRPr="0029209C">
              <w:rPr>
                <w:rFonts w:ascii="Arial" w:hAnsi="Arial" w:cs="Arial"/>
                <w:sz w:val="20"/>
                <w:szCs w:val="20"/>
              </w:rPr>
              <w:t xml:space="preserve"> Bộ Tài chính;</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Các</w:t>
            </w:r>
            <w:r w:rsidRPr="0029209C">
              <w:rPr>
                <w:rFonts w:ascii="Arial" w:hAnsi="Arial" w:cs="Arial"/>
                <w:sz w:val="20"/>
                <w:szCs w:val="20"/>
              </w:rPr>
              <w:t xml:space="preserve"> đơn vị thuộc và trực thuộc </w:t>
            </w:r>
            <w:r w:rsidRPr="0029209C">
              <w:rPr>
                <w:rStyle w:val="spi"/>
                <w:rFonts w:ascii="Arial" w:hAnsi="Arial" w:cs="Arial"/>
                <w:sz w:val="20"/>
                <w:szCs w:val="20"/>
              </w:rPr>
              <w:t>Bộ</w:t>
            </w:r>
            <w:r w:rsidRPr="0029209C">
              <w:rPr>
                <w:rFonts w:ascii="Arial" w:hAnsi="Arial" w:cs="Arial"/>
                <w:sz w:val="20"/>
                <w:szCs w:val="20"/>
              </w:rPr>
              <w:t xml:space="preserve"> </w:t>
            </w:r>
            <w:r w:rsidRPr="0029209C">
              <w:rPr>
                <w:rStyle w:val="spi"/>
                <w:rFonts w:ascii="Arial" w:hAnsi="Arial" w:cs="Arial"/>
                <w:sz w:val="20"/>
                <w:szCs w:val="20"/>
              </w:rPr>
              <w:t>Tài</w:t>
            </w:r>
            <w:r w:rsidRPr="0029209C">
              <w:rPr>
                <w:rFonts w:ascii="Arial" w:hAnsi="Arial" w:cs="Arial"/>
                <w:sz w:val="20"/>
                <w:szCs w:val="20"/>
              </w:rPr>
              <w:t xml:space="preserve"> chính;</w:t>
            </w:r>
          </w:p>
          <w:p w:rsidR="0093336A" w:rsidRPr="0029209C" w:rsidRDefault="0093336A" w:rsidP="0029209C">
            <w:pPr>
              <w:pStyle w:val="NormalWeb"/>
              <w:spacing w:before="0" w:beforeAutospacing="0" w:after="0" w:afterAutospacing="0"/>
              <w:rPr>
                <w:rFonts w:ascii="Arial" w:hAnsi="Arial" w:cs="Arial"/>
                <w:sz w:val="20"/>
                <w:szCs w:val="20"/>
              </w:rPr>
            </w:pPr>
            <w:r w:rsidRPr="0029209C">
              <w:rPr>
                <w:rFonts w:ascii="Arial" w:hAnsi="Arial" w:cs="Arial"/>
                <w:sz w:val="20"/>
                <w:szCs w:val="20"/>
              </w:rPr>
              <w:t xml:space="preserve">- </w:t>
            </w:r>
            <w:r w:rsidRPr="0029209C">
              <w:rPr>
                <w:rStyle w:val="spi"/>
                <w:rFonts w:ascii="Arial" w:hAnsi="Arial" w:cs="Arial"/>
                <w:sz w:val="20"/>
                <w:szCs w:val="20"/>
              </w:rPr>
              <w:t>Lưu:</w:t>
            </w:r>
            <w:r w:rsidR="006E7A58">
              <w:rPr>
                <w:rFonts w:ascii="Arial" w:hAnsi="Arial" w:cs="Arial"/>
                <w:sz w:val="20"/>
                <w:szCs w:val="20"/>
              </w:rPr>
              <w:t xml:space="preserve"> VT,</w:t>
            </w:r>
            <w:r w:rsidRPr="0029209C">
              <w:rPr>
                <w:rFonts w:ascii="Arial" w:hAnsi="Arial" w:cs="Arial"/>
                <w:sz w:val="20"/>
                <w:szCs w:val="20"/>
              </w:rPr>
              <w:t xml:space="preserve"> KBNN </w:t>
            </w:r>
            <w:r w:rsidR="0029209C" w:rsidRPr="0029209C">
              <w:rPr>
                <w:rFonts w:ascii="Arial" w:hAnsi="Arial" w:cs="Arial"/>
                <w:color w:val="304584"/>
                <w:sz w:val="20"/>
                <w:szCs w:val="20"/>
              </w:rPr>
              <w:t>(1</w:t>
            </w:r>
            <w:r w:rsidRPr="0029209C">
              <w:rPr>
                <w:rFonts w:ascii="Arial" w:hAnsi="Arial" w:cs="Arial"/>
                <w:color w:val="304584"/>
                <w:sz w:val="20"/>
                <w:szCs w:val="20"/>
              </w:rPr>
              <w:t xml:space="preserve">20 </w:t>
            </w:r>
            <w:r w:rsidRPr="0029209C">
              <w:rPr>
                <w:rFonts w:ascii="Arial" w:hAnsi="Arial" w:cs="Arial"/>
                <w:sz w:val="20"/>
                <w:szCs w:val="20"/>
              </w:rPr>
              <w:t>bản).</w:t>
            </w:r>
          </w:p>
          <w:p w:rsidR="005E57E1" w:rsidRPr="0029209C" w:rsidRDefault="005E57E1" w:rsidP="0029209C">
            <w:pPr>
              <w:spacing w:after="0" w:line="240" w:lineRule="auto"/>
              <w:rPr>
                <w:rFonts w:ascii="Arial" w:hAnsi="Arial" w:cs="Arial"/>
                <w:color w:val="000000" w:themeColor="text1"/>
                <w:sz w:val="20"/>
                <w:szCs w:val="20"/>
              </w:rPr>
            </w:pPr>
          </w:p>
        </w:tc>
        <w:tc>
          <w:tcPr>
            <w:tcW w:w="1786" w:type="pct"/>
          </w:tcPr>
          <w:p w:rsidR="005E57E1" w:rsidRPr="0029209C" w:rsidRDefault="00C21F15" w:rsidP="0029209C">
            <w:pPr>
              <w:spacing w:after="0" w:line="240" w:lineRule="auto"/>
              <w:jc w:val="center"/>
              <w:rPr>
                <w:rFonts w:ascii="Arial" w:hAnsi="Arial" w:cs="Arial"/>
                <w:color w:val="000000" w:themeColor="text1"/>
                <w:sz w:val="20"/>
                <w:szCs w:val="20"/>
              </w:rPr>
            </w:pPr>
            <w:r w:rsidRPr="0029209C">
              <w:rPr>
                <w:rFonts w:ascii="Arial" w:hAnsi="Arial" w:cs="Arial"/>
                <w:b/>
                <w:color w:val="000000" w:themeColor="text1"/>
                <w:sz w:val="20"/>
                <w:szCs w:val="20"/>
              </w:rPr>
              <w:t>KT. BỘ TRƯỞNG</w:t>
            </w:r>
          </w:p>
          <w:p w:rsidR="005E57E1" w:rsidRPr="0029209C" w:rsidRDefault="00C21F15" w:rsidP="0029209C">
            <w:pPr>
              <w:spacing w:after="0" w:line="240" w:lineRule="auto"/>
              <w:jc w:val="center"/>
              <w:rPr>
                <w:rFonts w:ascii="Arial" w:hAnsi="Arial" w:cs="Arial"/>
                <w:color w:val="000000" w:themeColor="text1"/>
                <w:sz w:val="20"/>
                <w:szCs w:val="20"/>
              </w:rPr>
            </w:pPr>
            <w:r w:rsidRPr="0029209C">
              <w:rPr>
                <w:rFonts w:ascii="Arial" w:hAnsi="Arial" w:cs="Arial"/>
                <w:b/>
                <w:color w:val="000000" w:themeColor="text1"/>
                <w:sz w:val="20"/>
                <w:szCs w:val="20"/>
              </w:rPr>
              <w:t>THỨ TRƯỞNG</w:t>
            </w:r>
            <w:r w:rsidRPr="0029209C">
              <w:rPr>
                <w:rFonts w:ascii="Arial" w:hAnsi="Arial" w:cs="Arial"/>
                <w:color w:val="000000" w:themeColor="text1"/>
                <w:sz w:val="20"/>
                <w:szCs w:val="20"/>
              </w:rPr>
              <w:br/>
            </w:r>
            <w:r w:rsidRPr="0029209C">
              <w:rPr>
                <w:rFonts w:ascii="Arial" w:hAnsi="Arial" w:cs="Arial"/>
                <w:color w:val="000000" w:themeColor="text1"/>
                <w:sz w:val="20"/>
                <w:szCs w:val="20"/>
              </w:rPr>
              <w:br/>
            </w:r>
            <w:r w:rsidRPr="0029209C">
              <w:rPr>
                <w:rFonts w:ascii="Arial" w:hAnsi="Arial" w:cs="Arial"/>
                <w:color w:val="000000" w:themeColor="text1"/>
                <w:sz w:val="20"/>
                <w:szCs w:val="20"/>
              </w:rPr>
              <w:br/>
            </w:r>
            <w:r w:rsidRPr="0029209C">
              <w:rPr>
                <w:rFonts w:ascii="Arial" w:hAnsi="Arial" w:cs="Arial"/>
                <w:color w:val="000000" w:themeColor="text1"/>
                <w:sz w:val="20"/>
                <w:szCs w:val="20"/>
              </w:rPr>
              <w:br/>
            </w:r>
            <w:r w:rsidRPr="0029209C">
              <w:rPr>
                <w:rFonts w:ascii="Arial" w:hAnsi="Arial" w:cs="Arial"/>
                <w:color w:val="000000" w:themeColor="text1"/>
                <w:sz w:val="20"/>
                <w:szCs w:val="20"/>
              </w:rPr>
              <w:br/>
            </w:r>
            <w:r w:rsidRPr="0029209C">
              <w:rPr>
                <w:rFonts w:ascii="Arial" w:hAnsi="Arial" w:cs="Arial"/>
                <w:color w:val="000000" w:themeColor="text1"/>
                <w:sz w:val="20"/>
                <w:szCs w:val="20"/>
              </w:rPr>
              <w:br/>
            </w:r>
            <w:r w:rsidRPr="0029209C">
              <w:rPr>
                <w:rFonts w:ascii="Arial" w:hAnsi="Arial" w:cs="Arial"/>
                <w:color w:val="000000" w:themeColor="text1"/>
                <w:sz w:val="20"/>
                <w:szCs w:val="20"/>
              </w:rPr>
              <w:br/>
            </w:r>
            <w:r w:rsidRPr="0029209C">
              <w:rPr>
                <w:rFonts w:ascii="Arial" w:hAnsi="Arial" w:cs="Arial"/>
                <w:color w:val="000000" w:themeColor="text1"/>
                <w:sz w:val="20"/>
                <w:szCs w:val="20"/>
              </w:rPr>
              <w:br/>
            </w:r>
            <w:r w:rsidR="0093336A" w:rsidRPr="0029209C">
              <w:rPr>
                <w:rFonts w:ascii="Arial" w:hAnsi="Arial" w:cs="Arial"/>
                <w:b/>
                <w:color w:val="000000" w:themeColor="text1"/>
                <w:sz w:val="20"/>
                <w:szCs w:val="20"/>
              </w:rPr>
              <w:t>Cao Anh Tuấn</w:t>
            </w:r>
          </w:p>
        </w:tc>
      </w:tr>
    </w:tbl>
    <w:p w:rsidR="009D61AA" w:rsidRPr="0029209C" w:rsidRDefault="009D61AA" w:rsidP="0029209C">
      <w:pPr>
        <w:spacing w:after="0" w:line="240" w:lineRule="auto"/>
        <w:jc w:val="center"/>
        <w:rPr>
          <w:rFonts w:ascii="Arial" w:hAnsi="Arial" w:cs="Arial"/>
          <w:color w:val="000000" w:themeColor="text1"/>
          <w:sz w:val="20"/>
          <w:szCs w:val="20"/>
        </w:rPr>
      </w:pPr>
    </w:p>
    <w:sectPr w:rsidR="009D61AA" w:rsidRPr="0029209C" w:rsidSect="005C0029">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48" w:rsidRDefault="003E0048">
      <w:pPr>
        <w:spacing w:after="0" w:line="240" w:lineRule="auto"/>
      </w:pPr>
      <w:r>
        <w:separator/>
      </w:r>
    </w:p>
  </w:endnote>
  <w:endnote w:type="continuationSeparator" w:id="0">
    <w:p w:rsidR="003E0048" w:rsidRDefault="003E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48" w:rsidRDefault="003E0048">
      <w:pPr>
        <w:spacing w:after="0" w:line="240" w:lineRule="auto"/>
      </w:pPr>
      <w:r>
        <w:separator/>
      </w:r>
    </w:p>
  </w:footnote>
  <w:footnote w:type="continuationSeparator" w:id="0">
    <w:p w:rsidR="003E0048" w:rsidRDefault="003E0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E1"/>
    <w:rsid w:val="000E0727"/>
    <w:rsid w:val="00152E6C"/>
    <w:rsid w:val="001840D1"/>
    <w:rsid w:val="00253746"/>
    <w:rsid w:val="0029209C"/>
    <w:rsid w:val="00373361"/>
    <w:rsid w:val="00387109"/>
    <w:rsid w:val="003D2B5B"/>
    <w:rsid w:val="003E0048"/>
    <w:rsid w:val="00412B92"/>
    <w:rsid w:val="00587264"/>
    <w:rsid w:val="005C0029"/>
    <w:rsid w:val="005E57E1"/>
    <w:rsid w:val="005E7717"/>
    <w:rsid w:val="00672E71"/>
    <w:rsid w:val="006E7A58"/>
    <w:rsid w:val="0091609E"/>
    <w:rsid w:val="009311CD"/>
    <w:rsid w:val="0093336A"/>
    <w:rsid w:val="009B514E"/>
    <w:rsid w:val="009D61AA"/>
    <w:rsid w:val="00A35F29"/>
    <w:rsid w:val="00C21F15"/>
    <w:rsid w:val="00CD624D"/>
    <w:rsid w:val="00CE7AC3"/>
    <w:rsid w:val="00DE7494"/>
    <w:rsid w:val="00E453AA"/>
    <w:rsid w:val="00F6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CFDD5-7B8D-4389-9827-268138F5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1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29"/>
  </w:style>
  <w:style w:type="paragraph" w:styleId="Footer">
    <w:name w:val="footer"/>
    <w:basedOn w:val="Normal"/>
    <w:link w:val="FooterChar"/>
    <w:uiPriority w:val="99"/>
    <w:unhideWhenUsed/>
    <w:rsid w:val="005C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29"/>
  </w:style>
  <w:style w:type="character" w:styleId="Hyperlink">
    <w:name w:val="Hyperlink"/>
    <w:basedOn w:val="DefaultParagraphFont"/>
    <w:uiPriority w:val="99"/>
    <w:semiHidden/>
    <w:unhideWhenUsed/>
    <w:rsid w:val="0093336A"/>
    <w:rPr>
      <w:color w:val="0000FF"/>
      <w:u w:val="single"/>
    </w:rPr>
  </w:style>
  <w:style w:type="paragraph" w:styleId="NormalWeb">
    <w:name w:val="Normal (Web)"/>
    <w:basedOn w:val="Normal"/>
    <w:uiPriority w:val="99"/>
    <w:semiHidden/>
    <w:unhideWhenUsed/>
    <w:rsid w:val="009333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i">
    <w:name w:val="spi"/>
    <w:basedOn w:val="DefaultParagraphFont"/>
    <w:rsid w:val="00933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9246">
      <w:bodyDiv w:val="1"/>
      <w:marLeft w:val="0"/>
      <w:marRight w:val="0"/>
      <w:marTop w:val="0"/>
      <w:marBottom w:val="0"/>
      <w:divBdr>
        <w:top w:val="none" w:sz="0" w:space="0" w:color="auto"/>
        <w:left w:val="none" w:sz="0" w:space="0" w:color="auto"/>
        <w:bottom w:val="none" w:sz="0" w:space="0" w:color="auto"/>
        <w:right w:val="none" w:sz="0" w:space="0" w:color="auto"/>
      </w:divBdr>
    </w:div>
    <w:div w:id="194391218">
      <w:bodyDiv w:val="1"/>
      <w:marLeft w:val="0"/>
      <w:marRight w:val="0"/>
      <w:marTop w:val="0"/>
      <w:marBottom w:val="0"/>
      <w:divBdr>
        <w:top w:val="none" w:sz="0" w:space="0" w:color="auto"/>
        <w:left w:val="none" w:sz="0" w:space="0" w:color="auto"/>
        <w:bottom w:val="none" w:sz="0" w:space="0" w:color="auto"/>
        <w:right w:val="none" w:sz="0" w:space="0" w:color="auto"/>
      </w:divBdr>
    </w:div>
    <w:div w:id="315963149">
      <w:bodyDiv w:val="1"/>
      <w:marLeft w:val="0"/>
      <w:marRight w:val="0"/>
      <w:marTop w:val="0"/>
      <w:marBottom w:val="0"/>
      <w:divBdr>
        <w:top w:val="none" w:sz="0" w:space="0" w:color="auto"/>
        <w:left w:val="none" w:sz="0" w:space="0" w:color="auto"/>
        <w:bottom w:val="none" w:sz="0" w:space="0" w:color="auto"/>
        <w:right w:val="none" w:sz="0" w:space="0" w:color="auto"/>
      </w:divBdr>
    </w:div>
    <w:div w:id="860049453">
      <w:bodyDiv w:val="1"/>
      <w:marLeft w:val="0"/>
      <w:marRight w:val="0"/>
      <w:marTop w:val="0"/>
      <w:marBottom w:val="0"/>
      <w:divBdr>
        <w:top w:val="none" w:sz="0" w:space="0" w:color="auto"/>
        <w:left w:val="none" w:sz="0" w:space="0" w:color="auto"/>
        <w:bottom w:val="none" w:sz="0" w:space="0" w:color="auto"/>
        <w:right w:val="none" w:sz="0" w:space="0" w:color="auto"/>
      </w:divBdr>
    </w:div>
    <w:div w:id="1452624837">
      <w:bodyDiv w:val="1"/>
      <w:marLeft w:val="0"/>
      <w:marRight w:val="0"/>
      <w:marTop w:val="0"/>
      <w:marBottom w:val="0"/>
      <w:divBdr>
        <w:top w:val="none" w:sz="0" w:space="0" w:color="auto"/>
        <w:left w:val="none" w:sz="0" w:space="0" w:color="auto"/>
        <w:bottom w:val="none" w:sz="0" w:space="0" w:color="auto"/>
        <w:right w:val="none" w:sz="0" w:space="0" w:color="auto"/>
      </w:divBdr>
    </w:div>
    <w:div w:id="1685352721">
      <w:bodyDiv w:val="1"/>
      <w:marLeft w:val="0"/>
      <w:marRight w:val="0"/>
      <w:marTop w:val="0"/>
      <w:marBottom w:val="0"/>
      <w:divBdr>
        <w:top w:val="none" w:sz="0" w:space="0" w:color="auto"/>
        <w:left w:val="none" w:sz="0" w:space="0" w:color="auto"/>
        <w:bottom w:val="none" w:sz="0" w:space="0" w:color="auto"/>
        <w:right w:val="none" w:sz="0" w:space="0" w:color="auto"/>
      </w:divBdr>
    </w:div>
    <w:div w:id="1861772012">
      <w:bodyDiv w:val="1"/>
      <w:marLeft w:val="0"/>
      <w:marRight w:val="0"/>
      <w:marTop w:val="0"/>
      <w:marBottom w:val="0"/>
      <w:divBdr>
        <w:top w:val="none" w:sz="0" w:space="0" w:color="auto"/>
        <w:left w:val="none" w:sz="0" w:space="0" w:color="auto"/>
        <w:bottom w:val="none" w:sz="0" w:space="0" w:color="auto"/>
        <w:right w:val="none" w:sz="0" w:space="0" w:color="auto"/>
      </w:divBdr>
    </w:div>
    <w:div w:id="1898083488">
      <w:bodyDiv w:val="1"/>
      <w:marLeft w:val="0"/>
      <w:marRight w:val="0"/>
      <w:marTop w:val="0"/>
      <w:marBottom w:val="0"/>
      <w:divBdr>
        <w:top w:val="none" w:sz="0" w:space="0" w:color="auto"/>
        <w:left w:val="none" w:sz="0" w:space="0" w:color="auto"/>
        <w:bottom w:val="none" w:sz="0" w:space="0" w:color="auto"/>
        <w:right w:val="none" w:sz="0" w:space="0" w:color="auto"/>
      </w:divBdr>
    </w:div>
    <w:div w:id="199283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8A215-7008-4CFD-B551-B6B1DCE7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2025-12-25T04:22:00Z</dcterms:created>
  <dcterms:modified xsi:type="dcterms:W3CDTF">2025-12-25T07:47:00Z</dcterms:modified>
</cp:coreProperties>
</file>