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FB4620" w:rsidRPr="00B175C6" w14:paraId="3679BEC0" w14:textId="77777777" w:rsidTr="00B50BD3">
        <w:tc>
          <w:tcPr>
            <w:tcW w:w="2037" w:type="pct"/>
          </w:tcPr>
          <w:p w14:paraId="1CDD3432" w14:textId="37D0F78F" w:rsidR="00FB4620" w:rsidRPr="00B175C6" w:rsidRDefault="00B517DE" w:rsidP="00B175C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267/2026/NĐ-CP</w:t>
            </w:r>
          </w:p>
        </w:tc>
        <w:tc>
          <w:tcPr>
            <w:tcW w:w="2963" w:type="pct"/>
          </w:tcPr>
          <w:p w14:paraId="6D2819FC" w14:textId="66B5FE71" w:rsidR="00FB4620" w:rsidRPr="00B175C6" w:rsidRDefault="00B517DE" w:rsidP="00B175C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75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6F2B7A6F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237F09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979C4B" w14:textId="7204D9C6" w:rsidR="00FB4620" w:rsidRPr="00B175C6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E53F391" w14:textId="77777777" w:rsidR="00FB4620" w:rsidRPr="00B175C6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và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br/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hành vi gây lãng phí và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br/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hành vi vi ph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11B85581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5B3C12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C05562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Ti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ng lãng phí s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110/2025/QH15;</w:t>
      </w:r>
    </w:p>
    <w:p w14:paraId="13C6C20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80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/2025/QH15;</w:t>
      </w:r>
    </w:p>
    <w:p w14:paraId="4B0D5DCE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Viên ch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129/2025/QH15;</w:t>
      </w:r>
    </w:p>
    <w:p w14:paraId="5AD47F9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252F1F25" w14:textId="77777777" w:rsidR="00FB4620" w:rsidRPr="00B175C6" w:rsidRDefault="00B517DE" w:rsidP="00B175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và b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i hành vi gây lãng phí và hành vi vi ph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i/>
          <w:color w:val="000000" w:themeColor="text1"/>
          <w:sz w:val="20"/>
          <w:szCs w:val="20"/>
        </w:rPr>
        <w:t>ng lãng phí</w:t>
      </w:r>
    </w:p>
    <w:p w14:paraId="243A2B54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CA81C5" w14:textId="67B4F57A" w:rsidR="00FB4620" w:rsidRPr="00B175C6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42E1264D" w14:textId="77777777" w:rsidR="00FB4620" w:rsidRPr="00B175C6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30018326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87399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8B9BCC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37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110/2025/QH15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lo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mi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hành vi gây lãng phí và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788C3DD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Nguyên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khác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72C49C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soát viên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181/2026/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NĐ-CP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91627E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20500D7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Cá nhân có hành vi gây lãng phí,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34FDF59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và trách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hành vi gây lãng phí và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DC4B37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hành vi gây lãng phí và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4E25F33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t,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0F038A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ABB51C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a hành vi gây lãng phí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lĩnh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trách;</w:t>
      </w:r>
    </w:p>
    <w:p w14:paraId="3F3D7F6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có hành vi gây lãng phí,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phí;</w:t>
      </w:r>
    </w:p>
    <w:p w14:paraId="354DAE7F" w14:textId="77777777" w:rsidR="00FB4620" w:rsidRDefault="00B517DE" w:rsidP="00B175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vi gây lãng phí gây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BE59FDB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2BFF54" w14:textId="77777777" w:rsidR="00FB4620" w:rsidRPr="00B175C6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2EEEE0B" w14:textId="77777777" w:rsidR="00FB4620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Ể</w:t>
      </w:r>
    </w:p>
    <w:p w14:paraId="34FAE02D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2EDC24" w14:textId="77777777" w:rsidR="00FB4620" w:rsidRPr="00B175C6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7BFFF2A" w14:textId="77777777" w:rsidR="00FB4620" w:rsidRDefault="00B517DE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8D749B9" w14:textId="77777777" w:rsidR="00B175C6" w:rsidRPr="00B175C6" w:rsidRDefault="00B175C6" w:rsidP="00B175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BAC969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4. Các trư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t, mi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t, gi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nh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ẹ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7192E3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mi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110/2025/QH15,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80/2025/QH15,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129/2025/QH15 và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C0FB3D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trên mà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không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các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đó là trái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xem xét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17375E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5. Áp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trong trư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5800D1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đã có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thì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hàn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 chính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các nguyên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C831F3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chưa có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cơ quan tham mưu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công tác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D509F6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6. Áp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u, c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 phó c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cơ quan,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c, đơn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y ra hành 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vi gây lãng phí 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cơ quan,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c, đơn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, doanh nghi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p, lĩnh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giao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lý, ph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trách</w:t>
      </w:r>
    </w:p>
    <w:p w14:paraId="0900DF6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buông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lãnh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y ra hành vi gây lãng phí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lĩnh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trách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187653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trách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ra hành vi gây lãng phí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03 năm.</w:t>
      </w:r>
    </w:p>
    <w:p w14:paraId="4242869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cáo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ra hành vi gây lãng phí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trên 03 năm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07 năm.</w:t>
      </w:r>
    </w:p>
    <w:p w14:paraId="0D31E44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cách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ra hành vi gây lãng phí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trên 07 năm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20 năm, chung thân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4E0FA7E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7. Áp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có hành vi gây lãng phí</w:t>
      </w:r>
    </w:p>
    <w:p w14:paraId="49A810A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Hình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trách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có hành vi gây lãng phí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4F94573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Có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gây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02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50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8E2FD27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Có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gây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50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75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và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71673A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vi không ban hành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ban hành,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sung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c, tiêu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phí, gây lãng phí.</w:t>
      </w:r>
    </w:p>
    <w:p w14:paraId="0360514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cáo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có hành vi gây lãng phí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11B92D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Đã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 mà tái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DD583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Có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gây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50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75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8CFC9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cách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AC3B7F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Đã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cáo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mà tái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75BA6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b) Có hành vi gây lãng phí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gây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trên 75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nhưng chưa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thôi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bãi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có thái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thu,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7DC1D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thôi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có hành vi gây lãng phí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F8116B7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Đã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cách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không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mà tái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512F4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Có hành vi gây lãng phí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gây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trên 75 tri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nhưng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không có thái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thu,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tăng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38F13C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8. Áp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có hành vi vi ph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trong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phòng,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lãng phí</w:t>
      </w:r>
    </w:p>
    <w:p w14:paraId="32F77FF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trách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BF5983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7DDACF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xác minh,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lý,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E40FC3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cáo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trong các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E1868E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Đã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trách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mà tái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397E269D" w14:textId="77777777" w:rsidR="00FB4620" w:rsidRDefault="00B517DE" w:rsidP="00D1458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 và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thân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tranh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E4FD76" w14:textId="77777777" w:rsidR="00D14583" w:rsidRPr="00B175C6" w:rsidRDefault="00D14583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79C18B2" w14:textId="77777777" w:rsidR="00FB4620" w:rsidRPr="00B175C6" w:rsidRDefault="00B517DE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7A6C3F53" w14:textId="77777777" w:rsidR="00FB4620" w:rsidRDefault="00B517DE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59877B3" w14:textId="77777777" w:rsidR="00D14583" w:rsidRPr="00B175C6" w:rsidRDefault="00D14583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C64B1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9. Nguyên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và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33C6A0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 hành vi gây lãng phí gây ra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là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hóa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cách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quan, có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nhân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hành vi gây lãng phí.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hóa đơn, tài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toán, các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FBC8E3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xem xét,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vào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tính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hành vi gây lãng phí,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gây ra,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năng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và phương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i;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khách quan, công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và công khai.</w:t>
      </w:r>
    </w:p>
    <w:p w14:paraId="7FA8E7F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và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khách quan, công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công khai và phù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không có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và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thì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chia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cho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DD7BEA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trong các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8BAEBD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và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chuyên ngành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rong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lĩnh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 có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phương pháp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có tính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thì cơ quan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đó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khi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25F717D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6. Khi có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hành vi gây lãng phí và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này, cơ quan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cách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10, 11, 12, 13, 14, 15, 16, 17, 18, 19, 20, 21, 22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i tương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hành vi gây lãng phí.</w:t>
      </w:r>
    </w:p>
    <w:p w14:paraId="1359459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10.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làm tăng chi ngân sách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2CF0F6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cách sau:</w:t>
      </w:r>
    </w:p>
    <w:p w14:paraId="3C8E33E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phí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sung so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toán,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kinh phí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do hành vi gây lãng phí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gây ra. Khi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 chi phí phát sinh do nguyên nhân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khách quan,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kháng,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giá nguyên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thay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chính sách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ch, tiêu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yêu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nguyên nhân khác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6696D0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Toàn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đã chi khi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ban hành trái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58845B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11.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gây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thoát ngân sách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c, ngu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ngoài ngân sách</w:t>
      </w:r>
    </w:p>
    <w:p w14:paraId="57E647D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cách sau:</w:t>
      </w:r>
    </w:p>
    <w:p w14:paraId="385F6B0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đã chi không đúng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đích,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990C6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đã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nhưng không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D7CF19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đã chi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ngoài ngân sách không đúng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đích, quy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và cơ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4C9CC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công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t; không đúng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đích,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vư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F2721E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đã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trình không đúng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phá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thu, bàn giao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đưa vào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do hành vi gây lãng phí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gây ra,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sau khi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tái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thanh lý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sang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cho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đích khác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B4BBFB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do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các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không đúng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đích,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7407409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12.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phát sinh kinh phí ngân sách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phá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xây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hình thành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55461B5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toàn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công trình xây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thành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do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vi gây lãng phí.</w:t>
      </w:r>
    </w:p>
    <w:p w14:paraId="7D94299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13.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án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kéo dài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gian, ti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so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gian, ti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đã đư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80C037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.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đã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công trình nhân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trung bình lãi su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các ngân hàng thương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trên 50%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trong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công trì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nh,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 công do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ý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các hành vi sai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trong quá trình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FED808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Không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theo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kéo dài do nguyên nhân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kháng, thiên tai,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í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giá,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thay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ch, tiêu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theo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nguyên nhân khách quan khác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68EA3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ký thi công, biên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thu,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và các tài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pháp khác có liên quan.</w:t>
      </w:r>
    </w:p>
    <w:p w14:paraId="74EE807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14.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gây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thoát tài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công</w:t>
      </w:r>
    </w:p>
    <w:p w14:paraId="7CC36DC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gây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thoát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các cách sau:</w:t>
      </w:r>
    </w:p>
    <w:p w14:paraId="70578AF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mua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giao vư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63/2019/NĐ-CP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công;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lãng phí;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gia; kho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55/2026/NĐ-CP.</w:t>
      </w:r>
    </w:p>
    <w:p w14:paraId="697B029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 công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không thu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toán,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kê,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F1E509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hao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9076C0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15.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gây hư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tài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công</w:t>
      </w:r>
    </w:p>
    <w:p w14:paraId="6CC73B7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gây hư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a, khôi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3240A9D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16.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làm phát sinh kinh phí ngân sách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o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n,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,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hành,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o dư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ng,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a do không x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công không đư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5C112C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p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tăng thêm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do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vi gây lãng phí.</w:t>
      </w:r>
    </w:p>
    <w:p w14:paraId="0AFAE697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17.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phát sinh kinh phí ngân sách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lý, khôi ph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c, ph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66CF79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toàn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lý,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ngăn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hành vi gây lãng phí,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công, tài nguyên. Không tính và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kinh phí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phát sinh không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vi gây lãng phí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phát sinh do nguyên nhân khách quan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D6403D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18.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gây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t thoát tài 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nguyên, năng lư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0F37B8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nguyên, năng lư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khai thác trái phép,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suy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(bao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tình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tài nguyên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do khai thác vư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năng tái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ô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suy thoái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ý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u) do hành vi gây lãng phí trong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tài nguyên, năng lư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gây ra,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giá do cơ quan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các phương pháp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7D808D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chuyên ngành có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hao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cho phép thì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hao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trong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tính là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D835E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19.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phát sinh nghĩa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khác c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a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298232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 khác mà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do hành vi gây lãng phí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gây ra, bao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thanh toán,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bù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lãnh,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lãi, phí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885E6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 phát sinh trong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tác công tư, trong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công,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c trong các giao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ch tài chính khác thì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ngoài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còn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chuyên ngành có liên quan.</w:t>
      </w:r>
    </w:p>
    <w:p w14:paraId="179ACF8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20.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thoát, m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918C277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thoát,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do hành vi gây lãng phí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gây ra,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báo cáo tài chính đã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toán,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5E9273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21.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tài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công không đư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đưa vào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C918C7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không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đưa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ào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hao mòn,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đưa vào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do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6C5BEBE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2. Không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theo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công chưa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đưa vào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do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máy; trình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 chưa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trí kinh phí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o;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do nguyên nhân khách quan khác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B3343E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công,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giao,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toán,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biên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kê,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và tài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pháp khác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có liên quan.</w:t>
      </w:r>
    </w:p>
    <w:p w14:paraId="28C00C2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22.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làm gi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thu ngân sách nhà nư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A9FAA2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là toàn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đi do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vi gây lãng phí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110/2025/QH15.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đai,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A4FA6E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23. Trình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trách nhi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CC20A9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Trình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gây ra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c.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rõ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vi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và phương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B1CF83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nhưng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phát sinh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thì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xem xét,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trên cơ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minh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và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nhân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hành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và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16AC95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có liên quan và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xem xét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năng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khi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8BA0DE1" w14:textId="193C2ACF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chuyên ngành có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khác thì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</w:t>
      </w:r>
      <w:r w:rsidR="008569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cơ quan</w:t>
      </w:r>
      <w:r w:rsidR="008569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toán, cơ quan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tra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4B3485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24.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CEAA552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hành vi gây lãng phí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 thì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và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0D4F65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hành vi gây lãng phí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thì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là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4FBEA6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25. Ra quy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F5C807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hành vi gây lãng phí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 thì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và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AB8D8D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hành vi gây lãng phí không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thì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30630C1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 hành;</w:t>
      </w:r>
    </w:p>
    <w:p w14:paraId="62D2B3D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 khi đã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t, q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mà phát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làm thay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m, giá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đã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đó thì 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tìn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xem xét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trình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theo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84A9D9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c)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 công tác,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thôi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hưu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ngày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thì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18BA8A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này,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(ho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cơ qua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khi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đó chuy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tác, thôi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hưu)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vào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mà không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vào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D2EF5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26.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ng, t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8354F4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2FFD4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khi có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C13C756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3DD2F97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Đang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khó khăn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có đơn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1B9588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không quá 12 tháng,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nghèo,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nghèo, đang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nghèo, gia đình 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khó khăn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khác thì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xem xét cho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không quá 24 tháng.</w:t>
      </w:r>
    </w:p>
    <w:p w14:paraId="1E85BDA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do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thu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hoàn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kinh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năng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ng.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BCAB47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mà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thì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20%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lương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tháng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sau khi trích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các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cá nhân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 cho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A7A4DE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6.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chưa hoàn thành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mà chuy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tác, thôi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hưu thì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nơi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còn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khi chuy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tác, thôi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hưu.</w:t>
      </w:r>
    </w:p>
    <w:p w14:paraId="410AE5B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ì hoãn,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tránh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thì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nơi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tình hình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pháp sau đây:</w:t>
      </w:r>
    </w:p>
    <w:p w14:paraId="5A1A844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nơi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công tác, chính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ơng nơi cư trú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đó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65079FE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cơ quan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vào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lương hưu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chưa hoàn thành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đã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hưu theo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20%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lương hưu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tháng;</w:t>
      </w:r>
    </w:p>
    <w:p w14:paraId="1864F0F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7C4E6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8. Các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nơi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phương nơi cư trú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tình trì hoãn,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tránh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đó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đây công tác tron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g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đó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2D995A0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9.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704DCF7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trong các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41E3A1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Đang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thai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6A6838E" w14:textId="04E8209E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Gia đình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nghèo,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nghèo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gia đình có hoàn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khó khăn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716B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xã nơi cư trú xác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D11AF48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Đang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giam,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u tra, xác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minh và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2A7E4F0D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4AAB5CCB" w14:textId="777803B1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đa không quá 06 tháng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đang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nghèo,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ban hành thì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m hoãn tương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; gia đình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nghèo,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nghèo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gia đình đang trong hoàn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nh khó khăn do </w:t>
      </w:r>
      <w:r w:rsidR="003716B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xã nơi cư trú xác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B13C4FE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đa không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quá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thai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thai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07917AB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giam,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đang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giam,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tra, xác minh và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308DDB55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10.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minh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 cho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xem xét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cho phép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D24080C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n, cơ quan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cho phép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thông báo lý do không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A5588B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11.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thì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đó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E6B35A4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12.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hoãn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là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trong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trong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ác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1F5A7F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27. Thu, n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p, qu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839DBA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thu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và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p vào ngân sách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theo phân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ACB4A40" w14:textId="00656BE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 nhà nư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ngoài ngân sách,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</w:t>
      </w:r>
      <w:r w:rsidR="000970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</w:t>
      </w:r>
      <w:r w:rsidR="00E84D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và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ính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EC6753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do ngư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thu, theo dõi chi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n), có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và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 theo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tài chính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F44882F" w14:textId="77777777" w:rsidR="00FB4620" w:rsidRDefault="00B517DE" w:rsidP="00D1458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thu,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là bi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trong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trong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C0026AD" w14:textId="77777777" w:rsidR="00D14583" w:rsidRPr="00B175C6" w:rsidRDefault="00D14583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295349" w14:textId="77777777" w:rsidR="00FB4620" w:rsidRPr="00B175C6" w:rsidRDefault="00B517DE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536CD3B0" w14:textId="77777777" w:rsidR="00FB4620" w:rsidRDefault="00B517DE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00BDBCC9" w14:textId="77777777" w:rsidR="00D14583" w:rsidRPr="00B175C6" w:rsidRDefault="00D14583" w:rsidP="00D145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101DB4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28. X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F472D69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xem xét,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ra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lý.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ra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nhưng vi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xem xét,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sau ngày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thì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y ra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có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cho cán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A5C21A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trách nh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đang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xem xét,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xem xét, x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A1438AF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29. Hi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4CF783B" w14:textId="0A001AD4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lastRenderedPageBreak/>
        <w:t>1.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 </w:t>
      </w:r>
    </w:p>
    <w:p w14:paraId="26441D11" w14:textId="77777777" w:rsidR="00FB4620" w:rsidRPr="00B175C6" w:rsidRDefault="00B517DE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trong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sung thì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 đã thay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đó.</w:t>
      </w:r>
    </w:p>
    <w:p w14:paraId="1E1BE068" w14:textId="7816AEF5" w:rsidR="00FB4620" w:rsidRDefault="00B517DE" w:rsidP="001D523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75C6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716B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175C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6B70872" w14:textId="77777777" w:rsidR="00D14583" w:rsidRPr="00B175C6" w:rsidRDefault="00D14583" w:rsidP="001D52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B4620" w:rsidRPr="00B175C6" w14:paraId="6A2C805D" w14:textId="77777777" w:rsidTr="00751642">
        <w:tc>
          <w:tcPr>
            <w:tcW w:w="2500" w:type="pct"/>
          </w:tcPr>
          <w:p w14:paraId="5F9E0809" w14:textId="282A9713" w:rsidR="00FB4620" w:rsidRPr="00B175C6" w:rsidRDefault="00B517DE" w:rsidP="0069001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75C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B175C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B175C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 Ban Bí thư Trung ương 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cơ quan 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 b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</w:t>
            </w:r>
            <w:r w:rsidR="00BE2B0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3716BF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3716BF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các V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(2).</w:t>
            </w:r>
          </w:p>
        </w:tc>
        <w:tc>
          <w:tcPr>
            <w:tcW w:w="2500" w:type="pct"/>
          </w:tcPr>
          <w:p w14:paraId="3946BF7A" w14:textId="3FC4D93E" w:rsidR="00FB4620" w:rsidRPr="00B175C6" w:rsidRDefault="00B517DE" w:rsidP="003716B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1D52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 Ti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B175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Châu</w:t>
            </w:r>
          </w:p>
        </w:tc>
      </w:tr>
    </w:tbl>
    <w:p w14:paraId="48454FD8" w14:textId="77777777" w:rsidR="005F5F4C" w:rsidRPr="00B175C6" w:rsidRDefault="005F5F4C" w:rsidP="00B175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5F5F4C" w:rsidRPr="00B175C6" w:rsidSect="00B175C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1A361" w14:textId="77777777" w:rsidR="00B517DE" w:rsidRDefault="00B517DE">
      <w:pPr>
        <w:spacing w:after="0" w:line="240" w:lineRule="auto"/>
      </w:pPr>
      <w:r>
        <w:separator/>
      </w:r>
    </w:p>
  </w:endnote>
  <w:endnote w:type="continuationSeparator" w:id="0">
    <w:p w14:paraId="6F99FBE5" w14:textId="77777777" w:rsidR="00B517DE" w:rsidRDefault="00B5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F444" w14:textId="77777777" w:rsidR="00B517DE" w:rsidRDefault="00B517DE">
      <w:pPr>
        <w:spacing w:after="0" w:line="240" w:lineRule="auto"/>
      </w:pPr>
      <w:r>
        <w:separator/>
      </w:r>
    </w:p>
  </w:footnote>
  <w:footnote w:type="continuationSeparator" w:id="0">
    <w:p w14:paraId="797DAD8D" w14:textId="77777777" w:rsidR="00B517DE" w:rsidRDefault="00B51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0"/>
    <w:rsid w:val="0009707C"/>
    <w:rsid w:val="001D5234"/>
    <w:rsid w:val="003716BF"/>
    <w:rsid w:val="004033B6"/>
    <w:rsid w:val="005F5F4C"/>
    <w:rsid w:val="00690016"/>
    <w:rsid w:val="00751642"/>
    <w:rsid w:val="007D3F85"/>
    <w:rsid w:val="007F4DA9"/>
    <w:rsid w:val="00856920"/>
    <w:rsid w:val="00A23696"/>
    <w:rsid w:val="00B175C6"/>
    <w:rsid w:val="00B50BD3"/>
    <w:rsid w:val="00B517DE"/>
    <w:rsid w:val="00BE2B09"/>
    <w:rsid w:val="00CD211E"/>
    <w:rsid w:val="00D14583"/>
    <w:rsid w:val="00DE1D73"/>
    <w:rsid w:val="00E84D66"/>
    <w:rsid w:val="00EA560E"/>
    <w:rsid w:val="00F309F2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930F6"/>
  <w15:docId w15:val="{12CAFFAE-DEF4-42AE-894D-C44861B3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C6"/>
  </w:style>
  <w:style w:type="paragraph" w:styleId="Footer">
    <w:name w:val="footer"/>
    <w:basedOn w:val="Normal"/>
    <w:link w:val="FooterChar"/>
    <w:uiPriority w:val="99"/>
    <w:unhideWhenUsed/>
    <w:rsid w:val="00B1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4583</Words>
  <Characters>26126</Characters>
  <Application>Microsoft Office Word</Application>
  <DocSecurity>0</DocSecurity>
  <Lines>217</Lines>
  <Paragraphs>61</Paragraphs>
  <ScaleCrop>false</ScaleCrop>
  <Company/>
  <LinksUpToDate>false</LinksUpToDate>
  <CharactersWithSpaces>30648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16</cp:revision>
  <dcterms:created xsi:type="dcterms:W3CDTF">2026-07-09T08:09:00Z</dcterms:created>
  <dcterms:modified xsi:type="dcterms:W3CDTF">2026-07-10T01:28:00Z</dcterms:modified>
</cp:coreProperties>
</file>