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4456E0" w:rsidRPr="00A13C91" w14:paraId="1592B06E" w14:textId="77777777" w:rsidTr="00CC718C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BDAE" w14:textId="0EE67120" w:rsidR="004456E0" w:rsidRPr="00A13C91" w:rsidRDefault="004456E0" w:rsidP="00897E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2279DB1" w14:textId="0716FC5D" w:rsidR="004456E0" w:rsidRPr="00A13C91" w:rsidRDefault="004456E0" w:rsidP="00897E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897E3C" w:rsidRPr="00897E3C">
              <w:rPr>
                <w:rFonts w:ascii="Arial" w:hAnsi="Arial" w:cs="Arial"/>
                <w:color w:val="000000"/>
                <w:sz w:val="20"/>
                <w:szCs w:val="20"/>
              </w:rPr>
              <w:t>331/2025/NĐ-CP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7548" w14:textId="77777777" w:rsidR="004456E0" w:rsidRPr="00A13C91" w:rsidRDefault="004456E0" w:rsidP="00897E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57506CD" w14:textId="39DAF3E6" w:rsidR="004456E0" w:rsidRPr="00897E3C" w:rsidRDefault="00897E3C" w:rsidP="00897E3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Nội, ngày 18 tháng 12 năm 2025</w:t>
            </w:r>
          </w:p>
        </w:tc>
      </w:tr>
      <w:bookmarkEnd w:id="0"/>
    </w:tbl>
    <w:p w14:paraId="19569447" w14:textId="77777777" w:rsidR="004456E0" w:rsidRDefault="004456E0" w:rsidP="00897E3C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25583C23" w14:textId="77777777" w:rsidR="004456E0" w:rsidRDefault="004456E0" w:rsidP="00897E3C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757EE74D" w14:textId="77777777" w:rsidR="00666A84" w:rsidRDefault="005746EC" w:rsidP="00897E3C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621B0BEB" w14:textId="59FF6E51" w:rsidR="00666A84" w:rsidRDefault="005746EC" w:rsidP="00897E3C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chi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và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thi hành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</w:t>
      </w:r>
      <w:r w:rsidR="00897E3C">
        <w:br/>
      </w:r>
      <w:r>
        <w:rPr>
          <w:rFonts w:ascii="Arial" w:hAnsi="Arial"/>
          <w:b/>
          <w:sz w:val="20"/>
        </w:rPr>
        <w:t>nguyên t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78FAC3AE" w14:textId="77777777" w:rsidR="00897E3C" w:rsidRDefault="00897E3C" w:rsidP="00897E3C">
      <w:pPr>
        <w:adjustRightInd w:val="0"/>
        <w:snapToGrid w:val="0"/>
        <w:spacing w:after="0" w:line="240" w:lineRule="auto"/>
        <w:jc w:val="center"/>
      </w:pPr>
    </w:p>
    <w:p w14:paraId="42A531B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56709F7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Năng lư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ng nguyên t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94/2025/QH15;</w:t>
      </w:r>
    </w:p>
    <w:p w14:paraId="39A30A6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Khoa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c,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và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 m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i sáng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93/2025/QH15;</w:t>
      </w:r>
    </w:p>
    <w:p w14:paraId="3ED2C74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21/2008/QH12;</w:t>
      </w:r>
    </w:p>
    <w:p w14:paraId="373452B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 xml:space="preserve">Căn 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Chuy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n giao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07/2017/QH14;</w:t>
      </w:r>
    </w:p>
    <w:p w14:paraId="6D56722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89/2025/QH15;</w:t>
      </w:r>
    </w:p>
    <w:p w14:paraId="2867029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 công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58/2024/QH15,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90/2025/QH15;</w:t>
      </w:r>
    </w:p>
    <w:p w14:paraId="12DA1C7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61/2020/QH14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u </w:t>
      </w: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72/2020/QH14,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03/2022/QH15,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05/2022/QH15,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08/2022/QH15,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09/2022/QH15,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20/2023/QH15,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26/2023/QH15,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27/2023/QH15,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28/2023/QH15,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31/2024/QH15,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33/2024/QH15,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43</w:t>
      </w:r>
      <w:r>
        <w:rPr>
          <w:rFonts w:ascii="Arial" w:hAnsi="Arial"/>
          <w:i/>
          <w:sz w:val="20"/>
        </w:rPr>
        <w:t>/2024/QH15,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57/2024/QH15 và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90/2025/QH15;</w:t>
      </w:r>
    </w:p>
    <w:p w14:paraId="5482C604" w14:textId="7DF30CA0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thu nh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p doanh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67/2025/QH15</w:t>
      </w:r>
      <w:r w:rsidR="004456E0">
        <w:rPr>
          <w:rFonts w:ascii="Arial" w:hAnsi="Arial"/>
          <w:i/>
          <w:sz w:val="20"/>
        </w:rPr>
        <w:t>;</w:t>
      </w:r>
    </w:p>
    <w:p w14:paraId="37F3578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th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22/2023/QH15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57/2024/QH15 và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90/2025/QH15;</w:t>
      </w:r>
    </w:p>
    <w:p w14:paraId="0D729CB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Cán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, công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80/2025/QH15;</w:t>
      </w:r>
    </w:p>
    <w:p w14:paraId="00F389FA" w14:textId="4731F474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Viên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58/2010/QH12;</w:t>
      </w:r>
    </w:p>
    <w:p w14:paraId="1A00FFB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Khoa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c và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;</w:t>
      </w:r>
    </w:p>
    <w:p w14:paraId="4D2C2D1A" w14:textId="30DB21AD" w:rsidR="00666A84" w:rsidRPr="00897E3C" w:rsidRDefault="005746EC" w:rsidP="00897E3C">
      <w:pPr>
        <w:adjustRightInd w:val="0"/>
        <w:snapToGrid w:val="0"/>
        <w:spacing w:after="0" w:line="240" w:lineRule="auto"/>
        <w:ind w:firstLine="720"/>
        <w:jc w:val="both"/>
        <w:rPr>
          <w:i/>
          <w:iCs/>
        </w:rPr>
      </w:pPr>
      <w:r w:rsidRPr="00897E3C">
        <w:rPr>
          <w:rFonts w:ascii="Arial" w:hAnsi="Arial"/>
          <w:i/>
          <w:iCs/>
          <w:sz w:val="20"/>
        </w:rPr>
        <w:t>Chính ph</w:t>
      </w:r>
      <w:r w:rsidRPr="00897E3C">
        <w:rPr>
          <w:rFonts w:ascii="Arial" w:hAnsi="Arial"/>
          <w:i/>
          <w:iCs/>
          <w:sz w:val="20"/>
        </w:rPr>
        <w:t>ủ</w:t>
      </w:r>
      <w:r w:rsidRPr="00897E3C">
        <w:rPr>
          <w:rFonts w:ascii="Arial" w:hAnsi="Arial"/>
          <w:i/>
          <w:iCs/>
          <w:sz w:val="20"/>
        </w:rPr>
        <w:t xml:space="preserve"> ban hành Ngh</w:t>
      </w:r>
      <w:r w:rsidRPr="00897E3C">
        <w:rPr>
          <w:rFonts w:ascii="Arial" w:hAnsi="Arial"/>
          <w:i/>
          <w:iCs/>
          <w:sz w:val="20"/>
        </w:rPr>
        <w:t>ị</w:t>
      </w:r>
      <w:r w:rsidRPr="00897E3C">
        <w:rPr>
          <w:rFonts w:ascii="Arial" w:hAnsi="Arial"/>
          <w:i/>
          <w:iCs/>
          <w:sz w:val="20"/>
        </w:rPr>
        <w:t xml:space="preserve"> đ</w:t>
      </w:r>
      <w:r w:rsidRPr="00897E3C">
        <w:rPr>
          <w:rFonts w:ascii="Arial" w:hAnsi="Arial"/>
          <w:i/>
          <w:iCs/>
          <w:sz w:val="20"/>
        </w:rPr>
        <w:t>ị</w:t>
      </w:r>
      <w:r w:rsidRPr="00897E3C">
        <w:rPr>
          <w:rFonts w:ascii="Arial" w:hAnsi="Arial"/>
          <w:i/>
          <w:iCs/>
          <w:sz w:val="20"/>
        </w:rPr>
        <w:t>nh quy đ</w:t>
      </w:r>
      <w:r w:rsidRPr="00897E3C">
        <w:rPr>
          <w:rFonts w:ascii="Arial" w:hAnsi="Arial"/>
          <w:i/>
          <w:iCs/>
          <w:sz w:val="20"/>
        </w:rPr>
        <w:t>ị</w:t>
      </w:r>
      <w:r w:rsidRPr="00897E3C">
        <w:rPr>
          <w:rFonts w:ascii="Arial" w:hAnsi="Arial"/>
          <w:i/>
          <w:iCs/>
          <w:sz w:val="20"/>
        </w:rPr>
        <w:t>nh chi ti</w:t>
      </w:r>
      <w:r w:rsidRPr="00897E3C">
        <w:rPr>
          <w:rFonts w:ascii="Arial" w:hAnsi="Arial"/>
          <w:i/>
          <w:iCs/>
          <w:sz w:val="20"/>
        </w:rPr>
        <w:t>ế</w:t>
      </w:r>
      <w:r w:rsidRPr="00897E3C">
        <w:rPr>
          <w:rFonts w:ascii="Arial" w:hAnsi="Arial"/>
          <w:i/>
          <w:iCs/>
          <w:sz w:val="20"/>
        </w:rPr>
        <w:t>t m</w:t>
      </w:r>
      <w:r w:rsidRPr="00897E3C">
        <w:rPr>
          <w:rFonts w:ascii="Arial" w:hAnsi="Arial"/>
          <w:i/>
          <w:iCs/>
          <w:sz w:val="20"/>
        </w:rPr>
        <w:t>ộ</w:t>
      </w:r>
      <w:r w:rsidRPr="00897E3C">
        <w:rPr>
          <w:rFonts w:ascii="Arial" w:hAnsi="Arial"/>
          <w:i/>
          <w:iCs/>
          <w:sz w:val="20"/>
        </w:rPr>
        <w:t>t s</w:t>
      </w:r>
      <w:r w:rsidRPr="00897E3C">
        <w:rPr>
          <w:rFonts w:ascii="Arial" w:hAnsi="Arial"/>
          <w:i/>
          <w:iCs/>
          <w:sz w:val="20"/>
        </w:rPr>
        <w:t>ố</w:t>
      </w:r>
      <w:r w:rsidRPr="00897E3C">
        <w:rPr>
          <w:rFonts w:ascii="Arial" w:hAnsi="Arial"/>
          <w:i/>
          <w:iCs/>
          <w:sz w:val="20"/>
        </w:rPr>
        <w:t xml:space="preserve"> đi</w:t>
      </w:r>
      <w:r w:rsidRPr="00897E3C">
        <w:rPr>
          <w:rFonts w:ascii="Arial" w:hAnsi="Arial"/>
          <w:i/>
          <w:iCs/>
          <w:sz w:val="20"/>
        </w:rPr>
        <w:t>ề</w:t>
      </w:r>
      <w:r w:rsidRPr="00897E3C">
        <w:rPr>
          <w:rFonts w:ascii="Arial" w:hAnsi="Arial"/>
          <w:i/>
          <w:iCs/>
          <w:sz w:val="20"/>
        </w:rPr>
        <w:t>u và bi</w:t>
      </w:r>
      <w:r w:rsidRPr="00897E3C">
        <w:rPr>
          <w:rFonts w:ascii="Arial" w:hAnsi="Arial"/>
          <w:i/>
          <w:iCs/>
          <w:sz w:val="20"/>
        </w:rPr>
        <w:t>ệ</w:t>
      </w:r>
      <w:r w:rsidRPr="00897E3C">
        <w:rPr>
          <w:rFonts w:ascii="Arial" w:hAnsi="Arial"/>
          <w:i/>
          <w:iCs/>
          <w:sz w:val="20"/>
        </w:rPr>
        <w:t>n pháp thi hành Lu</w:t>
      </w:r>
      <w:r w:rsidRPr="00897E3C">
        <w:rPr>
          <w:rFonts w:ascii="Arial" w:hAnsi="Arial"/>
          <w:i/>
          <w:iCs/>
          <w:sz w:val="20"/>
        </w:rPr>
        <w:t>ậ</w:t>
      </w:r>
      <w:r w:rsidRPr="00897E3C">
        <w:rPr>
          <w:rFonts w:ascii="Arial" w:hAnsi="Arial"/>
          <w:i/>
          <w:iCs/>
          <w:sz w:val="20"/>
        </w:rPr>
        <w:t>t Năng lư</w:t>
      </w:r>
      <w:r w:rsidRPr="00897E3C">
        <w:rPr>
          <w:rFonts w:ascii="Arial" w:hAnsi="Arial"/>
          <w:i/>
          <w:iCs/>
          <w:sz w:val="20"/>
        </w:rPr>
        <w:t>ợ</w:t>
      </w:r>
      <w:r w:rsidRPr="00897E3C">
        <w:rPr>
          <w:rFonts w:ascii="Arial" w:hAnsi="Arial"/>
          <w:i/>
          <w:iCs/>
          <w:sz w:val="20"/>
        </w:rPr>
        <w:t>ng nguyên t</w:t>
      </w:r>
      <w:r w:rsidRPr="00897E3C">
        <w:rPr>
          <w:rFonts w:ascii="Arial" w:hAnsi="Arial"/>
          <w:i/>
          <w:iCs/>
          <w:sz w:val="20"/>
        </w:rPr>
        <w:t>ử</w:t>
      </w:r>
      <w:r w:rsidRPr="00897E3C">
        <w:rPr>
          <w:rFonts w:ascii="Arial" w:hAnsi="Arial"/>
          <w:i/>
          <w:iCs/>
          <w:sz w:val="20"/>
        </w:rPr>
        <w:t xml:space="preserve"> v</w:t>
      </w:r>
      <w:r w:rsidRPr="00897E3C">
        <w:rPr>
          <w:rFonts w:ascii="Arial" w:hAnsi="Arial"/>
          <w:i/>
          <w:iCs/>
          <w:sz w:val="20"/>
        </w:rPr>
        <w:t>ề</w:t>
      </w:r>
      <w:r w:rsidRPr="00897E3C">
        <w:rPr>
          <w:rFonts w:ascii="Arial" w:hAnsi="Arial"/>
          <w:i/>
          <w:iCs/>
          <w:sz w:val="20"/>
        </w:rPr>
        <w:t xml:space="preserve"> phát tri</w:t>
      </w:r>
      <w:r w:rsidRPr="00897E3C">
        <w:rPr>
          <w:rFonts w:ascii="Arial" w:hAnsi="Arial"/>
          <w:i/>
          <w:iCs/>
          <w:sz w:val="20"/>
        </w:rPr>
        <w:t>ể</w:t>
      </w:r>
      <w:r w:rsidRPr="00897E3C">
        <w:rPr>
          <w:rFonts w:ascii="Arial" w:hAnsi="Arial"/>
          <w:i/>
          <w:iCs/>
          <w:sz w:val="20"/>
        </w:rPr>
        <w:t xml:space="preserve">n, </w:t>
      </w:r>
      <w:r w:rsidRPr="00897E3C">
        <w:rPr>
          <w:rFonts w:ascii="Arial" w:hAnsi="Arial"/>
          <w:i/>
          <w:iCs/>
          <w:sz w:val="20"/>
        </w:rPr>
        <w:t>ứ</w:t>
      </w:r>
      <w:r w:rsidRPr="00897E3C">
        <w:rPr>
          <w:rFonts w:ascii="Arial" w:hAnsi="Arial"/>
          <w:i/>
          <w:iCs/>
          <w:sz w:val="20"/>
        </w:rPr>
        <w:t>ng d</w:t>
      </w:r>
      <w:r w:rsidRPr="00897E3C">
        <w:rPr>
          <w:rFonts w:ascii="Arial" w:hAnsi="Arial"/>
          <w:i/>
          <w:iCs/>
          <w:sz w:val="20"/>
        </w:rPr>
        <w:t>ụ</w:t>
      </w:r>
      <w:r w:rsidRPr="00897E3C">
        <w:rPr>
          <w:rFonts w:ascii="Arial" w:hAnsi="Arial"/>
          <w:i/>
          <w:iCs/>
          <w:sz w:val="20"/>
        </w:rPr>
        <w:t>ng năng</w:t>
      </w:r>
      <w:r w:rsidRPr="00897E3C">
        <w:rPr>
          <w:rFonts w:ascii="Arial" w:hAnsi="Arial"/>
          <w:i/>
          <w:iCs/>
          <w:sz w:val="20"/>
        </w:rPr>
        <w:t xml:space="preserve"> lư</w:t>
      </w:r>
      <w:r w:rsidRPr="00897E3C">
        <w:rPr>
          <w:rFonts w:ascii="Arial" w:hAnsi="Arial"/>
          <w:i/>
          <w:iCs/>
          <w:sz w:val="20"/>
        </w:rPr>
        <w:t>ợ</w:t>
      </w:r>
      <w:r w:rsidRPr="00897E3C">
        <w:rPr>
          <w:rFonts w:ascii="Arial" w:hAnsi="Arial"/>
          <w:i/>
          <w:iCs/>
          <w:sz w:val="20"/>
        </w:rPr>
        <w:t>ng nguyên t</w:t>
      </w:r>
      <w:r w:rsidRPr="00897E3C">
        <w:rPr>
          <w:rFonts w:ascii="Arial" w:hAnsi="Arial"/>
          <w:i/>
          <w:iCs/>
          <w:sz w:val="20"/>
        </w:rPr>
        <w:t>ử</w:t>
      </w:r>
      <w:r w:rsidRPr="00897E3C">
        <w:rPr>
          <w:rFonts w:ascii="Arial" w:hAnsi="Arial"/>
          <w:i/>
          <w:iCs/>
          <w:sz w:val="20"/>
        </w:rPr>
        <w:t>.</w:t>
      </w:r>
    </w:p>
    <w:p w14:paraId="432260E3" w14:textId="77777777" w:rsidR="00897E3C" w:rsidRDefault="00897E3C" w:rsidP="00897E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460A2952" w14:textId="0EE004BC" w:rsidR="00897E3C" w:rsidRDefault="005746EC" w:rsidP="00897E3C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 </w:t>
      </w:r>
    </w:p>
    <w:p w14:paraId="32CB20A4" w14:textId="627BE4EC" w:rsidR="00666A84" w:rsidRDefault="005746EC" w:rsidP="00897E3C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247DE434" w14:textId="77777777" w:rsidR="00897E3C" w:rsidRDefault="00897E3C" w:rsidP="00897E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5AFFBCF" w14:textId="18EBADF9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5628E09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93C770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:</w:t>
      </w:r>
    </w:p>
    <w:p w14:paraId="1FAF9C5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a) Chính sách nhà </w:t>
      </w:r>
      <w:r>
        <w:rPr>
          <w:rFonts w:ascii="Arial" w:hAnsi="Arial"/>
          <w:sz w:val="20"/>
        </w:rPr>
        <w:t>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5;</w:t>
      </w:r>
    </w:p>
    <w:p w14:paraId="2F0D8A0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hòa bình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10;</w:t>
      </w:r>
    </w:p>
    <w:p w14:paraId="3575E36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11;</w:t>
      </w:r>
    </w:p>
    <w:p w14:paraId="06A18F4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12;</w:t>
      </w:r>
    </w:p>
    <w:p w14:paraId="7F018A3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13.</w:t>
      </w:r>
    </w:p>
    <w:p w14:paraId="7920B63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Bi</w:t>
      </w:r>
      <w:bookmarkStart w:id="1" w:name="_GoBack"/>
      <w:bookmarkEnd w:id="1"/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Năng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:</w:t>
      </w:r>
    </w:p>
    <w:p w14:paraId="76FAA85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ưu đãi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11;</w:t>
      </w:r>
    </w:p>
    <w:p w14:paraId="09197F3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10.</w:t>
      </w:r>
    </w:p>
    <w:p w14:paraId="3231C72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3AB123A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38B11E9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7DEEB8A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pháp lý,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tài chính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4A2DE06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là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</w:t>
      </w:r>
      <w:r>
        <w:rPr>
          <w:rFonts w:ascii="Arial" w:hAnsi="Arial"/>
          <w:sz w:val="20"/>
        </w:rPr>
        <w:t>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toàn, an ninh và thanh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5D0719F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là các cơ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trung ương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747B582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công trình sư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sư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chuyên gia và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cao khác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3AF1474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là quá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thông qua v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tài chính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an ninh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55474AE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chung là mô hình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do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cùng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khai thác trên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(cơ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chuyên gia)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ưu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nâng cao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2B12366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vùng lãnh th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có tư cách pháp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giám sát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hòa bình,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toàn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74BE9C48" w14:textId="77777777" w:rsidR="00666A84" w:rsidRDefault="005746EC" w:rsidP="00897E3C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8.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có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c gia,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vào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5C525C31" w14:textId="77777777" w:rsidR="00897E3C" w:rsidRDefault="00897E3C" w:rsidP="00897E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4F7E6832" w14:textId="0F4B719D" w:rsidR="00666A84" w:rsidRDefault="005746EC" w:rsidP="00897E3C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</w:t>
      </w:r>
      <w:r w:rsidR="00897E3C">
        <w:rPr>
          <w:rFonts w:ascii="Arial" w:hAnsi="Arial"/>
          <w:b/>
          <w:sz w:val="20"/>
        </w:rPr>
        <w:t>II</w:t>
      </w:r>
    </w:p>
    <w:p w14:paraId="3F7031B0" w14:textId="77777777" w:rsidR="00666A84" w:rsidRDefault="005746EC" w:rsidP="00897E3C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 VÀ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TÀI CHÍNH CHO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br/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5EE1938D" w14:textId="77777777" w:rsidR="00897E3C" w:rsidRDefault="00897E3C" w:rsidP="00897E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4E2EF984" w14:textId="5EA79A91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Ưu tiên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tư, đa d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ng hóa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 cho phát</w:t>
      </w:r>
      <w:r>
        <w:rPr>
          <w:rFonts w:ascii="Arial" w:hAnsi="Arial"/>
          <w:b/>
          <w:sz w:val="20"/>
        </w:rPr>
        <w:t xml:space="preserve">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7B2708D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sau:</w:t>
      </w:r>
    </w:p>
    <w:p w14:paraId="238B937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, an toàn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nghiên </w:t>
      </w:r>
      <w:r>
        <w:rPr>
          <w:rFonts w:ascii="Arial" w:hAnsi="Arial"/>
          <w:sz w:val="20"/>
        </w:rPr>
        <w:lastRenderedPageBreak/>
        <w:t>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nâng cao năng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3CA5619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hòa</w:t>
      </w:r>
      <w:r>
        <w:rPr>
          <w:rFonts w:ascii="Arial" w:hAnsi="Arial"/>
          <w:sz w:val="20"/>
        </w:rPr>
        <w:t xml:space="preserve"> bình,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2F9DFFD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tâm,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tránh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p;</w:t>
      </w:r>
    </w:p>
    <w:p w14:paraId="5B6D1CC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tư.</w:t>
      </w:r>
    </w:p>
    <w:p w14:paraId="03F6865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ưu tiên trong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38C955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634A0D5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2AEF6BB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duy trì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, an </w:t>
      </w:r>
      <w:r>
        <w:rPr>
          <w:rFonts w:ascii="Arial" w:hAnsi="Arial"/>
          <w:sz w:val="20"/>
        </w:rPr>
        <w:t>toàn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3E036D5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quan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2487A9F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chôn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nh</w:t>
      </w:r>
      <w:r>
        <w:rPr>
          <w:rFonts w:ascii="Arial" w:hAnsi="Arial"/>
          <w:sz w:val="20"/>
        </w:rPr>
        <w:t>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038FEAA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chôn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</w:t>
      </w:r>
    </w:p>
    <w:p w14:paraId="432AE46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khó khăn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F8969C2" w14:textId="496F71A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khác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</w:t>
      </w:r>
      <w:r>
        <w:rPr>
          <w:rFonts w:ascii="Arial" w:hAnsi="Arial"/>
          <w:sz w:val="20"/>
        </w:rPr>
        <w:t>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t là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nh) có liên quan.</w:t>
      </w:r>
    </w:p>
    <w:p w14:paraId="35AB1A9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Đa d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hóa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trong và ngoài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028921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2F783CE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Ngân sách trung ương và ngân sách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theo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và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32C5B35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</w:t>
      </w:r>
    </w:p>
    <w:p w14:paraId="657D68F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vay ưu đãi,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chính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(ODA),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song phương và đa phương;</w:t>
      </w:r>
    </w:p>
    <w:p w14:paraId="1730C89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58B075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c, d, đ, e,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 nhân,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khác.</w:t>
      </w:r>
    </w:p>
    <w:p w14:paraId="01A4817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</w:t>
      </w:r>
    </w:p>
    <w:p w14:paraId="1F06D62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ưu tiên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báo cá</w:t>
      </w:r>
      <w:r>
        <w:rPr>
          <w:rFonts w:ascii="Arial" w:hAnsi="Arial"/>
          <w:sz w:val="20"/>
        </w:rPr>
        <w:t>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64521A37" w14:textId="5351D9F1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ghép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ưu tiên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vào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báo cáo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3CC48DF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cho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 khoa h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c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5B8797D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BD8319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2FF494E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trong y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các ngàn</w:t>
      </w:r>
      <w:r>
        <w:rPr>
          <w:rFonts w:ascii="Arial" w:hAnsi="Arial"/>
          <w:sz w:val="20"/>
        </w:rPr>
        <w:t>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khác;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55012A5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28C3712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thanh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6CD8BB8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phương pháp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51A0475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0CDDF87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3A921D5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sáng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toàn, an ninh;</w:t>
      </w:r>
    </w:p>
    <w:p w14:paraId="127B5A5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và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có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sau </w:t>
      </w:r>
      <w:r>
        <w:rPr>
          <w:rFonts w:ascii="Arial" w:hAnsi="Arial"/>
          <w:sz w:val="20"/>
        </w:rPr>
        <w:t>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không còn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</w:t>
      </w:r>
    </w:p>
    <w:p w14:paraId="21463C2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tháo d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công trình,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sau 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1E7EC85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00D8641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</w:t>
      </w:r>
      <w:r>
        <w:rPr>
          <w:rFonts w:ascii="Arial" w:hAnsi="Arial"/>
          <w:sz w:val="20"/>
        </w:rPr>
        <w:t>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là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tính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công ích, không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d, đ, e, i, k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chi cho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khác.</w:t>
      </w:r>
    </w:p>
    <w:p w14:paraId="088549F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ng, văn hóa, giáo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y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và phúc l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i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a phương có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nhân</w:t>
      </w:r>
    </w:p>
    <w:p w14:paraId="7C740AC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ăn hóa,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phúc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tính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và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có liên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ACE95E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giao thông,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thoát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ng, nhà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các công trình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chung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vùng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n,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an toàn, an ninh.</w:t>
      </w:r>
    </w:p>
    <w:p w14:paraId="3258944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nơi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o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0B3E5DB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nâng cao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khám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729CEB3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văn hóa, công trình an sinh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nâng cao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08F9C69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kinh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</w:t>
      </w: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sau:</w:t>
      </w:r>
    </w:p>
    <w:p w14:paraId="7143C47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Ngân sách trung ương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trung ương; ngân sách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4FD461D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thông qua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tài chính - ngâ</w:t>
      </w:r>
      <w:r>
        <w:rPr>
          <w:rFonts w:ascii="Arial" w:hAnsi="Arial"/>
          <w:sz w:val="20"/>
        </w:rPr>
        <w:t>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trung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 trung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đúng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đúng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và không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kinh phí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khác;</w:t>
      </w:r>
    </w:p>
    <w:p w14:paraId="21B97A7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Đóng góp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thông qua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tài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tham gia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công trình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phúc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chương trình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theo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639B5A5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vay,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chính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(ODA),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9E620F6" w14:textId="03B3DFB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nơi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m:</w:t>
      </w:r>
    </w:p>
    <w:p w14:paraId="6C8B5747" w14:textId="3926D55B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ng, </w:t>
      </w:r>
      <w:r w:rsidR="00551A3D">
        <w:rPr>
          <w:rFonts w:ascii="Arial" w:hAnsi="Arial"/>
          <w:sz w:val="20"/>
        </w:rPr>
        <w:t>văn hóa</w:t>
      </w:r>
      <w:r>
        <w:rPr>
          <w:rFonts w:ascii="Arial" w:hAnsi="Arial"/>
          <w:sz w:val="20"/>
        </w:rPr>
        <w:t>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phúc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vào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</w:t>
      </w:r>
    </w:p>
    <w:p w14:paraId="38A03DC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và giám sát các công trình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3, 4 và 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766F907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tái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cư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nhân dân trong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310587B6" w14:textId="3CBCAF01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cơ s</w:t>
      </w:r>
      <w:r w:rsidR="000E3C47"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m:</w:t>
      </w:r>
    </w:p>
    <w:p w14:paraId="3C341561" w14:textId="3DFEF26D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nơi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dân cư xung quanh,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 w:rsidR="000E3C47"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</w:t>
      </w:r>
    </w:p>
    <w:p w14:paraId="3524EFEC" w14:textId="3BBBC40D" w:rsidR="00666A84" w:rsidRDefault="005746EC" w:rsidP="00897E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the</w:t>
      </w:r>
      <w:r w:rsidR="000E3C47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7BF6C8A" w14:textId="77777777" w:rsidR="00897E3C" w:rsidRDefault="00897E3C" w:rsidP="00897E3C">
      <w:pPr>
        <w:adjustRightInd w:val="0"/>
        <w:snapToGrid w:val="0"/>
        <w:spacing w:after="0" w:line="240" w:lineRule="auto"/>
        <w:ind w:firstLine="720"/>
        <w:jc w:val="both"/>
      </w:pPr>
    </w:p>
    <w:p w14:paraId="651507B9" w14:textId="77777777" w:rsidR="00666A84" w:rsidRDefault="005746EC" w:rsidP="00897E3C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72D63FFC" w14:textId="22D20D3F" w:rsidR="00666A84" w:rsidRDefault="005746EC" w:rsidP="00897E3C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NĂNG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 xml:space="preserve">C VÀ </w:t>
      </w:r>
      <w:r w:rsidR="00897E3C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M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C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197B1B46" w14:textId="77777777" w:rsidR="00897E3C" w:rsidRDefault="00897E3C" w:rsidP="00897E3C">
      <w:pPr>
        <w:adjustRightInd w:val="0"/>
        <w:snapToGrid w:val="0"/>
        <w:spacing w:after="0" w:line="240" w:lineRule="auto"/>
        <w:ind w:firstLine="720"/>
        <w:jc w:val="both"/>
      </w:pPr>
    </w:p>
    <w:p w14:paraId="2061A97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z w:val="20"/>
        </w:rPr>
        <w:t xml:space="preserve">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hòa bình</w:t>
      </w:r>
    </w:p>
    <w:p w14:paraId="5DAE60D7" w14:textId="644413FD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quan:</w:t>
      </w:r>
    </w:p>
    <w:p w14:paraId="05C5FD9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hòa bình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là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c),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chính sau đây:</w:t>
      </w:r>
    </w:p>
    <w:p w14:paraId="179D2E8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Quan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m: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ng,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hòa bình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</w:t>
      </w:r>
      <w:r>
        <w:rPr>
          <w:rFonts w:ascii="Arial" w:hAnsi="Arial"/>
          <w:sz w:val="20"/>
        </w:rPr>
        <w:t>n, an ninh,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;</w:t>
      </w:r>
    </w:p>
    <w:p w14:paraId="040F4AF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tiêu: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quát,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theo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các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khác có liên quan;</w:t>
      </w:r>
    </w:p>
    <w:p w14:paraId="59BA94C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tâm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trong các ngành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“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65E9997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chính sách,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nâng cao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và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chúng;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và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4DB12C8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2106A0D2" w14:textId="478B9111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kèm theo báo cáo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trình ph</w:t>
      </w:r>
      <w:r w:rsidR="000E3C47">
        <w:rPr>
          <w:rFonts w:ascii="Arial" w:hAnsi="Arial"/>
          <w:sz w:val="20"/>
        </w:rPr>
        <w:t>ê</w:t>
      </w:r>
      <w:r>
        <w:rPr>
          <w:rFonts w:ascii="Arial" w:hAnsi="Arial"/>
          <w:sz w:val="20"/>
        </w:rPr>
        <w:t xml:space="preserve">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quan.</w:t>
      </w:r>
    </w:p>
    <w:p w14:paraId="16546757" w14:textId="1FC2F4C2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góp ý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trình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trình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báo cáo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 và báo cáo t</w:t>
      </w:r>
      <w:r w:rsidR="000E3C47"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cơ quan, t</w:t>
      </w:r>
      <w:r w:rsidR="000E3C47"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quan.</w:t>
      </w:r>
    </w:p>
    <w:p w14:paraId="3F0D404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năng</w:t>
      </w:r>
      <w:r>
        <w:rPr>
          <w:rFonts w:ascii="Arial" w:hAnsi="Arial"/>
          <w:b/>
          <w:sz w:val="20"/>
        </w:rPr>
        <w:t xml:space="preserve">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hòa bình</w:t>
      </w:r>
    </w:p>
    <w:p w14:paraId="7A67F586" w14:textId="24922550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cơ quan liên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0143210D" w14:textId="57B6355C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cơ quan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07579D82" w14:textId="57714123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cơ quan liên quan theo dõi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bá</w:t>
      </w:r>
      <w:r>
        <w:rPr>
          <w:rFonts w:ascii="Arial" w:hAnsi="Arial"/>
          <w:sz w:val="20"/>
        </w:rPr>
        <w:t>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47423707" w14:textId="533AD276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05 năm,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đánh giá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phát tri</w:t>
      </w:r>
      <w:r w:rsidR="000E3C47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5245F2BA" w14:textId="2DD186F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.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</w:t>
      </w:r>
      <w:r w:rsidR="000E3C47">
        <w:rPr>
          <w:rFonts w:ascii="Arial" w:hAnsi="Arial"/>
          <w:sz w:val="20"/>
        </w:rPr>
        <w:t>ă</w:t>
      </w:r>
      <w:r>
        <w:rPr>
          <w:rFonts w:ascii="Arial" w:hAnsi="Arial"/>
          <w:sz w:val="20"/>
        </w:rPr>
        <w:t>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tham gia giám sát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tính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607DB05F" w14:textId="3600862C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m, tăng cư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năng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c,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c, tài chính, c</w:t>
      </w:r>
      <w:r w:rsidR="000E3C47">
        <w:rPr>
          <w:rFonts w:ascii="Arial" w:hAnsi="Arial"/>
          <w:b/>
          <w:sz w:val="20"/>
        </w:rPr>
        <w:t>ơ</w:t>
      </w:r>
      <w:r>
        <w:rPr>
          <w:rFonts w:ascii="Arial" w:hAnsi="Arial"/>
          <w:b/>
          <w:sz w:val="20"/>
        </w:rPr>
        <w:t xml:space="preserve">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t-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cho cư quan an toàn b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x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 và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nhân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gia và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cơ quan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an toàn b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x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, an toàn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nhân và an ninh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nhân</w:t>
      </w:r>
    </w:p>
    <w:p w14:paraId="50E40E7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như sau:</w:t>
      </w:r>
    </w:p>
    <w:p w14:paraId="580AEE6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nh tăng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67F78141" w14:textId="78DBC98B" w:rsidR="00666A84" w:rsidRDefault="005746EC" w:rsidP="000E3C47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</w:t>
      </w:r>
      <w:r w:rsidR="000E3C47">
        <w:t xml:space="preserve">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ưu đãi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1D26900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Chuyên gia, nhà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chuyên môn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48C3D7B7" w14:textId="10DB195C" w:rsidR="00666A84" w:rsidRDefault="005746EC" w:rsidP="000E3C47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 w:rsidR="000E3C47">
        <w:t xml:space="preserve"> </w:t>
      </w:r>
      <w:r>
        <w:rPr>
          <w:rFonts w:ascii="Arial" w:hAnsi="Arial"/>
          <w:sz w:val="20"/>
        </w:rPr>
        <w:t>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duy trì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lõi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toàn, an ninh và thanh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1C376C9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kinh phí như sau:</w:t>
      </w:r>
    </w:p>
    <w:p w14:paraId="154C8511" w14:textId="5BDF4521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 chi phí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trìn</w:t>
      </w:r>
      <w:r>
        <w:rPr>
          <w:rFonts w:ascii="Arial" w:hAnsi="Arial"/>
          <w:sz w:val="20"/>
        </w:rPr>
        <w:t>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 w:rsidR="000E3C47">
        <w:rPr>
          <w:rFonts w:ascii="Arial" w:hAnsi="Arial"/>
          <w:sz w:val="20"/>
        </w:rPr>
        <w:t>ã</w:t>
      </w:r>
      <w:r>
        <w:rPr>
          <w:rFonts w:ascii="Arial" w:hAnsi="Arial"/>
          <w:sz w:val="20"/>
        </w:rPr>
        <w:t>i ng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cho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33998BDB" w14:textId="40DE14D6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kinh phí thuê chuyên gia,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</w:t>
      </w:r>
      <w:r w:rsidR="000E3C47">
        <w:rPr>
          <w:rFonts w:ascii="Arial" w:hAnsi="Arial"/>
          <w:sz w:val="20"/>
        </w:rPr>
        <w:t>à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sát,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khác.</w:t>
      </w:r>
    </w:p>
    <w:p w14:paraId="2497309E" w14:textId="67D4103A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Các cơ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trung ương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sau:</w:t>
      </w:r>
    </w:p>
    <w:p w14:paraId="5730F1F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kinh phí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phân công, p</w:t>
      </w:r>
      <w:r>
        <w:rPr>
          <w:rFonts w:ascii="Arial" w:hAnsi="Arial"/>
          <w:sz w:val="20"/>
        </w:rPr>
        <w:t>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công tác chuyên trách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ưu đãi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0BC079E3" w14:textId="7591EC20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</w:t>
      </w:r>
      <w:r w:rsidR="000E3C47"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7210C06B" w14:textId="2A3F8946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cho cơ quan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cho cơ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l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ghép vào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báo cáo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07B2C99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ng khoa h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c và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nhân</w:t>
      </w:r>
    </w:p>
    <w:p w14:paraId="70ECCED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</w:t>
      </w:r>
      <w:r>
        <w:rPr>
          <w:rFonts w:ascii="Arial" w:hAnsi="Arial"/>
          <w:sz w:val="20"/>
        </w:rPr>
        <w:t>inh phí cho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duy trì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theo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dài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phát t</w:t>
      </w:r>
      <w:r>
        <w:rPr>
          <w:rFonts w:ascii="Arial" w:hAnsi="Arial"/>
          <w:sz w:val="20"/>
        </w:rPr>
        <w:t>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47C718C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3C0E065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ghi đo và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chuyên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khác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01155FF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</w:t>
      </w:r>
      <w:r>
        <w:rPr>
          <w:rFonts w:ascii="Arial" w:hAnsi="Arial"/>
          <w:sz w:val="20"/>
        </w:rPr>
        <w:t>Trung tâm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2C0E6676" w14:textId="7F4A69A9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Phòng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mô ph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 w:rsidR="000E3C47"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3F7D826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các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tính toán chuyên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4D007DF9" w14:textId="1769424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giám sát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 w:rsidR="000E3C47"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26EDA5CE" w14:textId="577E1A4F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và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trang thi</w:t>
      </w:r>
      <w:r w:rsidR="000E3C47"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khác.</w:t>
      </w:r>
    </w:p>
    <w:p w14:paraId="05FE9C5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cơ quan liên quan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có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tâm,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và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.</w:t>
      </w:r>
    </w:p>
    <w:p w14:paraId="13C07A8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ng:</w:t>
      </w:r>
    </w:p>
    <w:p w14:paraId="5A29DE2B" w14:textId="1A023043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an toàn b</w:t>
      </w:r>
      <w:r w:rsidR="000E3C47"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133CEFE4" w14:textId="5C5684E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ngành, lĩnh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gia,.quy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là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y t</w:t>
      </w:r>
      <w:r w:rsidR="000E3C47"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tài nguyên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</w:t>
      </w:r>
    </w:p>
    <w:p w14:paraId="23CBB04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hích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nâng cao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48CA3F49" w14:textId="7E3EF223" w:rsidR="00666A84" w:rsidRDefault="005746EC" w:rsidP="00897E3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 w:rsidR="00897E3C"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ng cho </w:t>
      </w:r>
      <w:r w:rsidR="00897E3C">
        <w:rPr>
          <w:rFonts w:ascii="Arial" w:hAnsi="Arial"/>
          <w:sz w:val="20"/>
        </w:rPr>
        <w:t>phát triển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an</w:t>
      </w:r>
      <w:r w:rsidR="00897E3C">
        <w:t xml:space="preserve"> </w:t>
      </w:r>
      <w:r>
        <w:rPr>
          <w:rFonts w:ascii="Arial" w:hAnsi="Arial"/>
          <w:sz w:val="20"/>
        </w:rPr>
        <w:t>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 và </w:t>
      </w:r>
      <w:r w:rsidR="00897E3C">
        <w:rPr>
          <w:rFonts w:ascii="Arial" w:hAnsi="Arial"/>
          <w:sz w:val="20"/>
        </w:rPr>
        <w:t>phát triển</w:t>
      </w:r>
      <w:r>
        <w:rPr>
          <w:rFonts w:ascii="Arial" w:hAnsi="Arial"/>
          <w:sz w:val="20"/>
        </w:rPr>
        <w:t xml:space="preserve"> các phòng </w:t>
      </w:r>
      <w:r w:rsidR="00897E3C">
        <w:rPr>
          <w:rFonts w:ascii="Arial" w:hAnsi="Arial"/>
          <w:sz w:val="20"/>
        </w:rPr>
        <w:t>chuẩn liều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ion hóa qu</w:t>
      </w:r>
      <w:r w:rsidR="00897E3C"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11EAAA3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trong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7290B98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</w:t>
      </w:r>
      <w:r>
        <w:rPr>
          <w:rFonts w:ascii="Arial" w:hAnsi="Arial"/>
          <w:b/>
          <w:sz w:val="20"/>
        </w:rPr>
        <w:t xml:space="preserve">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 giao,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tiên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thân thi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môi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352A36B4" w14:textId="62CCDF23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ưu đãi theo qu</w:t>
      </w:r>
      <w:r w:rsidR="00551A3D"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 w:rsidR="000E3C4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2F8155F5" w14:textId="544B3278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the</w:t>
      </w:r>
      <w:r w:rsidR="000E3C47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trong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nh</w:t>
      </w:r>
      <w:r w:rsidR="000E3C47">
        <w:rPr>
          <w:rFonts w:ascii="Arial" w:hAnsi="Arial"/>
          <w:sz w:val="20"/>
        </w:rPr>
        <w:t>à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0FCB652F" w14:textId="4118906A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có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cho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</w:t>
      </w:r>
      <w:r>
        <w:rPr>
          <w:rFonts w:ascii="Arial" w:hAnsi="Arial"/>
          <w:sz w:val="20"/>
        </w:rPr>
        <w:t>u đ</w:t>
      </w:r>
      <w:r w:rsidR="000E3C47">
        <w:rPr>
          <w:rFonts w:ascii="Arial" w:hAnsi="Arial"/>
          <w:sz w:val="20"/>
        </w:rPr>
        <w:t>ã</w:t>
      </w:r>
      <w:r>
        <w:rPr>
          <w:rFonts w:ascii="Arial" w:hAnsi="Arial"/>
          <w:sz w:val="20"/>
        </w:rPr>
        <w:t>i trong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08F5730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quá trình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xem xét, đưa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ng;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tư.</w:t>
      </w:r>
    </w:p>
    <w:p w14:paraId="4B497FF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trong quá trình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ưu tiên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giao,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khích </w:t>
      </w:r>
      <w:r>
        <w:rPr>
          <w:rFonts w:ascii="Arial" w:hAnsi="Arial"/>
          <w:sz w:val="20"/>
        </w:rPr>
        <w:t>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5DBE428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Tăng cư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năng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 thi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a hóa, làm ch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</w:t>
      </w:r>
      <w:r>
        <w:rPr>
          <w:rFonts w:ascii="Arial" w:hAnsi="Arial"/>
          <w:b/>
          <w:sz w:val="20"/>
        </w:rPr>
        <w:t xml:space="preserve">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670BFAA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chung:</w:t>
      </w:r>
    </w:p>
    <w:p w14:paraId="519CCEC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tham gia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a;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ghi đo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chuyên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khác;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gia công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linh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tùng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07B5CC3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trong quá trình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ngoài.</w:t>
      </w:r>
    </w:p>
    <w:p w14:paraId="6469041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ưu tiên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BCFE97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</w:t>
      </w:r>
      <w:r>
        <w:rPr>
          <w:rFonts w:ascii="Arial" w:hAnsi="Arial"/>
          <w:sz w:val="20"/>
        </w:rPr>
        <w:t>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ghi đo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chuyên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khác;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gia công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linh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tùng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cung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ghi đo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chuyên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khác;</w:t>
      </w:r>
    </w:p>
    <w:p w14:paraId="623B2EC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và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ng;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sát,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137F4265" w14:textId="5D1B034A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nâng cao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 w:rsidR="000E3C47"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1422E0F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Hàng hóa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có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hàng hóa t</w:t>
      </w:r>
      <w:r>
        <w:rPr>
          <w:rFonts w:ascii="Arial" w:hAnsi="Arial"/>
          <w:sz w:val="20"/>
        </w:rPr>
        <w:t>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có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trong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191CB654" w14:textId="7EA067CA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y m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nh thông tin, tuyên truy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nâng cao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trong xã h</w:t>
      </w:r>
      <w:r w:rsidR="000E3C47"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ng </w:t>
      </w:r>
      <w:r w:rsidR="000E3C47">
        <w:rPr>
          <w:rFonts w:ascii="Arial" w:hAnsi="Arial"/>
          <w:b/>
          <w:sz w:val="20"/>
        </w:rPr>
        <w:t>năng lượng</w:t>
      </w:r>
      <w:r>
        <w:rPr>
          <w:rFonts w:ascii="Arial" w:hAnsi="Arial"/>
          <w:b/>
          <w:sz w:val="20"/>
        </w:rPr>
        <w:t xml:space="preserve"> nguyên t</w:t>
      </w:r>
      <w:r w:rsidR="000E3C47"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và thúc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 xml:space="preserve">y </w:t>
      </w:r>
      <w:r w:rsidR="00551A3D">
        <w:rPr>
          <w:rFonts w:ascii="Arial" w:hAnsi="Arial"/>
          <w:b/>
          <w:sz w:val="20"/>
        </w:rPr>
        <w:t>văn hóa</w:t>
      </w:r>
      <w:r>
        <w:rPr>
          <w:rFonts w:ascii="Arial" w:hAnsi="Arial"/>
          <w:b/>
          <w:sz w:val="20"/>
        </w:rPr>
        <w:t xml:space="preserve"> an toàn, văn hóa an ninh</w:t>
      </w:r>
    </w:p>
    <w:p w14:paraId="67B411DC" w14:textId="1FCCFA9C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Công tác thông tin,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</w:t>
      </w:r>
      <w:r w:rsidR="00551A3D">
        <w:t xml:space="preserve"> </w:t>
      </w:r>
      <w:r>
        <w:rPr>
          <w:rFonts w:ascii="Arial" w:hAnsi="Arial"/>
          <w:sz w:val="20"/>
        </w:rPr>
        <w:t>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sau:</w:t>
      </w:r>
    </w:p>
    <w:p w14:paraId="021E017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xuyên,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, có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tâm,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nhóm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;</w:t>
      </w:r>
    </w:p>
    <w:p w14:paraId="542ACBD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08DB6F0D" w14:textId="2F304E4C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>,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</w:t>
      </w:r>
      <w:r w:rsidR="000E3C47">
        <w:rPr>
          <w:rFonts w:ascii="Arial" w:hAnsi="Arial"/>
          <w:sz w:val="20"/>
        </w:rPr>
        <w:t>ê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</w:t>
      </w:r>
      <w:r w:rsidR="000E3C47">
        <w:rPr>
          <w:rFonts w:ascii="Arial" w:hAnsi="Arial"/>
          <w:sz w:val="20"/>
        </w:rPr>
        <w:t>ơ</w:t>
      </w:r>
      <w:r>
        <w:rPr>
          <w:rFonts w:ascii="Arial" w:hAnsi="Arial"/>
          <w:sz w:val="20"/>
        </w:rPr>
        <w:t xml:space="preserve">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cơ quan, t</w:t>
      </w:r>
      <w:r w:rsidR="00551A3D"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liên quan;</w:t>
      </w:r>
    </w:p>
    <w:p w14:paraId="653FEBB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ưu hóa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6042827A" w14:textId="5D4AEEED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chính xác,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trong </w:t>
      </w: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thông tin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quan liên quan và trong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cơ qua</w:t>
      </w:r>
      <w:r w:rsidR="000E3C47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văn hóa an toàn, văn hóa an ninh,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trong toàn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ng.</w:t>
      </w:r>
    </w:p>
    <w:p w14:paraId="427D8D19" w14:textId="4C4BFA05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</w:t>
      </w:r>
      <w:r w:rsidR="00551A3D"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liên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thông tin,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y </w:t>
      </w:r>
      <w:r w:rsidR="00551A3D">
        <w:rPr>
          <w:rFonts w:ascii="Arial" w:hAnsi="Arial"/>
          <w:sz w:val="20"/>
        </w:rPr>
        <w:t>văn hóa</w:t>
      </w:r>
      <w:r>
        <w:rPr>
          <w:rFonts w:ascii="Arial" w:hAnsi="Arial"/>
          <w:sz w:val="20"/>
        </w:rPr>
        <w:t xml:space="preserve"> an toàn, </w:t>
      </w:r>
      <w:r w:rsidR="00551A3D">
        <w:rPr>
          <w:rFonts w:ascii="Arial" w:hAnsi="Arial"/>
          <w:sz w:val="20"/>
        </w:rPr>
        <w:t>văn hóa</w:t>
      </w:r>
      <w:r>
        <w:rPr>
          <w:rFonts w:ascii="Arial" w:hAnsi="Arial"/>
          <w:sz w:val="20"/>
        </w:rPr>
        <w:t xml:space="preserve">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659AD7EA" w14:textId="4ABE8083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Tăng cư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p,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tác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và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cam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 w:rsidR="000E3C47"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005A1210" w14:textId="41287C6B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 w:rsidR="000E3C47"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:</w:t>
      </w:r>
    </w:p>
    <w:p w14:paraId="1A73B26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chính sách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các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viên;</w:t>
      </w:r>
    </w:p>
    <w:p w14:paraId="43F30042" w14:textId="68FF1718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Ưu tiên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</w:t>
      </w:r>
      <w:r w:rsidR="00551A3D">
        <w:t xml:space="preserve">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trong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5C5DB43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:</w:t>
      </w:r>
    </w:p>
    <w:p w14:paraId="11D7DD2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214BF0F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trong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an ninh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79681EB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khai thác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chung,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trung tâm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2A6FAE1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tham gia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tác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song phương và đa phương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1976B78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trong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giám sát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nhân,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thanh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7A6C2DC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tác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công,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công tư,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khá</w:t>
      </w:r>
      <w:r>
        <w:rPr>
          <w:rFonts w:ascii="Arial" w:hAnsi="Arial"/>
          <w:sz w:val="20"/>
        </w:rPr>
        <w:t>c.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đó;</w:t>
      </w:r>
    </w:p>
    <w:p w14:paraId="2324324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khác tr</w:t>
      </w:r>
      <w:r>
        <w:rPr>
          <w:rFonts w:ascii="Arial" w:hAnsi="Arial"/>
          <w:sz w:val="20"/>
        </w:rPr>
        <w:t>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viên.</w:t>
      </w:r>
    </w:p>
    <w:p w14:paraId="3EA9E70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sách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:</w:t>
      </w:r>
    </w:p>
    <w:p w14:paraId="1710961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cư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25BB49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và các </w:t>
      </w:r>
      <w:r>
        <w:rPr>
          <w:rFonts w:ascii="Arial" w:hAnsi="Arial"/>
          <w:sz w:val="20"/>
        </w:rPr>
        <w:lastRenderedPageBreak/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chuyên môn khác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xem xét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</w:t>
      </w:r>
      <w:r>
        <w:rPr>
          <w:rFonts w:ascii="Arial" w:hAnsi="Arial"/>
          <w:sz w:val="20"/>
        </w:rPr>
        <w:t>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quan;</w:t>
      </w:r>
    </w:p>
    <w:p w14:paraId="432B1D4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tác công </w:t>
      </w:r>
      <w:r>
        <w:rPr>
          <w:rFonts w:ascii="Arial" w:hAnsi="Arial"/>
          <w:sz w:val="20"/>
        </w:rPr>
        <w:t>tư,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6810124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kinh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</w:t>
      </w:r>
      <w:r>
        <w:rPr>
          <w:rFonts w:ascii="Arial" w:hAnsi="Arial"/>
          <w:sz w:val="20"/>
        </w:rPr>
        <w:t>à thành viên.</w:t>
      </w:r>
    </w:p>
    <w:p w14:paraId="4B99F89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đã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chương trình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6CE1DD8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khi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công tác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và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vào làm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2FFC010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chính sách thu hút,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tài năng là chuyên gia, nhà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tiên,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chính sách thu hút,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tài năng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</w:t>
      </w:r>
      <w:r>
        <w:rPr>
          <w:rFonts w:ascii="Arial" w:hAnsi="Arial"/>
          <w:sz w:val="20"/>
        </w:rPr>
        <w:t xml:space="preserve">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71C0F90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là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sau khi hoàn thành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trí, phân công công tác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chuyên môn, nă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131D9ECA" w14:textId="1D25ED7B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tính là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xét nâng b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c lương, nâng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t; </w:t>
      </w:r>
    </w:p>
    <w:p w14:paraId="726175E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thành tích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vào làm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1FF647C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</w:t>
      </w:r>
    </w:p>
    <w:p w14:paraId="462BDA1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 Cơ quan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là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và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</w:t>
      </w:r>
    </w:p>
    <w:p w14:paraId="1B5A341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 liên quan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</w:t>
      </w:r>
    </w:p>
    <w:p w14:paraId="6E8D35BD" w14:textId="77777777" w:rsidR="00666A84" w:rsidRDefault="005746EC" w:rsidP="00551A3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cơ quan liên quan khác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đàm phán,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cơ 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thu hút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các cơ quan liên</w:t>
      </w:r>
      <w:r>
        <w:rPr>
          <w:rFonts w:ascii="Arial" w:hAnsi="Arial"/>
          <w:sz w:val="20"/>
        </w:rPr>
        <w:t xml:space="preserve"> quan tham mưu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4B22BA93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A537644" w14:textId="53144187" w:rsidR="00666A84" w:rsidRDefault="005746EC" w:rsidP="00551A3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2EECEA0B" w14:textId="77777777" w:rsidR="00666A84" w:rsidRDefault="005746EC" w:rsidP="00551A3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CHÍNH SÁCH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</w:t>
      </w:r>
    </w:p>
    <w:p w14:paraId="0AEC0CA4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51DB6B95" w14:textId="0E5C6DC6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Đào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, b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>ng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69BB06D2" w14:textId="5DBFB0A4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y,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 và ban hành </w:t>
      </w:r>
      <w:r w:rsidR="00382E87">
        <w:rPr>
          <w:rFonts w:ascii="Arial" w:hAnsi="Arial"/>
          <w:sz w:val="20"/>
        </w:rPr>
        <w:t xml:space="preserve">chuẩn </w:t>
      </w:r>
      <w:r>
        <w:rPr>
          <w:rFonts w:ascii="Arial" w:hAnsi="Arial"/>
          <w:sz w:val="20"/>
        </w:rPr>
        <w:t>chương</w:t>
      </w:r>
      <w:r>
        <w:rPr>
          <w:rFonts w:ascii="Arial" w:hAnsi="Arial"/>
          <w:sz w:val="20"/>
        </w:rPr>
        <w:t xml:space="preserve"> trình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và thông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4701A25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ưu tiên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là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24BEE88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Kinh phí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trong lĩnh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sau:</w:t>
      </w:r>
    </w:p>
    <w:p w14:paraId="4AEC8BD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y,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6FBCB0E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34DBA84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vay ưu đãi,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ngoài.</w:t>
      </w:r>
    </w:p>
    <w:p w14:paraId="69D33FC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phái,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chuyên môn:</w:t>
      </w:r>
    </w:p>
    <w:p w14:paraId="6843620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lĩnh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phái,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chuyên môn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nâng cao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huyên môn,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hành;</w:t>
      </w:r>
    </w:p>
    <w:p w14:paraId="7C1590F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và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hàng năm,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</w:t>
      </w:r>
    </w:p>
    <w:p w14:paraId="3478820D" w14:textId="7F0EEC60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phái,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 w:rsidR="00551A3D"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đúng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0E220F2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đào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nguyên lương,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BAD251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đi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</w:t>
      </w:r>
      <w:r>
        <w:rPr>
          <w:rFonts w:ascii="Arial" w:hAnsi="Arial"/>
          <w:sz w:val="20"/>
        </w:rPr>
        <w:t>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C75955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ưu đãi ngh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và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nguy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làm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55EFE3BB" w14:textId="5EC7DE19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cơ quan </w:t>
      </w:r>
      <w:r>
        <w:rPr>
          <w:rFonts w:ascii="Arial" w:hAnsi="Arial"/>
          <w:sz w:val="20"/>
        </w:rPr>
        <w:t>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cơ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trung ương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đ</w:t>
      </w:r>
      <w:r>
        <w:rPr>
          <w:rFonts w:ascii="Arial" w:hAnsi="Arial"/>
          <w:sz w:val="20"/>
        </w:rPr>
        <w:t>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quan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ưu đãi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là 70%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theo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c.</w:t>
      </w:r>
    </w:p>
    <w:p w14:paraId="6F0059B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B7DD68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ưu đãi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trong </w:t>
      </w:r>
      <w:r>
        <w:rPr>
          <w:rFonts w:ascii="Arial" w:hAnsi="Arial"/>
          <w:sz w:val="20"/>
        </w:rPr>
        <w:t>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59CFE2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Chính sách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trình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cao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12CEB55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Tiêu chí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chính</w:t>
      </w:r>
      <w:r>
        <w:rPr>
          <w:rFonts w:ascii="Arial" w:hAnsi="Arial"/>
          <w:sz w:val="20"/>
        </w:rPr>
        <w:t xml:space="preserve"> sách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công trình sư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sư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công trình sư,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sư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1F0EE98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Tiêu chí, quy trình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chuyên gia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thu hút chuyên gia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1A209DC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tài năng,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sư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tài năng;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chính sách thu hút,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tài năng.</w:t>
      </w:r>
    </w:p>
    <w:p w14:paraId="7050CF2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Tiêu chí,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tài năng,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sư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tài năng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nhân tài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6728D7EC" w14:textId="7914E3DB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chính sách thu hút,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tài năng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chính sách thu hút,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có tài </w:t>
      </w:r>
      <w:r>
        <w:rPr>
          <w:rFonts w:ascii="Arial" w:hAnsi="Arial"/>
          <w:sz w:val="20"/>
        </w:rPr>
        <w:t>năng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Nam, </w:t>
      </w:r>
      <w:r w:rsidR="00382E87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24F06C3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Ưu tiên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sinh viên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t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gi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tr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lên các chuyên ngành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</w:t>
      </w:r>
      <w:r>
        <w:rPr>
          <w:rFonts w:ascii="Arial" w:hAnsi="Arial"/>
          <w:b/>
          <w:sz w:val="20"/>
        </w:rPr>
        <w:t>uyên t</w:t>
      </w:r>
      <w:r>
        <w:rPr>
          <w:rFonts w:ascii="Arial" w:hAnsi="Arial"/>
          <w:b/>
          <w:sz w:val="20"/>
        </w:rPr>
        <w:t>ử</w:t>
      </w:r>
    </w:p>
    <w:p w14:paraId="3673B6D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Sinh viên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các chuyên ngành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lý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lý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hóa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hóa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chuyên ngành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khác có liên quan ph</w:t>
      </w:r>
      <w:r>
        <w:rPr>
          <w:rFonts w:ascii="Arial" w:hAnsi="Arial"/>
          <w:sz w:val="20"/>
        </w:rPr>
        <w:t>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khi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sau:</w:t>
      </w:r>
    </w:p>
    <w:p w14:paraId="103A5FE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Trong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thanh niên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niên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sơ;</w:t>
      </w:r>
    </w:p>
    <w:p w14:paraId="2A7DD5D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t,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quá trình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</w:t>
      </w:r>
    </w:p>
    <w:p w14:paraId="388095E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văn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án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c.</w:t>
      </w:r>
    </w:p>
    <w:p w14:paraId="3803BD19" w14:textId="77777777" w:rsidR="00666A84" w:rsidRDefault="005746EC" w:rsidP="00551A3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sinh viên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</w:t>
      </w:r>
      <w:r>
        <w:rPr>
          <w:rFonts w:ascii="Arial" w:hAnsi="Arial"/>
          <w:sz w:val="20"/>
        </w:rPr>
        <w:t>g qua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xét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xét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05C550F1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</w:pPr>
    </w:p>
    <w:p w14:paraId="027A3D6E" w14:textId="77777777" w:rsidR="00666A84" w:rsidRDefault="005746EC" w:rsidP="00551A3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</w:t>
      </w:r>
    </w:p>
    <w:p w14:paraId="2693542B" w14:textId="4C822511" w:rsidR="00666A84" w:rsidRDefault="005746EC" w:rsidP="00551A3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CHÍNH SÁCH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HÓA TR</w:t>
      </w:r>
      <w:r w:rsidR="000E3C47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C </w:t>
      </w:r>
      <w:r w:rsidR="00551A3D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5125DF93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</w:pPr>
    </w:p>
    <w:p w14:paraId="7D10B9B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hóa tro</w:t>
      </w:r>
      <w:r>
        <w:rPr>
          <w:rFonts w:ascii="Arial" w:hAnsi="Arial"/>
          <w:b/>
          <w:sz w:val="20"/>
        </w:rPr>
        <w:t>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1FEA129B" w14:textId="165D477D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coi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và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</w:t>
      </w:r>
      <w:r w:rsidR="00551A3D"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tham gia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71D87A6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hình </w:t>
      </w:r>
      <w:r>
        <w:rPr>
          <w:rFonts w:ascii="Arial" w:hAnsi="Arial"/>
          <w:sz w:val="20"/>
        </w:rPr>
        <w:t>thành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không hoàn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quá trình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chung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ng.</w:t>
      </w:r>
    </w:p>
    <w:p w14:paraId="18DCC72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trên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68D178F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tham gia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hóa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c năng </w:t>
      </w:r>
      <w:r>
        <w:rPr>
          <w:rFonts w:ascii="Arial" w:hAnsi="Arial"/>
          <w:b/>
          <w:sz w:val="20"/>
        </w:rPr>
        <w:t>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4719717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tham gia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179FEC05" w14:textId="25AA1CC7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lĩnh</w:t>
      </w:r>
      <w:r w:rsidR="00551A3D"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EB3EF1D" w14:textId="5A4579D1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theo quy</w:t>
      </w:r>
      <w:r w:rsidR="00551A3D"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7E8DCE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B6FCB6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này, các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sau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hóa:</w:t>
      </w:r>
    </w:p>
    <w:p w14:paraId="4ADA487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là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0401DA9A" w14:textId="4E1DA48F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</w:t>
      </w:r>
      <w:r w:rsidR="00551A3D">
        <w:t xml:space="preserve"> </w:t>
      </w:r>
      <w:r>
        <w:rPr>
          <w:rFonts w:ascii="Arial" w:hAnsi="Arial"/>
          <w:sz w:val="20"/>
        </w:rPr>
        <w:t>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562BEDC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p, cá nhân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6E4EE9F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</w:t>
      </w:r>
    </w:p>
    <w:p w14:paraId="6472019E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04B4EB6F" w14:textId="23348705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2BB8BD6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p, cá nhân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9477F4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hóa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nguyên t</w:t>
      </w:r>
      <w:r>
        <w:rPr>
          <w:rFonts w:ascii="Arial" w:hAnsi="Arial"/>
          <w:b/>
          <w:sz w:val="20"/>
        </w:rPr>
        <w:t>ử</w:t>
      </w:r>
    </w:p>
    <w:p w14:paraId="76EA6C4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1A47F2E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553F249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đóng góp,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26AD0E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tác,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06DCFBE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vay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mua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66B943A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6C656356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Chính sách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hóa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năng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nguy</w:t>
      </w:r>
      <w:r>
        <w:rPr>
          <w:rFonts w:ascii="Arial" w:hAnsi="Arial"/>
          <w:b/>
          <w:sz w:val="20"/>
        </w:rPr>
        <w:t>ên t</w:t>
      </w:r>
      <w:r>
        <w:rPr>
          <w:rFonts w:ascii="Arial" w:hAnsi="Arial"/>
          <w:b/>
          <w:sz w:val="20"/>
        </w:rPr>
        <w:t>ử</w:t>
      </w:r>
    </w:p>
    <w:p w14:paraId="08A0DC3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1E2E160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c, d,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691107A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quy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D2B04D4" w14:textId="14268736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 nhân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</w:t>
      </w:r>
      <w:r w:rsidR="00551A3D">
        <w:t xml:space="preserve">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hó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hình, tiêu chí quy mô,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66505A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phát tr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5C9743FE" w14:textId="77777777" w:rsidR="00666A84" w:rsidRDefault="005746EC" w:rsidP="00551A3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vào chi phí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phí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200</w:t>
      </w:r>
      <w:r>
        <w:rPr>
          <w:rFonts w:ascii="Arial" w:hAnsi="Arial"/>
          <w:sz w:val="20"/>
        </w:rPr>
        <w:t>% chi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này khi tính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tư nhân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08208090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</w:pPr>
    </w:p>
    <w:p w14:paraId="5A8D487B" w14:textId="77777777" w:rsidR="00551A3D" w:rsidRDefault="005746EC" w:rsidP="00551A3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 xml:space="preserve">hương VI </w:t>
      </w:r>
    </w:p>
    <w:p w14:paraId="32183D11" w14:textId="7756DDF0" w:rsidR="00666A84" w:rsidRDefault="005746EC" w:rsidP="00551A3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6C9DA885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</w:pPr>
    </w:p>
    <w:p w14:paraId="66EB8E3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u,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có liên quan</w:t>
      </w:r>
    </w:p>
    <w:p w14:paraId="75BABF8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41/2019/NĐ-CP ngày 15 tháng 5 năm 2019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nh, phê </w:t>
      </w:r>
      <w:r>
        <w:rPr>
          <w:rFonts w:ascii="Arial" w:hAnsi="Arial"/>
          <w:sz w:val="20"/>
        </w:rPr>
        <w:t>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đánh giá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như sau:</w:t>
      </w:r>
    </w:p>
    <w:p w14:paraId="18533E38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như sau:</w:t>
      </w:r>
    </w:p>
    <w:p w14:paraId="4C86B499" w14:textId="7922801B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Quan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át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trong các ngành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tài nguyên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các ngành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khác, phát t</w:t>
      </w:r>
      <w:r>
        <w:rPr>
          <w:rFonts w:ascii="Arial" w:hAnsi="Arial"/>
          <w:sz w:val="20"/>
        </w:rPr>
        <w:t>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toàn,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ưu tiên;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pháp, n</w:t>
      </w:r>
      <w:r>
        <w:rPr>
          <w:rFonts w:ascii="Arial" w:hAnsi="Arial"/>
          <w:sz w:val="20"/>
        </w:rPr>
        <w:t>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66CB2BA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sau đây: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nâng cao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và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tài chính và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ch.”.</w:t>
      </w:r>
    </w:p>
    <w:p w14:paraId="1B563F8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như sau:</w:t>
      </w:r>
    </w:p>
    <w:p w14:paraId="56CF9E5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“đ)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toàn,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trong đó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quan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chôn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chôn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nh.”.</w:t>
      </w:r>
    </w:p>
    <w:p w14:paraId="75FA655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</w:t>
      </w:r>
      <w:r>
        <w:rPr>
          <w:rFonts w:ascii="Arial" w:hAnsi="Arial"/>
          <w:sz w:val="20"/>
        </w:rPr>
        <w:t>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như sau:</w:t>
      </w:r>
    </w:p>
    <w:p w14:paraId="220DBBF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Chi phí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đánh giá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</w:t>
      </w:r>
      <w:r>
        <w:rPr>
          <w:rFonts w:ascii="Arial" w:hAnsi="Arial"/>
          <w:sz w:val="20"/>
        </w:rPr>
        <w:t>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khác”.</w:t>
      </w:r>
    </w:p>
    <w:p w14:paraId="03F140D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như sau:</w:t>
      </w:r>
    </w:p>
    <w:p w14:paraId="595205F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trong ngành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trong ngành tài nguyên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 xml:space="preserve"> trong ngành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Thương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trong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toàn, an nin</w:t>
      </w:r>
      <w:r>
        <w:rPr>
          <w:rFonts w:ascii="Arial" w:hAnsi="Arial"/>
          <w:sz w:val="20"/>
        </w:rPr>
        <w:t>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nhân”.</w:t>
      </w:r>
    </w:p>
    <w:p w14:paraId="3ABCEBD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như sau:</w:t>
      </w:r>
    </w:p>
    <w:p w14:paraId="7CAF852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có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11 thành viên.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và các thành viên.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và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Thương,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quan, chuyên gia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”.</w:t>
      </w:r>
    </w:p>
    <w:p w14:paraId="7493BC92" w14:textId="3B997B74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11a vào sau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như sau:</w:t>
      </w:r>
    </w:p>
    <w:p w14:paraId="62B62F0A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11a.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quy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</w:t>
      </w:r>
    </w:p>
    <w:p w14:paraId="0237722C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2423A5C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1 Chương II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41/2019/NĐ-CP ngày 15 tháng 5 năm 2019”.</w:t>
      </w:r>
    </w:p>
    <w:p w14:paraId="069C7C9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như sau:</w:t>
      </w:r>
    </w:p>
    <w:p w14:paraId="3C63C861" w14:textId="72F37751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có liên quan,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dân cư,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ch”.</w:t>
      </w:r>
    </w:p>
    <w:p w14:paraId="5B0AF4D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như sau:</w:t>
      </w:r>
    </w:p>
    <w:p w14:paraId="4E5F165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có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u 11 </w:t>
      </w:r>
      <w:r>
        <w:rPr>
          <w:rFonts w:ascii="Arial" w:hAnsi="Arial"/>
          <w:sz w:val="20"/>
        </w:rPr>
        <w:t>thành viên.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và các thành viên.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Thương,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cơ </w:t>
      </w:r>
      <w:r>
        <w:rPr>
          <w:rFonts w:ascii="Arial" w:hAnsi="Arial"/>
          <w:sz w:val="20"/>
        </w:rPr>
        <w:t>quan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có liên quan, </w:t>
      </w:r>
      <w:r>
        <w:rPr>
          <w:rFonts w:ascii="Arial" w:hAnsi="Arial"/>
          <w:sz w:val="20"/>
        </w:rPr>
        <w:lastRenderedPageBreak/>
        <w:t>chuyên gia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03 thành viên là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n;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10 năm kinh n</w:t>
      </w:r>
      <w:r>
        <w:rPr>
          <w:rFonts w:ascii="Arial" w:hAnsi="Arial"/>
          <w:sz w:val="20"/>
        </w:rPr>
        <w:t>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chuyên môn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p”.</w:t>
      </w:r>
    </w:p>
    <w:p w14:paraId="30E92A0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 như sau:</w:t>
      </w:r>
    </w:p>
    <w:p w14:paraId="7BFF06C4" w14:textId="7617A845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Thương,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</w:t>
      </w:r>
      <w:r>
        <w:rPr>
          <w:rFonts w:ascii="Arial" w:hAnsi="Arial"/>
          <w:sz w:val="20"/>
        </w:rPr>
        <w:t>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khác có liên quan và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liên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ch”.</w:t>
      </w:r>
    </w:p>
    <w:p w14:paraId="01B38970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3 và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31 như sau:</w:t>
      </w:r>
    </w:p>
    <w:p w14:paraId="5FAC4775" w14:textId="6E28790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</w:t>
      </w:r>
      <w:r>
        <w:rPr>
          <w:rFonts w:ascii="Arial" w:hAnsi="Arial"/>
          <w:sz w:val="20"/>
        </w:rPr>
        <w:t>g Thương,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khác có liên quan và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trong đó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ban hành chính sách,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6F3E2F1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sau đây:</w:t>
      </w:r>
    </w:p>
    <w:p w14:paraId="3FA08EA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công;</w:t>
      </w:r>
    </w:p>
    <w:p w14:paraId="0D8E1AC1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khác ngoài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công;</w:t>
      </w:r>
    </w:p>
    <w:p w14:paraId="1A4D4348" w14:textId="503B0822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 w:rsidR="00551A3D">
        <w:t xml:space="preserve"> </w:t>
      </w:r>
      <w:r>
        <w:rPr>
          <w:rFonts w:ascii="Arial" w:hAnsi="Arial"/>
          <w:sz w:val="20"/>
        </w:rPr>
        <w:t>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</w:t>
      </w:r>
    </w:p>
    <w:p w14:paraId="211AD89B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khác.</w:t>
      </w:r>
    </w:p>
    <w:p w14:paraId="46530646" w14:textId="1FEC6885" w:rsidR="00666A84" w:rsidRDefault="005746EC" w:rsidP="00551A3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trình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trình</w:t>
      </w:r>
      <w:r w:rsidR="00551A3D">
        <w:t xml:space="preserve"> </w:t>
      </w:r>
      <w:r>
        <w:rPr>
          <w:rFonts w:ascii="Arial" w:hAnsi="Arial"/>
          <w:sz w:val="20"/>
        </w:rPr>
        <w:t>b</w:t>
      </w:r>
      <w:r w:rsidR="00382E8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báo cáo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tham gia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liên quan”.</w:t>
      </w:r>
    </w:p>
    <w:p w14:paraId="7A248D82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34 như sau:</w:t>
      </w:r>
    </w:p>
    <w:p w14:paraId="6755AB8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làm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Chương II và Chương III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theo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rút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khi không làm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quan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và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q</w:t>
      </w:r>
      <w:r>
        <w:rPr>
          <w:rFonts w:ascii="Arial" w:hAnsi="Arial"/>
          <w:sz w:val="20"/>
        </w:rPr>
        <w:t>uát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tính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theo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rút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như sau:</w:t>
      </w:r>
    </w:p>
    <w:p w14:paraId="5CA1A105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xin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 Báo cáo xin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rõ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có mâu thu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cao hơn,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</w:t>
      </w:r>
    </w:p>
    <w:p w14:paraId="3FAB3441" w14:textId="2B24EE5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giao cơ qua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xin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khác có liên quan và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xin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báo cáo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sơ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2600699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cơ quan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xin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n.</w:t>
      </w:r>
    </w:p>
    <w:p w14:paraId="78E0C197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Cơ quan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có liên quan,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báo cáo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ng Chính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trình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trình;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báo cáo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ch; báo cáo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góp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có liên quan;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sơ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có).”.</w:t>
      </w:r>
    </w:p>
    <w:p w14:paraId="616FACF9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170/2025/NĐ-CP ngày 30 tháng 6 năm 2025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như sau:</w:t>
      </w:r>
    </w:p>
    <w:p w14:paraId="144BB4AF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“4. Sinh viên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các chuyên ngành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”.</w:t>
      </w:r>
    </w:p>
    <w:p w14:paraId="375F6A74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6283A58D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gày 01 tháng 01 năm 2026.</w:t>
      </w:r>
    </w:p>
    <w:p w14:paraId="6F730203" w14:textId="77777777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2A212D98" w14:textId="4758B432" w:rsidR="00666A84" w:rsidRDefault="005746EC" w:rsidP="004456E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này. </w:t>
      </w:r>
    </w:p>
    <w:p w14:paraId="55DEE779" w14:textId="45DECEF4" w:rsidR="00666A84" w:rsidRDefault="005746EC" w:rsidP="00551A3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2.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551A3D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550E0DD" w14:textId="77777777" w:rsidR="00551A3D" w:rsidRDefault="00551A3D" w:rsidP="00551A3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i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551A3D" w:rsidRPr="00A13C91" w14:paraId="43E8B0B3" w14:textId="77777777" w:rsidTr="00CC718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67E2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0D200306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2020C052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Chính phủ;</w:t>
            </w:r>
          </w:p>
          <w:p w14:paraId="237EBF2D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5078F814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Văn phòng Trung ương và các Ban của Đảng; </w:t>
            </w:r>
          </w:p>
          <w:p w14:paraId="4BD1E77A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4EAA0B23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6C7A130E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2239FC05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25861014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232394F3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27160545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12D4FD7D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100D5A96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6B58EC7B" w14:textId="77777777" w:rsidR="00551A3D" w:rsidRDefault="00551A3D" w:rsidP="00551A3D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Trợ lý TTg, TGĐ Cổng TTĐT, các Vụ, Cục, đơn vị trực thuộc, Công báo;</w:t>
            </w:r>
          </w:p>
          <w:p w14:paraId="726AF872" w14:textId="08F83CD2" w:rsidR="00551A3D" w:rsidRPr="00551A3D" w:rsidRDefault="00551A3D" w:rsidP="00551A3D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Lưu: VT, KGVX(2b).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72E9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1EF739F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1DBA86EC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E85280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5F41DED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1E167D" w14:textId="77777777" w:rsidR="00551A3D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CA31E4" w14:textId="478DD5FF" w:rsidR="00551A3D" w:rsidRPr="00A13C91" w:rsidRDefault="00551A3D" w:rsidP="00551A3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Chí Dũng</w:t>
            </w:r>
          </w:p>
        </w:tc>
      </w:tr>
      <w:bookmarkEnd w:id="2"/>
    </w:tbl>
    <w:p w14:paraId="17C62A2D" w14:textId="77777777" w:rsidR="00551A3D" w:rsidRPr="00551A3D" w:rsidRDefault="00551A3D" w:rsidP="004456E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51A3D" w:rsidRPr="00551A3D" w:rsidSect="004456E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DC337" w14:textId="77777777" w:rsidR="005746EC" w:rsidRDefault="005746EC">
      <w:pPr>
        <w:spacing w:after="0" w:line="240" w:lineRule="auto"/>
      </w:pPr>
      <w:r>
        <w:separator/>
      </w:r>
    </w:p>
  </w:endnote>
  <w:endnote w:type="continuationSeparator" w:id="0">
    <w:p w14:paraId="6B3A246E" w14:textId="77777777" w:rsidR="005746EC" w:rsidRDefault="0057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F063" w14:textId="77777777" w:rsidR="005746EC" w:rsidRDefault="005746EC">
      <w:pPr>
        <w:spacing w:after="0" w:line="240" w:lineRule="auto"/>
      </w:pPr>
      <w:r>
        <w:separator/>
      </w:r>
    </w:p>
  </w:footnote>
  <w:footnote w:type="continuationSeparator" w:id="0">
    <w:p w14:paraId="3BF5B577" w14:textId="77777777" w:rsidR="005746EC" w:rsidRDefault="00574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84"/>
    <w:rsid w:val="000E3C47"/>
    <w:rsid w:val="002A7D28"/>
    <w:rsid w:val="002E251C"/>
    <w:rsid w:val="003640C1"/>
    <w:rsid w:val="00382E87"/>
    <w:rsid w:val="004456E0"/>
    <w:rsid w:val="00551A3D"/>
    <w:rsid w:val="005746EC"/>
    <w:rsid w:val="00666A84"/>
    <w:rsid w:val="0082574E"/>
    <w:rsid w:val="00897E3C"/>
    <w:rsid w:val="0090181D"/>
    <w:rsid w:val="00B55997"/>
    <w:rsid w:val="00C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7284"/>
  <w15:docId w15:val="{44A882E9-D0A1-47A4-B56B-FF285A7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E0"/>
  </w:style>
  <w:style w:type="paragraph" w:styleId="Footer">
    <w:name w:val="footer"/>
    <w:basedOn w:val="Normal"/>
    <w:link w:val="FooterChar"/>
    <w:uiPriority w:val="99"/>
    <w:unhideWhenUsed/>
    <w:rsid w:val="0044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8520</Words>
  <Characters>48567</Characters>
  <Application>Microsoft Office Word</Application>
  <DocSecurity>0</DocSecurity>
  <Lines>404</Lines>
  <Paragraphs>113</Paragraphs>
  <ScaleCrop>false</ScaleCrop>
  <Company/>
  <LinksUpToDate>false</LinksUpToDate>
  <CharactersWithSpaces>56974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2025-12-23T13:19:00Z</dcterms:created>
  <dcterms:modified xsi:type="dcterms:W3CDTF">2025-12-27T04:23:00Z</dcterms:modified>
</cp:coreProperties>
</file>