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979"/>
        <w:gridCol w:w="5376"/>
      </w:tblGrid>
      <w:tr w:rsidR="00E65CE1" w:rsidRPr="008269FF" w:rsidTr="00C8754A">
        <w:trPr>
          <w:trHeight w:val="920"/>
        </w:trPr>
        <w:tc>
          <w:tcPr>
            <w:tcW w:w="3923" w:type="dxa"/>
            <w:shd w:val="clear" w:color="auto" w:fill="auto"/>
          </w:tcPr>
          <w:p w:rsidR="00E65CE1" w:rsidRPr="005F3D14" w:rsidRDefault="00E65CE1" w:rsidP="00C8754A">
            <w:pPr>
              <w:pStyle w:val="Vnbnnidung0"/>
              <w:spacing w:after="0" w:line="240" w:lineRule="auto"/>
              <w:ind w:firstLine="0"/>
              <w:jc w:val="center"/>
              <w:rPr>
                <w:rFonts w:ascii="Arial" w:hAnsi="Arial" w:cs="Arial"/>
                <w:b/>
                <w:bCs/>
                <w:i w:val="0"/>
                <w:sz w:val="20"/>
                <w:szCs w:val="20"/>
              </w:rPr>
            </w:pPr>
            <w:r w:rsidRPr="005F3D14">
              <w:rPr>
                <w:rFonts w:ascii="Arial" w:hAnsi="Arial" w:cs="Arial"/>
                <w:b/>
                <w:bCs/>
                <w:i w:val="0"/>
                <w:sz w:val="20"/>
                <w:szCs w:val="20"/>
              </w:rPr>
              <w:t>BỘ TÀI CHÍNH</w:t>
            </w:r>
          </w:p>
          <w:p w:rsidR="00E65CE1" w:rsidRPr="005F3D14" w:rsidRDefault="00E65CE1" w:rsidP="00C8754A">
            <w:pPr>
              <w:pStyle w:val="Vnbnnidung0"/>
              <w:spacing w:after="0" w:line="240" w:lineRule="auto"/>
              <w:ind w:firstLine="0"/>
              <w:jc w:val="center"/>
              <w:rPr>
                <w:rFonts w:ascii="Arial" w:hAnsi="Arial" w:cs="Arial"/>
                <w:sz w:val="20"/>
                <w:szCs w:val="20"/>
              </w:rPr>
            </w:pPr>
            <w:r w:rsidRPr="005F3D14">
              <w:rPr>
                <w:rFonts w:ascii="Arial" w:hAnsi="Arial" w:cs="Arial"/>
                <w:i w:val="0"/>
                <w:sz w:val="20"/>
                <w:szCs w:val="20"/>
              </w:rPr>
              <w:t xml:space="preserve">Số: </w:t>
            </w:r>
            <w:r>
              <w:rPr>
                <w:rFonts w:ascii="Arial" w:hAnsi="Arial" w:cs="Arial"/>
                <w:i w:val="0"/>
                <w:sz w:val="20"/>
                <w:szCs w:val="20"/>
              </w:rPr>
              <w:t>2020</w:t>
            </w:r>
            <w:r w:rsidRPr="005F3D14">
              <w:rPr>
                <w:rFonts w:ascii="Arial" w:hAnsi="Arial" w:cs="Arial"/>
                <w:i w:val="0"/>
                <w:sz w:val="20"/>
                <w:szCs w:val="20"/>
              </w:rPr>
              <w:t>/</w:t>
            </w:r>
            <w:r>
              <w:rPr>
                <w:rFonts w:ascii="Arial" w:hAnsi="Arial" w:cs="Arial"/>
                <w:i w:val="0"/>
                <w:sz w:val="20"/>
                <w:szCs w:val="20"/>
              </w:rPr>
              <w:t>QĐ</w:t>
            </w:r>
            <w:r w:rsidRPr="005F3D14">
              <w:rPr>
                <w:rFonts w:ascii="Arial" w:hAnsi="Arial" w:cs="Arial"/>
                <w:i w:val="0"/>
                <w:sz w:val="20"/>
                <w:szCs w:val="20"/>
              </w:rPr>
              <w:t>-</w:t>
            </w:r>
            <w:r>
              <w:rPr>
                <w:rFonts w:ascii="Arial" w:hAnsi="Arial" w:cs="Arial"/>
                <w:i w:val="0"/>
                <w:sz w:val="20"/>
                <w:szCs w:val="20"/>
              </w:rPr>
              <w:t>BTC</w:t>
            </w:r>
          </w:p>
        </w:tc>
        <w:tc>
          <w:tcPr>
            <w:tcW w:w="5300" w:type="dxa"/>
            <w:shd w:val="clear" w:color="auto" w:fill="auto"/>
          </w:tcPr>
          <w:p w:rsidR="00E65CE1" w:rsidRPr="005F3D14" w:rsidRDefault="00E65CE1" w:rsidP="00C8754A">
            <w:pPr>
              <w:pStyle w:val="Vnbnnidung0"/>
              <w:spacing w:line="240" w:lineRule="auto"/>
              <w:ind w:firstLine="760"/>
              <w:rPr>
                <w:rFonts w:ascii="Arial" w:hAnsi="Arial" w:cs="Arial"/>
                <w:i w:val="0"/>
                <w:sz w:val="20"/>
                <w:szCs w:val="20"/>
              </w:rPr>
            </w:pPr>
            <w:r w:rsidRPr="005F3D14">
              <w:rPr>
                <w:rFonts w:ascii="Arial" w:hAnsi="Arial" w:cs="Arial"/>
                <w:b/>
                <w:bCs/>
                <w:i w:val="0"/>
                <w:sz w:val="20"/>
                <w:szCs w:val="20"/>
              </w:rPr>
              <w:t>CỘNG HOÀ XÃ HỘI CHỦ NGHĨA VIỆT NAM</w:t>
            </w:r>
          </w:p>
          <w:p w:rsidR="00E65CE1" w:rsidRPr="008269FF" w:rsidRDefault="00E65CE1" w:rsidP="00C8754A">
            <w:pPr>
              <w:pStyle w:val="Tiu10"/>
              <w:keepNext/>
              <w:keepLines/>
              <w:spacing w:after="180"/>
              <w:rPr>
                <w:rFonts w:ascii="Arial" w:eastAsia="Tahoma" w:hAnsi="Arial" w:cs="Arial"/>
                <w:b w:val="0"/>
                <w:i/>
                <w:iCs/>
                <w:sz w:val="20"/>
                <w:szCs w:val="20"/>
              </w:rPr>
            </w:pPr>
            <w:r w:rsidRPr="008269FF">
              <w:rPr>
                <w:rFonts w:ascii="Arial" w:hAnsi="Arial" w:cs="Arial"/>
                <w:color w:val="000000"/>
                <w:sz w:val="20"/>
                <w:szCs w:val="20"/>
              </w:rPr>
              <w:t>Độc lập - Tự do - Hạnh phúc</w:t>
            </w:r>
          </w:p>
          <w:p w:rsidR="00E65CE1" w:rsidRPr="008269FF" w:rsidRDefault="00E65CE1" w:rsidP="00C8754A">
            <w:pPr>
              <w:pStyle w:val="Tiu10"/>
              <w:keepNext/>
              <w:keepLines/>
              <w:spacing w:after="180"/>
              <w:rPr>
                <w:rFonts w:ascii="Arial" w:eastAsia="Tahoma" w:hAnsi="Arial" w:cs="Arial"/>
                <w:b w:val="0"/>
                <w:i/>
                <w:sz w:val="20"/>
                <w:szCs w:val="20"/>
              </w:rPr>
            </w:pPr>
            <w:r w:rsidRPr="008269FF">
              <w:rPr>
                <w:rFonts w:ascii="Arial" w:eastAsia="Tahoma" w:hAnsi="Arial" w:cs="Arial"/>
                <w:b w:val="0"/>
                <w:i/>
                <w:iCs/>
                <w:sz w:val="20"/>
                <w:szCs w:val="20"/>
              </w:rPr>
              <w:t xml:space="preserve">Hà Nội, ngày </w:t>
            </w:r>
            <w:r>
              <w:rPr>
                <w:rFonts w:ascii="Arial" w:eastAsia="Tahoma" w:hAnsi="Arial" w:cs="Arial"/>
                <w:b w:val="0"/>
                <w:i/>
                <w:iCs/>
                <w:sz w:val="20"/>
                <w:szCs w:val="20"/>
              </w:rPr>
              <w:t>11</w:t>
            </w:r>
            <w:r w:rsidRPr="008269FF">
              <w:rPr>
                <w:rFonts w:ascii="Arial" w:eastAsia="Tahoma" w:hAnsi="Arial" w:cs="Arial"/>
                <w:b w:val="0"/>
                <w:i/>
                <w:iCs/>
                <w:sz w:val="20"/>
                <w:szCs w:val="20"/>
              </w:rPr>
              <w:t xml:space="preserve"> tháng 6 năm 2025</w:t>
            </w:r>
          </w:p>
        </w:tc>
      </w:tr>
    </w:tbl>
    <w:p w:rsidR="00E65CE1" w:rsidRPr="00E65CE1" w:rsidRDefault="00E65CE1" w:rsidP="00E65CE1">
      <w:pPr>
        <w:jc w:val="center"/>
        <w:rPr>
          <w:rFonts w:ascii="Arial" w:hAnsi="Arial" w:cs="Arial"/>
          <w:b/>
          <w:sz w:val="20"/>
          <w:szCs w:val="20"/>
        </w:rPr>
      </w:pPr>
      <w:r w:rsidRPr="00E65CE1">
        <w:rPr>
          <w:rFonts w:ascii="Arial" w:hAnsi="Arial" w:cs="Arial"/>
          <w:b/>
          <w:sz w:val="20"/>
          <w:szCs w:val="20"/>
        </w:rPr>
        <w:t>QUYẾT ĐỊNH</w:t>
      </w:r>
    </w:p>
    <w:p w:rsidR="00E65CE1" w:rsidRDefault="00E65CE1" w:rsidP="00E65CE1">
      <w:pPr>
        <w:jc w:val="center"/>
        <w:rPr>
          <w:rFonts w:ascii="Arial" w:hAnsi="Arial" w:cs="Arial"/>
          <w:b/>
          <w:sz w:val="20"/>
          <w:szCs w:val="20"/>
        </w:rPr>
      </w:pPr>
      <w:r w:rsidRPr="00E65CE1">
        <w:rPr>
          <w:rFonts w:ascii="Arial" w:hAnsi="Arial" w:cs="Arial"/>
          <w:b/>
          <w:sz w:val="20"/>
          <w:szCs w:val="20"/>
        </w:rPr>
        <w:t>Sửa đổi, bổ sung một số điều của Quyết định số 385/QĐ-BTC ngày 26/02/2025</w:t>
      </w:r>
    </w:p>
    <w:p w:rsidR="00E65CE1" w:rsidRDefault="00E65CE1" w:rsidP="00E65CE1">
      <w:pPr>
        <w:jc w:val="center"/>
        <w:rPr>
          <w:rFonts w:ascii="Arial" w:hAnsi="Arial" w:cs="Arial"/>
          <w:b/>
          <w:sz w:val="20"/>
          <w:szCs w:val="20"/>
        </w:rPr>
      </w:pPr>
      <w:r w:rsidRPr="00E65CE1">
        <w:rPr>
          <w:rFonts w:ascii="Arial" w:hAnsi="Arial" w:cs="Arial"/>
          <w:b/>
          <w:sz w:val="20"/>
          <w:szCs w:val="20"/>
        </w:rPr>
        <w:t>của Bộ Tài chính quy định chức năng, nhiệm vụ, quyền hạn</w:t>
      </w:r>
    </w:p>
    <w:p w:rsidR="00E65CE1" w:rsidRPr="00E65CE1" w:rsidRDefault="00E65CE1" w:rsidP="00E65CE1">
      <w:pPr>
        <w:jc w:val="center"/>
        <w:rPr>
          <w:rFonts w:ascii="Arial" w:hAnsi="Arial" w:cs="Arial"/>
          <w:b/>
          <w:sz w:val="20"/>
          <w:szCs w:val="20"/>
        </w:rPr>
      </w:pPr>
      <w:r w:rsidRPr="00E65CE1">
        <w:rPr>
          <w:rFonts w:ascii="Arial" w:hAnsi="Arial" w:cs="Arial"/>
          <w:b/>
          <w:sz w:val="20"/>
          <w:szCs w:val="20"/>
        </w:rPr>
        <w:t>và cơ cấu tổ chức của Kho bạc Nhà nước</w:t>
      </w:r>
    </w:p>
    <w:p w:rsidR="00E65CE1" w:rsidRPr="00E65CE1" w:rsidRDefault="00E65CE1" w:rsidP="00E65CE1">
      <w:pPr>
        <w:jc w:val="center"/>
        <w:rPr>
          <w:rFonts w:ascii="Arial" w:hAnsi="Arial" w:cs="Arial"/>
          <w:b/>
          <w:sz w:val="20"/>
          <w:szCs w:val="20"/>
        </w:rPr>
      </w:pPr>
      <w:r w:rsidRPr="00E65CE1">
        <w:rPr>
          <w:rFonts w:ascii="Arial" w:hAnsi="Arial" w:cs="Arial"/>
          <w:b/>
          <w:sz w:val="20"/>
          <w:szCs w:val="20"/>
        </w:rPr>
        <w:t>BỘ TRƯỞNG BỘ TÀI CHÍNH</w:t>
      </w:r>
    </w:p>
    <w:p w:rsidR="00E65CE1" w:rsidRPr="007A766E" w:rsidRDefault="00E65CE1" w:rsidP="00863F7E">
      <w:pPr>
        <w:spacing w:after="120" w:line="240" w:lineRule="auto"/>
        <w:ind w:firstLine="720"/>
        <w:jc w:val="both"/>
        <w:rPr>
          <w:rFonts w:ascii="Arial" w:hAnsi="Arial" w:cs="Arial"/>
          <w:i/>
          <w:sz w:val="20"/>
          <w:szCs w:val="20"/>
        </w:rPr>
      </w:pPr>
      <w:r w:rsidRPr="007A766E">
        <w:rPr>
          <w:rFonts w:ascii="Arial" w:hAnsi="Arial" w:cs="Arial"/>
          <w:i/>
          <w:sz w:val="20"/>
          <w:szCs w:val="20"/>
        </w:rPr>
        <w:t>Căn cứ Luật Tổ chức Chính phủ năm 2025;</w:t>
      </w:r>
    </w:p>
    <w:p w:rsidR="00E65CE1" w:rsidRPr="007A766E" w:rsidRDefault="00E65CE1" w:rsidP="00863F7E">
      <w:pPr>
        <w:spacing w:after="120" w:line="240" w:lineRule="auto"/>
        <w:ind w:firstLine="720"/>
        <w:jc w:val="both"/>
        <w:rPr>
          <w:rFonts w:ascii="Arial" w:hAnsi="Arial" w:cs="Arial"/>
          <w:i/>
          <w:sz w:val="20"/>
          <w:szCs w:val="20"/>
        </w:rPr>
      </w:pPr>
      <w:r w:rsidRPr="007A766E">
        <w:rPr>
          <w:rFonts w:ascii="Arial" w:hAnsi="Arial" w:cs="Arial"/>
          <w:i/>
          <w:sz w:val="20"/>
          <w:szCs w:val="20"/>
        </w:rPr>
        <w:t>Căn cứ Nghị quyết số 190/2025/QH15 ngày 19/02/2025 của Quốc hội quy định về xử lý một số vấn đề liên quan đến sắp xếp tổ chức bộ máy;</w:t>
      </w:r>
    </w:p>
    <w:p w:rsidR="00E65CE1" w:rsidRPr="007A766E" w:rsidRDefault="00E65CE1" w:rsidP="00863F7E">
      <w:pPr>
        <w:spacing w:after="120" w:line="240" w:lineRule="auto"/>
        <w:ind w:firstLine="720"/>
        <w:jc w:val="both"/>
        <w:rPr>
          <w:rFonts w:ascii="Arial" w:hAnsi="Arial" w:cs="Arial"/>
          <w:i/>
          <w:sz w:val="20"/>
          <w:szCs w:val="20"/>
        </w:rPr>
      </w:pPr>
      <w:r w:rsidRPr="007A766E">
        <w:rPr>
          <w:rFonts w:ascii="Arial" w:hAnsi="Arial" w:cs="Arial"/>
          <w:i/>
          <w:sz w:val="20"/>
          <w:szCs w:val="20"/>
        </w:rPr>
        <w:t>Căn cứ Nghị định số 29/2025/NĐ-CP ngày 24/02/2025 của Chính phủ quy định chức năng, nhiệm vụ, quyền hạn và cơ cấu tổ chức của Bộ Tài chính;</w:t>
      </w:r>
    </w:p>
    <w:p w:rsidR="00E65CE1" w:rsidRPr="007A766E" w:rsidRDefault="00E65CE1" w:rsidP="00863F7E">
      <w:pPr>
        <w:spacing w:after="120" w:line="240" w:lineRule="auto"/>
        <w:ind w:firstLine="720"/>
        <w:jc w:val="both"/>
        <w:rPr>
          <w:rFonts w:ascii="Arial" w:hAnsi="Arial" w:cs="Arial"/>
          <w:i/>
          <w:sz w:val="20"/>
          <w:szCs w:val="20"/>
        </w:rPr>
      </w:pPr>
      <w:r w:rsidRPr="007A766E">
        <w:rPr>
          <w:rFonts w:ascii="Arial" w:hAnsi="Arial" w:cs="Arial"/>
          <w:i/>
          <w:sz w:val="20"/>
          <w:szCs w:val="20"/>
        </w:rPr>
        <w:t>Căn cứ Nghị quyết số 17-NQ/ĐUBTC ngày 11/6/2025 của Ban Thường vụ Đảng ủy Bộ Tài chính về việc sửa đổi, bổ sung một số điều của Nghị định số 29/2025/NĐ-CP ngày 24/02/2025 của Chính phủ quy định chức năng, nhiệm vụ, quyền hạn và cơ cấu tổ chức của Bộ Tài chính và điều chỉnh địa bàn quản lý của các Chi cục Hải quan khu vực, Chi cục Dự trữ Nhà nước khu vực và Kho bạc Nhà nước khu vực phù hợp với việc sắp xếp đơn vị hành chính cấp tỉnh;</w:t>
      </w:r>
    </w:p>
    <w:p w:rsidR="00E65CE1" w:rsidRPr="007A766E" w:rsidRDefault="00E65CE1" w:rsidP="00863F7E">
      <w:pPr>
        <w:spacing w:after="120" w:line="240" w:lineRule="auto"/>
        <w:ind w:firstLine="720"/>
        <w:jc w:val="both"/>
        <w:rPr>
          <w:rFonts w:ascii="Arial" w:hAnsi="Arial" w:cs="Arial"/>
          <w:i/>
          <w:sz w:val="20"/>
          <w:szCs w:val="20"/>
        </w:rPr>
      </w:pPr>
      <w:r w:rsidRPr="007A766E">
        <w:rPr>
          <w:rFonts w:ascii="Arial" w:hAnsi="Arial" w:cs="Arial"/>
          <w:i/>
          <w:sz w:val="20"/>
          <w:szCs w:val="20"/>
        </w:rPr>
        <w:t>Theo đề nghị của Giám đốc Kho bạc Nhà nước, Vụ trưởng Vụ Tổ chức cán bộ.</w:t>
      </w:r>
    </w:p>
    <w:p w:rsidR="00E65CE1" w:rsidRPr="00E65CE1" w:rsidRDefault="00E65CE1" w:rsidP="000A3E77">
      <w:pPr>
        <w:spacing w:after="120" w:line="240" w:lineRule="auto"/>
        <w:ind w:firstLine="720"/>
        <w:jc w:val="center"/>
        <w:rPr>
          <w:rFonts w:ascii="Arial" w:hAnsi="Arial" w:cs="Arial"/>
          <w:b/>
          <w:sz w:val="20"/>
          <w:szCs w:val="20"/>
        </w:rPr>
      </w:pPr>
      <w:r w:rsidRPr="00E65CE1">
        <w:rPr>
          <w:rFonts w:ascii="Arial" w:hAnsi="Arial" w:cs="Arial"/>
          <w:b/>
          <w:sz w:val="20"/>
          <w:szCs w:val="20"/>
        </w:rPr>
        <w:t>QUYẾT ĐỊNH:</w:t>
      </w:r>
    </w:p>
    <w:p w:rsidR="00E65CE1" w:rsidRDefault="00E65CE1" w:rsidP="00863F7E">
      <w:pPr>
        <w:spacing w:after="120" w:line="240" w:lineRule="auto"/>
        <w:ind w:firstLine="720"/>
        <w:jc w:val="both"/>
        <w:rPr>
          <w:rFonts w:ascii="Arial" w:hAnsi="Arial" w:cs="Arial"/>
          <w:sz w:val="20"/>
          <w:szCs w:val="20"/>
        </w:rPr>
      </w:pPr>
      <w:r w:rsidRPr="00E65CE1">
        <w:rPr>
          <w:rFonts w:ascii="Arial" w:hAnsi="Arial" w:cs="Arial"/>
          <w:b/>
          <w:sz w:val="20"/>
          <w:szCs w:val="20"/>
        </w:rPr>
        <w:t>Điều 1.</w:t>
      </w:r>
      <w:r w:rsidRPr="00E65CE1">
        <w:rPr>
          <w:rFonts w:ascii="Arial" w:hAnsi="Arial" w:cs="Arial"/>
          <w:sz w:val="20"/>
          <w:szCs w:val="20"/>
        </w:rPr>
        <w:t xml:space="preserve"> Sửa đổi, bổ sung Quyết định số 385/QĐ-BTC ngày 26/02/2025 của Bộ Tài chính quy định chức năng, nhiệm vụ, quyền hạn và cơ cấu tổ chức của Kho bạc Nhà nước</w:t>
      </w:r>
    </w:p>
    <w:p w:rsidR="00E65CE1" w:rsidRDefault="00E65CE1" w:rsidP="00863F7E">
      <w:pPr>
        <w:spacing w:after="120" w:line="240" w:lineRule="auto"/>
        <w:ind w:firstLine="720"/>
        <w:jc w:val="both"/>
        <w:rPr>
          <w:rFonts w:ascii="Arial" w:hAnsi="Arial" w:cs="Arial"/>
          <w:sz w:val="20"/>
          <w:szCs w:val="20"/>
        </w:rPr>
      </w:pPr>
      <w:r w:rsidRPr="00E65CE1">
        <w:rPr>
          <w:rFonts w:ascii="Arial" w:hAnsi="Arial" w:cs="Arial"/>
          <w:sz w:val="20"/>
          <w:szCs w:val="20"/>
        </w:rPr>
        <w:t>1. Sửa đổi, bổ sung khoản 3 Điều 3 như sau:</w:t>
      </w:r>
    </w:p>
    <w:p w:rsidR="00E65CE1" w:rsidRPr="00E65CE1" w:rsidRDefault="00E65CE1" w:rsidP="00863F7E">
      <w:pPr>
        <w:spacing w:after="120" w:line="240" w:lineRule="auto"/>
        <w:ind w:firstLine="720"/>
        <w:jc w:val="both"/>
        <w:rPr>
          <w:rFonts w:ascii="Arial" w:hAnsi="Arial" w:cs="Arial"/>
          <w:i/>
          <w:sz w:val="20"/>
          <w:szCs w:val="20"/>
        </w:rPr>
      </w:pPr>
      <w:r w:rsidRPr="00E65CE1">
        <w:rPr>
          <w:rFonts w:ascii="Arial" w:hAnsi="Arial" w:cs="Arial"/>
          <w:i/>
          <w:sz w:val="20"/>
          <w:szCs w:val="20"/>
        </w:rPr>
        <w:t>“3. Giám đốc Kho bạc Nhà nước quy định chức năng, nhiệm vụ, quyền hạn và cơ cấu tổ chức của Kho bạc Nhà nước khu vực thuộc Kho bạc Nhà nước sau khi có ý kiến của Bộ Tài chính; quy định chức năng, nhiệm vụ, quyền hạn và cơ cấu tổ chức (nếu có) của các Ban thuộc Kho bạc Nhà nước; các đơn vị thuộc Kho bạc Nhà nước khu vực”.</w:t>
      </w:r>
    </w:p>
    <w:p w:rsidR="00E65CE1" w:rsidRDefault="00E65CE1" w:rsidP="00863F7E">
      <w:pPr>
        <w:spacing w:after="120" w:line="240" w:lineRule="auto"/>
        <w:ind w:firstLine="720"/>
        <w:jc w:val="both"/>
        <w:rPr>
          <w:rFonts w:ascii="Arial" w:hAnsi="Arial" w:cs="Arial"/>
          <w:sz w:val="20"/>
          <w:szCs w:val="20"/>
        </w:rPr>
      </w:pPr>
      <w:r w:rsidRPr="00E65CE1">
        <w:rPr>
          <w:rFonts w:ascii="Arial" w:hAnsi="Arial" w:cs="Arial"/>
          <w:sz w:val="20"/>
          <w:szCs w:val="20"/>
        </w:rPr>
        <w:t>2. Phụ lục kèm theo Quyết định này thay thế Phụ lục kèm theo Quyết định số 385/QĐ-BTC ngày 26/02/2025 của Bộ Tài chính quy định chức năng, nhiệm vụ, quyền hạn và cơ cấu tổ chức của Kho bạc Nhà nước.</w:t>
      </w:r>
    </w:p>
    <w:p w:rsidR="00E65CE1" w:rsidRPr="00E65CE1" w:rsidRDefault="00E65CE1" w:rsidP="00863F7E">
      <w:pPr>
        <w:spacing w:after="120" w:line="240" w:lineRule="auto"/>
        <w:ind w:firstLine="720"/>
        <w:jc w:val="both"/>
        <w:rPr>
          <w:rFonts w:ascii="Arial" w:hAnsi="Arial" w:cs="Arial"/>
          <w:b/>
          <w:sz w:val="20"/>
          <w:szCs w:val="20"/>
        </w:rPr>
      </w:pPr>
      <w:r w:rsidRPr="00E65CE1">
        <w:rPr>
          <w:rFonts w:ascii="Arial" w:hAnsi="Arial" w:cs="Arial"/>
          <w:b/>
          <w:sz w:val="20"/>
          <w:szCs w:val="20"/>
        </w:rPr>
        <w:t>Điều 2. Hiệu lực và trách nhiệm thi hành</w:t>
      </w:r>
    </w:p>
    <w:p w:rsidR="00E65CE1" w:rsidRDefault="00E65CE1" w:rsidP="00863F7E">
      <w:pPr>
        <w:spacing w:after="120" w:line="240" w:lineRule="auto"/>
        <w:ind w:firstLine="720"/>
        <w:jc w:val="both"/>
        <w:rPr>
          <w:rFonts w:ascii="Arial" w:hAnsi="Arial" w:cs="Arial"/>
          <w:sz w:val="20"/>
          <w:szCs w:val="20"/>
        </w:rPr>
      </w:pPr>
      <w:r w:rsidRPr="00E65CE1">
        <w:rPr>
          <w:rFonts w:ascii="Arial" w:hAnsi="Arial" w:cs="Arial"/>
          <w:sz w:val="20"/>
          <w:szCs w:val="20"/>
        </w:rPr>
        <w:t>1. Quyết định này có hiệu lực thi hành kể từ ngày ký.</w:t>
      </w:r>
    </w:p>
    <w:p w:rsidR="00E65CE1" w:rsidRDefault="00E65CE1" w:rsidP="00863F7E">
      <w:pPr>
        <w:spacing w:after="120" w:line="240" w:lineRule="auto"/>
        <w:ind w:firstLine="720"/>
        <w:jc w:val="both"/>
        <w:rPr>
          <w:rFonts w:ascii="Arial" w:hAnsi="Arial" w:cs="Arial"/>
          <w:sz w:val="20"/>
          <w:szCs w:val="20"/>
        </w:rPr>
      </w:pPr>
      <w:r w:rsidRPr="00E65CE1">
        <w:rPr>
          <w:rFonts w:ascii="Arial" w:hAnsi="Arial" w:cs="Arial"/>
          <w:sz w:val="20"/>
          <w:szCs w:val="20"/>
        </w:rPr>
        <w:t>2. Quyết định số 925/QĐ-BTC ngày 04/3/2025 của Bộ Tài chính quy định chức năng, nhiệm vụ, quyền hạn và cơ cấu tổ chức của Kho bạc Nhà nước khu vực thuộc Kho bạc Nhà nước hết hiệu lực thi hành kể từ ngày Giám đốc Kho bạc Nhà nước ban hành Quyết định quy định chức năng, nhiệm vụ, quyền hạn và cơ cấu tổ chức của Kho bạc Nhà nước khu vự</w:t>
      </w:r>
      <w:r>
        <w:rPr>
          <w:rFonts w:ascii="Arial" w:hAnsi="Arial" w:cs="Arial"/>
          <w:sz w:val="20"/>
          <w:szCs w:val="20"/>
        </w:rPr>
        <w:t>c.</w:t>
      </w:r>
    </w:p>
    <w:p w:rsidR="00E65CE1" w:rsidRDefault="00E65CE1" w:rsidP="00863F7E">
      <w:pPr>
        <w:spacing w:after="120" w:line="240" w:lineRule="auto"/>
        <w:ind w:firstLine="720"/>
        <w:jc w:val="both"/>
        <w:rPr>
          <w:rFonts w:ascii="Arial" w:hAnsi="Arial" w:cs="Arial"/>
          <w:sz w:val="20"/>
          <w:szCs w:val="20"/>
        </w:rPr>
      </w:pPr>
      <w:r w:rsidRPr="00E65CE1">
        <w:rPr>
          <w:rFonts w:ascii="Arial" w:hAnsi="Arial" w:cs="Arial"/>
          <w:sz w:val="20"/>
          <w:szCs w:val="20"/>
        </w:rPr>
        <w:t>3. Giám đốc Kho bạc Nhà nước chịu trách nhiệm hoàn thành việc tổ chức, sắp xếp các Kho bạc Nhà nước khu vực và các đơn vị thuộc Kho bạc Nhà nước khu vực theo địa bàn quản lý mới trước ngày 01/7/2025.</w:t>
      </w:r>
    </w:p>
    <w:p w:rsidR="00894782" w:rsidRDefault="00E65CE1" w:rsidP="00863F7E">
      <w:pPr>
        <w:spacing w:after="120" w:line="240" w:lineRule="auto"/>
        <w:ind w:firstLine="720"/>
        <w:jc w:val="both"/>
        <w:rPr>
          <w:rFonts w:ascii="Arial" w:hAnsi="Arial" w:cs="Arial"/>
          <w:sz w:val="20"/>
          <w:szCs w:val="20"/>
        </w:rPr>
      </w:pPr>
      <w:r w:rsidRPr="00E65CE1">
        <w:rPr>
          <w:rFonts w:ascii="Arial" w:hAnsi="Arial" w:cs="Arial"/>
          <w:sz w:val="20"/>
          <w:szCs w:val="20"/>
        </w:rPr>
        <w:t>4. Giám đốc Kho bạc Nhà nước, Chánh Văn phòng Bộ Tài chính, Vụ trưởng Vụ Tổ chức cán bộ và Thủ trưởng các tổ chức, đơn vị thuộc Bộ Tài chính chịu trách nhiệm thi hành Quyết định này./.</w:t>
      </w:r>
    </w:p>
    <w:p w:rsidR="00894782" w:rsidRDefault="00894782">
      <w:pPr>
        <w:rPr>
          <w:rFonts w:ascii="Arial" w:hAnsi="Arial" w:cs="Arial"/>
          <w:sz w:val="20"/>
          <w:szCs w:val="20"/>
        </w:rPr>
      </w:pPr>
    </w:p>
    <w:tbl>
      <w:tblPr>
        <w:tblW w:w="5000" w:type="pct"/>
        <w:tblLook w:val="01E0" w:firstRow="1" w:lastRow="1" w:firstColumn="1" w:lastColumn="1" w:noHBand="0" w:noVBand="0"/>
      </w:tblPr>
      <w:tblGrid>
        <w:gridCol w:w="4677"/>
        <w:gridCol w:w="4678"/>
      </w:tblGrid>
      <w:tr w:rsidR="00894782" w:rsidRPr="00C662A2" w:rsidTr="00C8754A">
        <w:tc>
          <w:tcPr>
            <w:tcW w:w="2500" w:type="pct"/>
            <w:shd w:val="clear" w:color="auto" w:fill="auto"/>
          </w:tcPr>
          <w:p w:rsidR="00863F7E" w:rsidRDefault="00894782" w:rsidP="00863F7E">
            <w:pPr>
              <w:spacing w:after="120" w:line="240" w:lineRule="auto"/>
              <w:rPr>
                <w:rFonts w:ascii="Arial" w:hAnsi="Arial" w:cs="Arial"/>
                <w:sz w:val="20"/>
                <w:szCs w:val="20"/>
              </w:rPr>
            </w:pPr>
            <w:r w:rsidRPr="00C662A2">
              <w:rPr>
                <w:rFonts w:ascii="Arial" w:eastAsia="Tahoma" w:hAnsi="Arial" w:cs="Arial"/>
                <w:b/>
                <w:i/>
                <w:sz w:val="20"/>
                <w:szCs w:val="20"/>
              </w:rPr>
              <w:t>Nơi nhận:</w:t>
            </w:r>
            <w:r w:rsidRPr="00C662A2">
              <w:rPr>
                <w:rFonts w:ascii="Arial" w:eastAsia="Tahoma" w:hAnsi="Arial" w:cs="Arial"/>
                <w:b/>
                <w:i/>
                <w:sz w:val="20"/>
                <w:szCs w:val="20"/>
              </w:rPr>
              <w:br/>
            </w:r>
            <w:r w:rsidR="00863F7E">
              <w:rPr>
                <w:rFonts w:ascii="Arial" w:hAnsi="Arial" w:cs="Arial"/>
                <w:sz w:val="20"/>
                <w:szCs w:val="20"/>
              </w:rPr>
              <w:t xml:space="preserve">- </w:t>
            </w:r>
            <w:r w:rsidR="00863F7E" w:rsidRPr="00E65CE1">
              <w:rPr>
                <w:rFonts w:ascii="Arial" w:hAnsi="Arial" w:cs="Arial"/>
                <w:sz w:val="20"/>
                <w:szCs w:val="20"/>
              </w:rPr>
              <w:t>Như Điều 2;</w:t>
            </w:r>
          </w:p>
          <w:p w:rsidR="00863F7E" w:rsidRDefault="00863F7E" w:rsidP="00863F7E">
            <w:pPr>
              <w:spacing w:after="120" w:line="240" w:lineRule="auto"/>
              <w:rPr>
                <w:rFonts w:ascii="Arial" w:hAnsi="Arial" w:cs="Arial"/>
                <w:sz w:val="20"/>
                <w:szCs w:val="20"/>
              </w:rPr>
            </w:pPr>
            <w:r w:rsidRPr="00E65CE1">
              <w:rPr>
                <w:rFonts w:ascii="Arial" w:hAnsi="Arial" w:cs="Arial"/>
                <w:sz w:val="20"/>
                <w:szCs w:val="20"/>
              </w:rPr>
              <w:t>- V</w:t>
            </w:r>
            <w:r>
              <w:rPr>
                <w:rFonts w:ascii="Arial" w:hAnsi="Arial" w:cs="Arial"/>
                <w:sz w:val="20"/>
                <w:szCs w:val="20"/>
              </w:rPr>
              <w:t>P</w:t>
            </w:r>
            <w:r w:rsidRPr="00E65CE1">
              <w:rPr>
                <w:rFonts w:ascii="Arial" w:hAnsi="Arial" w:cs="Arial"/>
                <w:sz w:val="20"/>
                <w:szCs w:val="20"/>
              </w:rPr>
              <w:t xml:space="preserve"> Đảng </w:t>
            </w:r>
            <w:bookmarkStart w:id="0" w:name="_GoBack"/>
            <w:bookmarkEnd w:id="0"/>
            <w:r w:rsidRPr="00E65CE1">
              <w:rPr>
                <w:rFonts w:ascii="Arial" w:hAnsi="Arial" w:cs="Arial"/>
                <w:sz w:val="20"/>
                <w:szCs w:val="20"/>
              </w:rPr>
              <w:t>ủy;</w:t>
            </w:r>
          </w:p>
          <w:p w:rsidR="00863F7E" w:rsidRDefault="00863F7E" w:rsidP="00863F7E">
            <w:pPr>
              <w:spacing w:after="120" w:line="240" w:lineRule="auto"/>
              <w:rPr>
                <w:rFonts w:ascii="Arial" w:hAnsi="Arial" w:cs="Arial"/>
                <w:sz w:val="20"/>
                <w:szCs w:val="20"/>
              </w:rPr>
            </w:pPr>
            <w:r w:rsidRPr="00E65CE1">
              <w:rPr>
                <w:rFonts w:ascii="Arial" w:hAnsi="Arial" w:cs="Arial"/>
                <w:sz w:val="20"/>
                <w:szCs w:val="20"/>
              </w:rPr>
              <w:t>- Cổng TTĐT Bộ Tài chính;</w:t>
            </w:r>
          </w:p>
          <w:p w:rsidR="00894782" w:rsidRPr="00863F7E" w:rsidRDefault="00863F7E" w:rsidP="00863F7E">
            <w:pPr>
              <w:spacing w:after="120" w:line="240" w:lineRule="auto"/>
            </w:pPr>
            <w:r>
              <w:rPr>
                <w:rFonts w:ascii="Arial" w:hAnsi="Arial" w:cs="Arial"/>
                <w:sz w:val="20"/>
                <w:szCs w:val="20"/>
              </w:rPr>
              <w:lastRenderedPageBreak/>
              <w:t xml:space="preserve">- </w:t>
            </w:r>
            <w:r w:rsidRPr="00E65CE1">
              <w:rPr>
                <w:rFonts w:ascii="Arial" w:hAnsi="Arial" w:cs="Arial"/>
                <w:sz w:val="20"/>
                <w:szCs w:val="20"/>
              </w:rPr>
              <w:t>Lưu: VT, TCCB</w:t>
            </w:r>
            <w:r>
              <w:rPr>
                <w:rFonts w:ascii="Arial" w:hAnsi="Arial" w:cs="Arial"/>
                <w:sz w:val="20"/>
                <w:szCs w:val="20"/>
              </w:rPr>
              <w:t xml:space="preserve"> (30b)</w:t>
            </w:r>
          </w:p>
        </w:tc>
        <w:tc>
          <w:tcPr>
            <w:tcW w:w="2500" w:type="pct"/>
            <w:shd w:val="clear" w:color="auto" w:fill="auto"/>
          </w:tcPr>
          <w:p w:rsidR="00894782" w:rsidRDefault="00894782" w:rsidP="00C8754A">
            <w:pPr>
              <w:jc w:val="center"/>
              <w:rPr>
                <w:rFonts w:ascii="Arial" w:eastAsia="Tahoma" w:hAnsi="Arial" w:cs="Arial"/>
                <w:b/>
                <w:bCs/>
                <w:sz w:val="20"/>
                <w:szCs w:val="20"/>
              </w:rPr>
            </w:pPr>
            <w:r>
              <w:rPr>
                <w:rFonts w:ascii="Arial" w:eastAsia="Tahoma" w:hAnsi="Arial" w:cs="Arial"/>
                <w:b/>
                <w:bCs/>
                <w:sz w:val="20"/>
                <w:szCs w:val="20"/>
              </w:rPr>
              <w:lastRenderedPageBreak/>
              <w:t>BỘ TRƯỞNG</w:t>
            </w:r>
          </w:p>
          <w:p w:rsidR="00894782" w:rsidRPr="00797D6C" w:rsidRDefault="00894782" w:rsidP="00894782">
            <w:pPr>
              <w:jc w:val="center"/>
              <w:rPr>
                <w:rFonts w:ascii="Arial" w:eastAsia="Tahoma" w:hAnsi="Arial" w:cs="Arial"/>
                <w:b/>
                <w:sz w:val="20"/>
                <w:szCs w:val="20"/>
              </w:rPr>
            </w:pPr>
            <w:r w:rsidRPr="00C662A2">
              <w:rPr>
                <w:rFonts w:ascii="Arial" w:eastAsia="Tahoma" w:hAnsi="Arial" w:cs="Arial"/>
                <w:b/>
                <w:bCs/>
                <w:sz w:val="20"/>
                <w:szCs w:val="20"/>
              </w:rPr>
              <w:br/>
            </w:r>
            <w:r w:rsidRPr="00C662A2">
              <w:rPr>
                <w:rFonts w:ascii="Arial" w:eastAsia="Tahoma" w:hAnsi="Arial" w:cs="Arial"/>
                <w:b/>
                <w:bCs/>
                <w:sz w:val="20"/>
                <w:szCs w:val="20"/>
              </w:rPr>
              <w:br/>
            </w:r>
            <w:r w:rsidRPr="00C662A2">
              <w:rPr>
                <w:rFonts w:ascii="Arial" w:eastAsia="Tahoma" w:hAnsi="Arial" w:cs="Arial"/>
                <w:sz w:val="20"/>
                <w:szCs w:val="20"/>
              </w:rPr>
              <w:lastRenderedPageBreak/>
              <w:br/>
            </w:r>
            <w:r>
              <w:rPr>
                <w:rFonts w:ascii="Arial" w:eastAsia="Tahoma" w:hAnsi="Arial" w:cs="Arial"/>
                <w:b/>
                <w:bCs/>
                <w:sz w:val="20"/>
                <w:szCs w:val="20"/>
              </w:rPr>
              <w:t>Nguyễn Văn Thắng</w:t>
            </w:r>
          </w:p>
        </w:tc>
      </w:tr>
    </w:tbl>
    <w:p w:rsidR="00B67918" w:rsidRPr="00894782" w:rsidRDefault="00894782" w:rsidP="00894782">
      <w:pPr>
        <w:spacing w:after="120" w:line="240" w:lineRule="auto"/>
        <w:jc w:val="center"/>
        <w:rPr>
          <w:rFonts w:ascii="Arial" w:hAnsi="Arial" w:cs="Arial"/>
          <w:b/>
          <w:sz w:val="20"/>
          <w:szCs w:val="20"/>
        </w:rPr>
      </w:pPr>
      <w:r w:rsidRPr="00894782">
        <w:rPr>
          <w:rFonts w:ascii="Arial" w:hAnsi="Arial" w:cs="Arial"/>
          <w:b/>
          <w:sz w:val="20"/>
          <w:szCs w:val="20"/>
        </w:rPr>
        <w:lastRenderedPageBreak/>
        <w:t>Phụ lục</w:t>
      </w:r>
    </w:p>
    <w:p w:rsidR="00894782" w:rsidRPr="00894782" w:rsidRDefault="00894782" w:rsidP="00894782">
      <w:pPr>
        <w:spacing w:after="120" w:line="240" w:lineRule="auto"/>
        <w:jc w:val="center"/>
        <w:rPr>
          <w:rFonts w:ascii="Arial" w:hAnsi="Arial" w:cs="Arial"/>
          <w:b/>
          <w:sz w:val="20"/>
          <w:szCs w:val="20"/>
        </w:rPr>
      </w:pPr>
      <w:r w:rsidRPr="00894782">
        <w:rPr>
          <w:rFonts w:ascii="Arial" w:hAnsi="Arial" w:cs="Arial"/>
          <w:b/>
          <w:sz w:val="20"/>
          <w:szCs w:val="20"/>
        </w:rPr>
        <w:t>TÊN GỌI, TRỤ SỞ VÀ ĐỊA BÀN QUẢN LÝ</w:t>
      </w:r>
    </w:p>
    <w:p w:rsidR="00894782" w:rsidRDefault="00894782" w:rsidP="00894782">
      <w:pPr>
        <w:spacing w:after="120" w:line="240" w:lineRule="auto"/>
        <w:jc w:val="center"/>
        <w:rPr>
          <w:rFonts w:ascii="Arial" w:hAnsi="Arial" w:cs="Arial"/>
          <w:b/>
          <w:sz w:val="20"/>
          <w:szCs w:val="20"/>
        </w:rPr>
      </w:pPr>
      <w:r w:rsidRPr="00894782">
        <w:rPr>
          <w:rFonts w:ascii="Arial" w:hAnsi="Arial" w:cs="Arial"/>
          <w:b/>
          <w:sz w:val="20"/>
          <w:szCs w:val="20"/>
        </w:rPr>
        <w:t>CỦA KHO BẠC NHÀ NƯỚC KHU VỰC</w:t>
      </w:r>
    </w:p>
    <w:p w:rsidR="00894782" w:rsidRPr="00894782" w:rsidRDefault="00894782" w:rsidP="00894782">
      <w:pPr>
        <w:spacing w:after="120" w:line="240" w:lineRule="auto"/>
        <w:jc w:val="center"/>
        <w:rPr>
          <w:rFonts w:ascii="Arial" w:hAnsi="Arial" w:cs="Arial"/>
          <w:i/>
          <w:sz w:val="20"/>
          <w:szCs w:val="20"/>
        </w:rPr>
      </w:pPr>
      <w:r w:rsidRPr="00894782">
        <w:rPr>
          <w:rFonts w:ascii="Arial" w:hAnsi="Arial" w:cs="Arial"/>
          <w:i/>
          <w:sz w:val="20"/>
          <w:szCs w:val="20"/>
        </w:rPr>
        <w:t>(Kèm theo Quyết định số 2020/QĐ-BTC ngày 11/6/2025 của Bộ Tài chính)</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1444"/>
        <w:gridCol w:w="2729"/>
        <w:gridCol w:w="1259"/>
        <w:gridCol w:w="1814"/>
        <w:gridCol w:w="1678"/>
      </w:tblGrid>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b/>
                <w:sz w:val="20"/>
                <w:szCs w:val="20"/>
              </w:rPr>
            </w:pPr>
            <w:r w:rsidRPr="00863F7E">
              <w:rPr>
                <w:rFonts w:ascii="Arial" w:eastAsia="Times New Roman" w:hAnsi="Arial" w:cs="Arial"/>
                <w:b/>
                <w:sz w:val="20"/>
                <w:szCs w:val="20"/>
              </w:rPr>
              <w:t>TT</w:t>
            </w:r>
          </w:p>
        </w:tc>
        <w:tc>
          <w:tcPr>
            <w:tcW w:w="1444" w:type="dxa"/>
            <w:tcMar>
              <w:top w:w="30" w:type="dxa"/>
              <w:left w:w="45" w:type="dxa"/>
              <w:bottom w:w="30" w:type="dxa"/>
              <w:right w:w="45" w:type="dxa"/>
            </w:tcMar>
            <w:vAlign w:val="center"/>
            <w:hideMark/>
          </w:tcPr>
          <w:p w:rsidR="00F5574E" w:rsidRPr="00863F7E" w:rsidRDefault="00F5574E" w:rsidP="00863F7E">
            <w:pPr>
              <w:spacing w:after="0" w:line="240" w:lineRule="auto"/>
              <w:jc w:val="center"/>
              <w:rPr>
                <w:rFonts w:ascii="Arial" w:eastAsia="Times New Roman" w:hAnsi="Arial" w:cs="Arial"/>
                <w:b/>
                <w:sz w:val="20"/>
                <w:szCs w:val="20"/>
              </w:rPr>
            </w:pPr>
            <w:r w:rsidRPr="00863F7E">
              <w:rPr>
                <w:rFonts w:ascii="Arial" w:eastAsia="Times New Roman" w:hAnsi="Arial" w:cs="Arial"/>
                <w:b/>
                <w:sz w:val="20"/>
                <w:szCs w:val="20"/>
              </w:rPr>
              <w:t>Tên đơn vị</w:t>
            </w:r>
          </w:p>
        </w:tc>
        <w:tc>
          <w:tcPr>
            <w:tcW w:w="0" w:type="auto"/>
            <w:gridSpan w:val="2"/>
            <w:tcMar>
              <w:top w:w="30" w:type="dxa"/>
              <w:left w:w="45" w:type="dxa"/>
              <w:bottom w:w="30" w:type="dxa"/>
              <w:right w:w="45" w:type="dxa"/>
            </w:tcMar>
            <w:vAlign w:val="center"/>
            <w:hideMark/>
          </w:tcPr>
          <w:p w:rsidR="00F5574E" w:rsidRPr="00863F7E" w:rsidRDefault="00F5574E" w:rsidP="00863F7E">
            <w:pPr>
              <w:spacing w:after="0" w:line="240" w:lineRule="auto"/>
              <w:jc w:val="center"/>
              <w:rPr>
                <w:rFonts w:ascii="Arial" w:eastAsia="Times New Roman" w:hAnsi="Arial" w:cs="Arial"/>
                <w:b/>
                <w:sz w:val="20"/>
                <w:szCs w:val="20"/>
              </w:rPr>
            </w:pPr>
            <w:r w:rsidRPr="00863F7E">
              <w:rPr>
                <w:rFonts w:ascii="Arial" w:eastAsia="Times New Roman" w:hAnsi="Arial" w:cs="Arial"/>
                <w:b/>
                <w:sz w:val="20"/>
                <w:szCs w:val="20"/>
              </w:rPr>
              <w:t>Địa bàn quản lý và trụ sở trước khi sắp xếp đơn vị hành chính cấp tỉnh</w:t>
            </w:r>
          </w:p>
        </w:tc>
        <w:tc>
          <w:tcPr>
            <w:tcW w:w="0" w:type="auto"/>
            <w:gridSpan w:val="2"/>
            <w:tcMar>
              <w:top w:w="30" w:type="dxa"/>
              <w:left w:w="0" w:type="dxa"/>
              <w:bottom w:w="30" w:type="dxa"/>
              <w:right w:w="0" w:type="dxa"/>
            </w:tcMar>
            <w:vAlign w:val="center"/>
            <w:hideMark/>
          </w:tcPr>
          <w:p w:rsidR="00F5574E" w:rsidRPr="00863F7E" w:rsidRDefault="00F5574E" w:rsidP="00863F7E">
            <w:pPr>
              <w:spacing w:after="0" w:line="240" w:lineRule="auto"/>
              <w:jc w:val="center"/>
              <w:rPr>
                <w:rFonts w:ascii="Arial" w:eastAsia="Times New Roman" w:hAnsi="Arial" w:cs="Arial"/>
                <w:b/>
                <w:sz w:val="20"/>
                <w:szCs w:val="20"/>
              </w:rPr>
            </w:pPr>
            <w:r w:rsidRPr="00863F7E">
              <w:rPr>
                <w:rFonts w:ascii="Arial" w:eastAsia="Times New Roman" w:hAnsi="Arial" w:cs="Arial"/>
                <w:b/>
                <w:sz w:val="20"/>
                <w:szCs w:val="20"/>
              </w:rPr>
              <w:t>Địa bàn quản lý và trụ sở sau khi sắp xếp đơn vị hành chính cấp tỉnh</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b/>
                <w:sz w:val="20"/>
                <w:szCs w:val="20"/>
              </w:rPr>
            </w:pPr>
          </w:p>
        </w:tc>
        <w:tc>
          <w:tcPr>
            <w:tcW w:w="1444" w:type="dxa"/>
            <w:tcMar>
              <w:top w:w="30" w:type="dxa"/>
              <w:left w:w="45" w:type="dxa"/>
              <w:bottom w:w="30" w:type="dxa"/>
              <w:right w:w="45" w:type="dxa"/>
            </w:tcMar>
            <w:vAlign w:val="center"/>
            <w:hideMark/>
          </w:tcPr>
          <w:p w:rsidR="00F5574E" w:rsidRPr="00863F7E" w:rsidRDefault="00F5574E" w:rsidP="00863F7E">
            <w:pPr>
              <w:spacing w:after="0" w:line="240" w:lineRule="auto"/>
              <w:jc w:val="center"/>
              <w:rPr>
                <w:rFonts w:ascii="Times New Roman" w:eastAsia="Times New Roman" w:hAnsi="Times New Roman" w:cs="Times New Roman"/>
                <w:b/>
                <w:sz w:val="20"/>
                <w:szCs w:val="20"/>
              </w:rPr>
            </w:pPr>
          </w:p>
        </w:tc>
        <w:tc>
          <w:tcPr>
            <w:tcW w:w="0" w:type="auto"/>
            <w:tcMar>
              <w:top w:w="30" w:type="dxa"/>
              <w:left w:w="45" w:type="dxa"/>
              <w:bottom w:w="30" w:type="dxa"/>
              <w:right w:w="45" w:type="dxa"/>
            </w:tcMar>
            <w:vAlign w:val="center"/>
            <w:hideMark/>
          </w:tcPr>
          <w:p w:rsidR="00F5574E" w:rsidRPr="00863F7E" w:rsidRDefault="00F5574E" w:rsidP="00863F7E">
            <w:pPr>
              <w:spacing w:after="0" w:line="240" w:lineRule="auto"/>
              <w:jc w:val="center"/>
              <w:rPr>
                <w:rFonts w:ascii="Arial" w:eastAsia="Times New Roman" w:hAnsi="Arial" w:cs="Arial"/>
                <w:b/>
                <w:sz w:val="20"/>
                <w:szCs w:val="20"/>
              </w:rPr>
            </w:pPr>
            <w:r w:rsidRPr="00863F7E">
              <w:rPr>
                <w:rFonts w:ascii="Arial" w:eastAsia="Times New Roman" w:hAnsi="Arial" w:cs="Arial"/>
                <w:b/>
                <w:sz w:val="20"/>
                <w:szCs w:val="20"/>
              </w:rPr>
              <w:t>Địa bàn quản lý</w:t>
            </w:r>
          </w:p>
        </w:tc>
        <w:tc>
          <w:tcPr>
            <w:tcW w:w="0" w:type="auto"/>
            <w:vAlign w:val="center"/>
          </w:tcPr>
          <w:p w:rsidR="00F5574E" w:rsidRPr="00863F7E" w:rsidRDefault="00F5574E" w:rsidP="00863F7E">
            <w:pPr>
              <w:spacing w:after="0" w:line="240" w:lineRule="auto"/>
              <w:jc w:val="center"/>
              <w:rPr>
                <w:rFonts w:ascii="Arial" w:eastAsia="Times New Roman" w:hAnsi="Arial" w:cs="Arial"/>
                <w:b/>
                <w:sz w:val="20"/>
                <w:szCs w:val="20"/>
              </w:rPr>
            </w:pPr>
            <w:r>
              <w:rPr>
                <w:rFonts w:ascii="Arial" w:eastAsia="Times New Roman" w:hAnsi="Arial" w:cs="Arial"/>
                <w:b/>
                <w:sz w:val="20"/>
                <w:szCs w:val="20"/>
              </w:rPr>
              <w:t>Trụ sở chính</w:t>
            </w:r>
          </w:p>
        </w:tc>
        <w:tc>
          <w:tcPr>
            <w:tcW w:w="0" w:type="auto"/>
            <w:tcMar>
              <w:top w:w="30" w:type="dxa"/>
              <w:left w:w="45" w:type="dxa"/>
              <w:bottom w:w="30" w:type="dxa"/>
              <w:right w:w="45" w:type="dxa"/>
            </w:tcMar>
            <w:vAlign w:val="center"/>
            <w:hideMark/>
          </w:tcPr>
          <w:p w:rsidR="00F5574E" w:rsidRPr="00863F7E" w:rsidRDefault="00F5574E" w:rsidP="00863F7E">
            <w:pPr>
              <w:spacing w:after="0" w:line="240" w:lineRule="auto"/>
              <w:jc w:val="center"/>
              <w:rPr>
                <w:rFonts w:ascii="Arial" w:eastAsia="Times New Roman" w:hAnsi="Arial" w:cs="Arial"/>
                <w:b/>
                <w:sz w:val="20"/>
                <w:szCs w:val="20"/>
              </w:rPr>
            </w:pPr>
            <w:r w:rsidRPr="00863F7E">
              <w:rPr>
                <w:rFonts w:ascii="Arial" w:eastAsia="Times New Roman" w:hAnsi="Arial" w:cs="Arial"/>
                <w:b/>
                <w:sz w:val="20"/>
                <w:szCs w:val="20"/>
              </w:rPr>
              <w:t>Địa bàn quản lý</w:t>
            </w:r>
          </w:p>
        </w:tc>
        <w:tc>
          <w:tcPr>
            <w:tcW w:w="0" w:type="auto"/>
            <w:vAlign w:val="center"/>
          </w:tcPr>
          <w:p w:rsidR="00F5574E" w:rsidRPr="00863F7E" w:rsidRDefault="00F5574E" w:rsidP="00863F7E">
            <w:pPr>
              <w:spacing w:after="0" w:line="240" w:lineRule="auto"/>
              <w:jc w:val="center"/>
              <w:rPr>
                <w:rFonts w:ascii="Arial" w:eastAsia="Times New Roman" w:hAnsi="Arial" w:cs="Arial"/>
                <w:b/>
                <w:sz w:val="20"/>
                <w:szCs w:val="20"/>
              </w:rPr>
            </w:pPr>
            <w:r>
              <w:rPr>
                <w:rFonts w:ascii="Arial" w:eastAsia="Times New Roman" w:hAnsi="Arial" w:cs="Arial"/>
                <w:b/>
                <w:sz w:val="20"/>
                <w:szCs w:val="20"/>
              </w:rPr>
              <w:t>Trụ sở chính</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Hà Nội</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Hà Nội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Hà Nội</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Hà Nội</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2</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II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Thành phố Hồ Chí Minh, Bình Dương, Bà Rịa - Vũng Tàu</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Thành phố Hồ Chí Minh</w:t>
            </w:r>
          </w:p>
        </w:tc>
        <w:tc>
          <w:tcPr>
            <w:tcW w:w="0" w:type="auto"/>
            <w:tcMar>
              <w:top w:w="30" w:type="dxa"/>
              <w:left w:w="0" w:type="dxa"/>
              <w:bottom w:w="30" w:type="dxa"/>
              <w:right w:w="0"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Thành phố Hồ Chí Minh</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Thành phố Hồ Chí Minh</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3</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III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Hải Phòng, Hải Dương, Quảng Ninh</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Hải Phòng</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Hải Phòng</w:t>
            </w:r>
            <w:r>
              <w:rPr>
                <w:rFonts w:ascii="Arial" w:eastAsia="Times New Roman" w:hAnsi="Arial" w:cs="Arial"/>
                <w:sz w:val="20"/>
                <w:szCs w:val="20"/>
              </w:rPr>
              <w:t>, Quảng Ninh</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Hải Phòng</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4</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IV</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Hưng Yên, Thái Bình</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Hưng Yên</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Hưng Yên</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Hưng Yên</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5</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V</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Hà Nam, Nam Định, Ninh Bình</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Ninh Bình</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Ninh Bình</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Ninh Bình</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6</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VI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Bắc Giang, Bắc Ninh, Lạng Sơn</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Bắc Giang</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Pr>
                <w:rFonts w:ascii="Arial" w:eastAsia="Times New Roman" w:hAnsi="Arial" w:cs="Arial"/>
                <w:sz w:val="20"/>
                <w:szCs w:val="20"/>
              </w:rPr>
              <w:t>Bắc Ninh, Lạng Sơn</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Pr>
                <w:rFonts w:ascii="Arial" w:eastAsia="Times New Roman" w:hAnsi="Arial" w:cs="Arial"/>
                <w:sz w:val="20"/>
                <w:szCs w:val="20"/>
              </w:rPr>
              <w:t>Bắc Ninh</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7</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VII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Thái Nguyên, Bắc Kạn, Cao Bằng</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Thái Nguyên</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Thái Nguyên</w:t>
            </w:r>
            <w:r>
              <w:rPr>
                <w:rFonts w:ascii="Arial" w:eastAsia="Times New Roman" w:hAnsi="Arial" w:cs="Arial"/>
                <w:sz w:val="20"/>
                <w:szCs w:val="20"/>
              </w:rPr>
              <w:t>, Cao Bằng</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Thái Nguyên</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8</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VIII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Tuyên Quang, Hà Giang, Vĩnh Phúc, Phú Thọ, Hòa Bình</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Pr>
                <w:rFonts w:ascii="Arial" w:eastAsia="Times New Roman" w:hAnsi="Arial" w:cs="Arial"/>
                <w:sz w:val="20"/>
                <w:szCs w:val="20"/>
              </w:rPr>
              <w:t>Phú Thọ</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Tuyên Quang, </w:t>
            </w:r>
            <w:r w:rsidRPr="00863F7E">
              <w:rPr>
                <w:rFonts w:ascii="Arial" w:eastAsia="Times New Roman" w:hAnsi="Arial" w:cs="Arial"/>
                <w:sz w:val="20"/>
                <w:szCs w:val="20"/>
              </w:rPr>
              <w:t>Phú Thọ</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Pr>
                <w:rFonts w:ascii="Arial" w:eastAsia="Times New Roman" w:hAnsi="Arial" w:cs="Arial"/>
                <w:sz w:val="20"/>
                <w:szCs w:val="20"/>
              </w:rPr>
              <w:t>Phú Thọ</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9</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IX</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Yên Bái, Lào Cai, Lai Châu</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Yên Bái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Pr>
                <w:rFonts w:ascii="Arial" w:eastAsia="Times New Roman" w:hAnsi="Arial" w:cs="Arial"/>
                <w:sz w:val="20"/>
                <w:szCs w:val="20"/>
              </w:rPr>
              <w:t>Lào Cai, Lai Châu</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Pr>
                <w:rFonts w:ascii="Arial" w:eastAsia="Times New Roman" w:hAnsi="Arial" w:cs="Arial"/>
                <w:sz w:val="20"/>
                <w:szCs w:val="20"/>
              </w:rPr>
              <w:t>Lào Cai</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10</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Điện Biên, Sơn La</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Điện Biên</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Điện Biên</w:t>
            </w:r>
            <w:r>
              <w:rPr>
                <w:rFonts w:ascii="Arial" w:eastAsia="Times New Roman" w:hAnsi="Arial" w:cs="Arial"/>
                <w:sz w:val="20"/>
                <w:szCs w:val="20"/>
              </w:rPr>
              <w:t>, Sơn La</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Điện Biên</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11</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Thanh Hóa, Nghệ An</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Thanh Hóa</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Thanh Hóa</w:t>
            </w:r>
            <w:r>
              <w:rPr>
                <w:rFonts w:ascii="Arial" w:eastAsia="Times New Roman" w:hAnsi="Arial" w:cs="Arial"/>
                <w:sz w:val="20"/>
                <w:szCs w:val="20"/>
              </w:rPr>
              <w:t>, Nghệ An</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Thanh Hóa</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12</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XII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Hà Tĩnh, Quảng Bình, Quảng Trị</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Hà Tĩnh</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Hà Tĩnh</w:t>
            </w:r>
            <w:r>
              <w:rPr>
                <w:rFonts w:ascii="Arial" w:eastAsia="Times New Roman" w:hAnsi="Arial" w:cs="Arial"/>
                <w:sz w:val="20"/>
                <w:szCs w:val="20"/>
              </w:rPr>
              <w:t>, Quảng Trị</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Hà Tĩnh</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13</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XIII</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Huế, Đà Nẵng, Quảng Nam</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Đà Nẵng</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Huế, </w:t>
            </w:r>
            <w:r w:rsidRPr="00863F7E">
              <w:rPr>
                <w:rFonts w:ascii="Arial" w:eastAsia="Times New Roman" w:hAnsi="Arial" w:cs="Arial"/>
                <w:sz w:val="20"/>
                <w:szCs w:val="20"/>
              </w:rPr>
              <w:t>Đà Nẵng</w:t>
            </w:r>
          </w:p>
        </w:tc>
        <w:tc>
          <w:tcPr>
            <w:tcW w:w="0" w:type="auto"/>
            <w:vAlign w:val="center"/>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Đà Nẵng</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14</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XIV</w:t>
            </w:r>
          </w:p>
        </w:tc>
        <w:tc>
          <w:tcPr>
            <w:tcW w:w="0" w:type="auto"/>
            <w:tcMar>
              <w:top w:w="30" w:type="dxa"/>
              <w:left w:w="45" w:type="dxa"/>
              <w:bottom w:w="30" w:type="dxa"/>
              <w:right w:w="45" w:type="dxa"/>
            </w:tcMar>
            <w:vAlign w:val="center"/>
            <w:hideMark/>
          </w:tcPr>
          <w:p w:rsidR="00F5574E" w:rsidRPr="00863F7E" w:rsidRDefault="00F5574E" w:rsidP="00F5574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Khánh Hòa, Ninh Thuận, Phú Yên, Đắk Lắk</w:t>
            </w:r>
          </w:p>
        </w:tc>
        <w:tc>
          <w:tcPr>
            <w:tcW w:w="0" w:type="auto"/>
            <w:vAlign w:val="center"/>
          </w:tcPr>
          <w:p w:rsidR="00F5574E" w:rsidRPr="00863F7E" w:rsidRDefault="00214F34" w:rsidP="00214F34">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Khánh Hòa</w:t>
            </w:r>
          </w:p>
        </w:tc>
        <w:tc>
          <w:tcPr>
            <w:tcW w:w="0" w:type="auto"/>
            <w:tcMar>
              <w:top w:w="30" w:type="dxa"/>
              <w:left w:w="45" w:type="dxa"/>
              <w:bottom w:w="30" w:type="dxa"/>
              <w:right w:w="45" w:type="dxa"/>
            </w:tcMar>
            <w:vAlign w:val="center"/>
            <w:hideMark/>
          </w:tcPr>
          <w:p w:rsidR="00F5574E" w:rsidRPr="00863F7E" w:rsidRDefault="00F5574E" w:rsidP="00214F34">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Khánh Hòa</w:t>
            </w:r>
            <w:r w:rsidR="00214F34">
              <w:rPr>
                <w:rFonts w:ascii="Arial" w:eastAsia="Times New Roman" w:hAnsi="Arial" w:cs="Arial"/>
                <w:sz w:val="20"/>
                <w:szCs w:val="20"/>
              </w:rPr>
              <w:t>, Đắk Lắk</w:t>
            </w:r>
          </w:p>
        </w:tc>
        <w:tc>
          <w:tcPr>
            <w:tcW w:w="0" w:type="auto"/>
            <w:vAlign w:val="center"/>
          </w:tcPr>
          <w:p w:rsidR="00F5574E" w:rsidRPr="00863F7E" w:rsidRDefault="00214F34" w:rsidP="00214F34">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Khánh Hòa</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15</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XV</w:t>
            </w:r>
          </w:p>
        </w:tc>
        <w:tc>
          <w:tcPr>
            <w:tcW w:w="0" w:type="auto"/>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Gia Lai, Bình Định, Kon Tum, Quảng Ngãi</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Bình Định</w:t>
            </w:r>
          </w:p>
        </w:tc>
        <w:tc>
          <w:tcPr>
            <w:tcW w:w="0" w:type="auto"/>
            <w:tcMar>
              <w:top w:w="30" w:type="dxa"/>
              <w:left w:w="45" w:type="dxa"/>
              <w:bottom w:w="30" w:type="dxa"/>
              <w:right w:w="45" w:type="dxa"/>
            </w:tcMar>
            <w:vAlign w:val="center"/>
            <w:hideMark/>
          </w:tcPr>
          <w:p w:rsidR="00F5574E" w:rsidRPr="00863F7E" w:rsidRDefault="00497F7E" w:rsidP="00497F7E">
            <w:pPr>
              <w:spacing w:after="0" w:line="240" w:lineRule="auto"/>
              <w:jc w:val="center"/>
              <w:rPr>
                <w:rFonts w:ascii="Arial" w:eastAsia="Times New Roman" w:hAnsi="Arial" w:cs="Arial"/>
                <w:sz w:val="20"/>
                <w:szCs w:val="20"/>
              </w:rPr>
            </w:pPr>
            <w:r>
              <w:rPr>
                <w:rFonts w:ascii="Arial" w:eastAsia="Times New Roman" w:hAnsi="Arial" w:cs="Arial"/>
                <w:sz w:val="20"/>
                <w:szCs w:val="20"/>
              </w:rPr>
              <w:t>Gia Lai, Quảng Ngãi</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Pr>
                <w:rFonts w:ascii="Arial" w:eastAsia="Times New Roman" w:hAnsi="Arial" w:cs="Arial"/>
                <w:sz w:val="20"/>
                <w:szCs w:val="20"/>
              </w:rPr>
              <w:t>Gia Lai</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lastRenderedPageBreak/>
              <w:t>16</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XVI</w:t>
            </w:r>
          </w:p>
        </w:tc>
        <w:tc>
          <w:tcPr>
            <w:tcW w:w="0" w:type="auto"/>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Lâm Đồng, Bình Thuận, Đắk Nông</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Lâm Đồng</w:t>
            </w:r>
          </w:p>
        </w:tc>
        <w:tc>
          <w:tcPr>
            <w:tcW w:w="0" w:type="auto"/>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Lâm Đồng</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Lâm Đồng</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17</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XVII</w:t>
            </w:r>
          </w:p>
        </w:tc>
        <w:tc>
          <w:tcPr>
            <w:tcW w:w="0" w:type="auto"/>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Bình Phước, Đồng Nai</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Đồng Nai</w:t>
            </w:r>
          </w:p>
        </w:tc>
        <w:tc>
          <w:tcPr>
            <w:tcW w:w="0" w:type="auto"/>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Đồng Nai</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Đồng Nai</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18</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XVIII</w:t>
            </w:r>
          </w:p>
        </w:tc>
        <w:tc>
          <w:tcPr>
            <w:tcW w:w="0" w:type="auto"/>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Long An, Tây Ninh, Tiền Giang, Đồng Tháp</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Long An</w:t>
            </w:r>
          </w:p>
        </w:tc>
        <w:tc>
          <w:tcPr>
            <w:tcW w:w="0" w:type="auto"/>
            <w:tcMar>
              <w:top w:w="30" w:type="dxa"/>
              <w:left w:w="45" w:type="dxa"/>
              <w:bottom w:w="30" w:type="dxa"/>
              <w:right w:w="45" w:type="dxa"/>
            </w:tcMar>
            <w:vAlign w:val="center"/>
            <w:hideMark/>
          </w:tcPr>
          <w:p w:rsidR="00F5574E" w:rsidRPr="00863F7E" w:rsidRDefault="00497F7E" w:rsidP="00497F7E">
            <w:pPr>
              <w:spacing w:after="0" w:line="240" w:lineRule="auto"/>
              <w:jc w:val="center"/>
              <w:rPr>
                <w:rFonts w:ascii="Arial" w:eastAsia="Times New Roman" w:hAnsi="Arial" w:cs="Arial"/>
                <w:sz w:val="20"/>
                <w:szCs w:val="20"/>
              </w:rPr>
            </w:pPr>
            <w:r>
              <w:rPr>
                <w:rFonts w:ascii="Arial" w:eastAsia="Times New Roman" w:hAnsi="Arial" w:cs="Arial"/>
                <w:sz w:val="20"/>
                <w:szCs w:val="20"/>
              </w:rPr>
              <w:t>Tây Ninh, Đồng Tháp</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Pr>
                <w:rFonts w:ascii="Arial" w:eastAsia="Times New Roman" w:hAnsi="Arial" w:cs="Arial"/>
                <w:sz w:val="20"/>
                <w:szCs w:val="20"/>
              </w:rPr>
              <w:t>Tây Ninh</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19</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XIX</w:t>
            </w:r>
          </w:p>
        </w:tc>
        <w:tc>
          <w:tcPr>
            <w:tcW w:w="0" w:type="auto"/>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Trà Vinh, Bến Tre, Vĩnh Long, Sóc Trăng, Cần Thơ, Hậu Giang</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Cần Thơ</w:t>
            </w:r>
          </w:p>
        </w:tc>
        <w:tc>
          <w:tcPr>
            <w:tcW w:w="0" w:type="auto"/>
            <w:tcMar>
              <w:top w:w="30" w:type="dxa"/>
              <w:left w:w="45" w:type="dxa"/>
              <w:bottom w:w="30" w:type="dxa"/>
              <w:right w:w="45" w:type="dxa"/>
            </w:tcMar>
            <w:vAlign w:val="center"/>
            <w:hideMark/>
          </w:tcPr>
          <w:p w:rsidR="00F5574E" w:rsidRPr="00863F7E" w:rsidRDefault="00497F7E" w:rsidP="00497F7E">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Vĩnh Long, </w:t>
            </w:r>
            <w:r w:rsidR="00F5574E" w:rsidRPr="00863F7E">
              <w:rPr>
                <w:rFonts w:ascii="Arial" w:eastAsia="Times New Roman" w:hAnsi="Arial" w:cs="Arial"/>
                <w:sz w:val="20"/>
                <w:szCs w:val="20"/>
              </w:rPr>
              <w:t>Cần Thơ</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Cần Thơ</w:t>
            </w:r>
          </w:p>
        </w:tc>
      </w:tr>
      <w:tr w:rsidR="00497F7E" w:rsidRPr="00863F7E" w:rsidTr="00497F7E">
        <w:trPr>
          <w:trHeight w:val="315"/>
        </w:trPr>
        <w:tc>
          <w:tcPr>
            <w:tcW w:w="421" w:type="dxa"/>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20</w:t>
            </w:r>
          </w:p>
        </w:tc>
        <w:tc>
          <w:tcPr>
            <w:tcW w:w="1444" w:type="dxa"/>
            <w:tcMar>
              <w:top w:w="30" w:type="dxa"/>
              <w:left w:w="45" w:type="dxa"/>
              <w:bottom w:w="30" w:type="dxa"/>
              <w:right w:w="45" w:type="dxa"/>
            </w:tcMar>
            <w:vAlign w:val="center"/>
            <w:hideMark/>
          </w:tcPr>
          <w:p w:rsidR="00F5574E" w:rsidRPr="00863F7E" w:rsidRDefault="00F5574E" w:rsidP="00F5574E">
            <w:pPr>
              <w:spacing w:after="0" w:line="240" w:lineRule="auto"/>
              <w:rPr>
                <w:rFonts w:ascii="Arial" w:eastAsia="Times New Roman" w:hAnsi="Arial" w:cs="Arial"/>
                <w:sz w:val="20"/>
                <w:szCs w:val="20"/>
              </w:rPr>
            </w:pPr>
            <w:r w:rsidRPr="00863F7E">
              <w:rPr>
                <w:rFonts w:ascii="Arial" w:eastAsia="Times New Roman" w:hAnsi="Arial" w:cs="Arial"/>
                <w:sz w:val="20"/>
                <w:szCs w:val="20"/>
              </w:rPr>
              <w:t>Kho bạc Nhà nước khu vực XX</w:t>
            </w:r>
          </w:p>
        </w:tc>
        <w:tc>
          <w:tcPr>
            <w:tcW w:w="0" w:type="auto"/>
            <w:tcMar>
              <w:top w:w="30" w:type="dxa"/>
              <w:left w:w="45" w:type="dxa"/>
              <w:bottom w:w="30" w:type="dxa"/>
              <w:right w:w="45" w:type="dxa"/>
            </w:tcMar>
            <w:vAlign w:val="center"/>
            <w:hideMark/>
          </w:tcPr>
          <w:p w:rsidR="00F5574E" w:rsidRPr="00863F7E" w:rsidRDefault="00F5574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Kiên Giang, An Giang, Cà Mau, Bạc Liêu</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sidRPr="00863F7E">
              <w:rPr>
                <w:rFonts w:ascii="Arial" w:eastAsia="Times New Roman" w:hAnsi="Arial" w:cs="Arial"/>
                <w:sz w:val="20"/>
                <w:szCs w:val="20"/>
              </w:rPr>
              <w:t>Kiên Giang</w:t>
            </w:r>
          </w:p>
        </w:tc>
        <w:tc>
          <w:tcPr>
            <w:tcW w:w="0" w:type="auto"/>
            <w:tcMar>
              <w:top w:w="30" w:type="dxa"/>
              <w:left w:w="45" w:type="dxa"/>
              <w:bottom w:w="30" w:type="dxa"/>
              <w:right w:w="45" w:type="dxa"/>
            </w:tcMar>
            <w:vAlign w:val="center"/>
            <w:hideMark/>
          </w:tcPr>
          <w:p w:rsidR="00F5574E" w:rsidRPr="00863F7E" w:rsidRDefault="00497F7E" w:rsidP="00497F7E">
            <w:pPr>
              <w:spacing w:after="0" w:line="240" w:lineRule="auto"/>
              <w:jc w:val="center"/>
              <w:rPr>
                <w:rFonts w:ascii="Arial" w:eastAsia="Times New Roman" w:hAnsi="Arial" w:cs="Arial"/>
                <w:sz w:val="20"/>
                <w:szCs w:val="20"/>
              </w:rPr>
            </w:pPr>
            <w:r>
              <w:rPr>
                <w:rFonts w:ascii="Arial" w:eastAsia="Times New Roman" w:hAnsi="Arial" w:cs="Arial"/>
                <w:sz w:val="20"/>
                <w:szCs w:val="20"/>
              </w:rPr>
              <w:t>An Giang, Cà Mau</w:t>
            </w:r>
          </w:p>
        </w:tc>
        <w:tc>
          <w:tcPr>
            <w:tcW w:w="0" w:type="auto"/>
            <w:vAlign w:val="center"/>
          </w:tcPr>
          <w:p w:rsidR="00F5574E" w:rsidRPr="00863F7E" w:rsidRDefault="00497F7E" w:rsidP="00497F7E">
            <w:pPr>
              <w:spacing w:after="0" w:line="240" w:lineRule="auto"/>
              <w:jc w:val="center"/>
              <w:rPr>
                <w:rFonts w:ascii="Arial" w:eastAsia="Times New Roman" w:hAnsi="Arial" w:cs="Arial"/>
                <w:sz w:val="20"/>
                <w:szCs w:val="20"/>
              </w:rPr>
            </w:pPr>
            <w:r>
              <w:rPr>
                <w:rFonts w:ascii="Arial" w:eastAsia="Times New Roman" w:hAnsi="Arial" w:cs="Arial"/>
                <w:sz w:val="20"/>
                <w:szCs w:val="20"/>
              </w:rPr>
              <w:t>An Giang</w:t>
            </w:r>
          </w:p>
        </w:tc>
      </w:tr>
    </w:tbl>
    <w:p w:rsidR="00894782" w:rsidRPr="00E65CE1" w:rsidRDefault="00894782">
      <w:pPr>
        <w:rPr>
          <w:rFonts w:ascii="Arial" w:hAnsi="Arial" w:cs="Arial"/>
          <w:sz w:val="20"/>
          <w:szCs w:val="20"/>
        </w:rPr>
      </w:pPr>
    </w:p>
    <w:sectPr w:rsidR="00894782" w:rsidRPr="00E65CE1" w:rsidSect="00CE173D">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DB4" w:rsidRDefault="001B7DB4" w:rsidP="000A3E77">
      <w:pPr>
        <w:spacing w:after="0" w:line="240" w:lineRule="auto"/>
      </w:pPr>
      <w:r>
        <w:separator/>
      </w:r>
    </w:p>
  </w:endnote>
  <w:endnote w:type="continuationSeparator" w:id="0">
    <w:p w:rsidR="001B7DB4" w:rsidRDefault="001B7DB4" w:rsidP="000A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DB4" w:rsidRDefault="001B7DB4" w:rsidP="000A3E77">
      <w:pPr>
        <w:spacing w:after="0" w:line="240" w:lineRule="auto"/>
      </w:pPr>
      <w:r>
        <w:separator/>
      </w:r>
    </w:p>
  </w:footnote>
  <w:footnote w:type="continuationSeparator" w:id="0">
    <w:p w:rsidR="001B7DB4" w:rsidRDefault="001B7DB4" w:rsidP="000A3E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E1"/>
    <w:rsid w:val="00064E5B"/>
    <w:rsid w:val="00094344"/>
    <w:rsid w:val="000A3E77"/>
    <w:rsid w:val="00170AC5"/>
    <w:rsid w:val="001B7DB4"/>
    <w:rsid w:val="00214F34"/>
    <w:rsid w:val="002303AB"/>
    <w:rsid w:val="00255A29"/>
    <w:rsid w:val="00320527"/>
    <w:rsid w:val="00370D79"/>
    <w:rsid w:val="003F0296"/>
    <w:rsid w:val="00497F7E"/>
    <w:rsid w:val="00524465"/>
    <w:rsid w:val="00530F3B"/>
    <w:rsid w:val="007A766E"/>
    <w:rsid w:val="00863F7E"/>
    <w:rsid w:val="00894782"/>
    <w:rsid w:val="0090164F"/>
    <w:rsid w:val="00986072"/>
    <w:rsid w:val="00B67918"/>
    <w:rsid w:val="00CE173D"/>
    <w:rsid w:val="00E65CE1"/>
    <w:rsid w:val="00F45C8F"/>
    <w:rsid w:val="00F5574E"/>
    <w:rsid w:val="00FF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D171A-EAD6-4B8C-8B59-3EC9BECD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sid w:val="00E65CE1"/>
    <w:rPr>
      <w:rFonts w:ascii="Times New Roman" w:eastAsia="Times New Roman" w:hAnsi="Times New Roman" w:cs="Times New Roman"/>
      <w:b/>
      <w:bCs/>
      <w:sz w:val="26"/>
      <w:szCs w:val="26"/>
    </w:rPr>
  </w:style>
  <w:style w:type="character" w:customStyle="1" w:styleId="Vnbnnidung">
    <w:name w:val="Văn bản nội dung_"/>
    <w:basedOn w:val="DefaultParagraphFont"/>
    <w:link w:val="Vnbnnidung0"/>
    <w:rsid w:val="00E65CE1"/>
    <w:rPr>
      <w:rFonts w:ascii="Times New Roman" w:eastAsia="Times New Roman" w:hAnsi="Times New Roman" w:cs="Times New Roman"/>
      <w:i/>
      <w:iCs/>
      <w:sz w:val="26"/>
      <w:szCs w:val="26"/>
    </w:rPr>
  </w:style>
  <w:style w:type="paragraph" w:customStyle="1" w:styleId="Tiu10">
    <w:name w:val="Tiêu đề #1"/>
    <w:basedOn w:val="Normal"/>
    <w:link w:val="Tiu1"/>
    <w:rsid w:val="00E65CE1"/>
    <w:pPr>
      <w:widowControl w:val="0"/>
      <w:spacing w:after="200" w:line="257" w:lineRule="auto"/>
      <w:ind w:left="720" w:right="70"/>
      <w:jc w:val="center"/>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E65CE1"/>
    <w:pPr>
      <w:widowControl w:val="0"/>
      <w:spacing w:after="100"/>
      <w:ind w:firstLine="400"/>
    </w:pPr>
    <w:rPr>
      <w:rFonts w:ascii="Times New Roman" w:eastAsia="Times New Roman" w:hAnsi="Times New Roman" w:cs="Times New Roman"/>
      <w:i/>
      <w:iCs/>
      <w:sz w:val="26"/>
      <w:szCs w:val="26"/>
    </w:rPr>
  </w:style>
  <w:style w:type="character" w:customStyle="1" w:styleId="Khc">
    <w:name w:val="Khác_"/>
    <w:basedOn w:val="DefaultParagraphFont"/>
    <w:link w:val="Khc0"/>
    <w:rsid w:val="00894782"/>
    <w:rPr>
      <w:rFonts w:ascii="Times New Roman" w:eastAsia="Times New Roman" w:hAnsi="Times New Roman" w:cs="Times New Roman"/>
      <w:i/>
      <w:iCs/>
      <w:sz w:val="26"/>
      <w:szCs w:val="26"/>
    </w:rPr>
  </w:style>
  <w:style w:type="paragraph" w:customStyle="1" w:styleId="Khc0">
    <w:name w:val="Khác"/>
    <w:basedOn w:val="Normal"/>
    <w:link w:val="Khc"/>
    <w:rsid w:val="00894782"/>
    <w:pPr>
      <w:widowControl w:val="0"/>
      <w:spacing w:after="100"/>
      <w:ind w:firstLine="400"/>
    </w:pPr>
    <w:rPr>
      <w:rFonts w:ascii="Times New Roman" w:eastAsia="Times New Roman" w:hAnsi="Times New Roman" w:cs="Times New Roman"/>
      <w:i/>
      <w:iCs/>
      <w:sz w:val="26"/>
      <w:szCs w:val="26"/>
    </w:rPr>
  </w:style>
  <w:style w:type="paragraph" w:styleId="Header">
    <w:name w:val="header"/>
    <w:basedOn w:val="Normal"/>
    <w:link w:val="HeaderChar"/>
    <w:uiPriority w:val="99"/>
    <w:unhideWhenUsed/>
    <w:rsid w:val="000A3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77"/>
  </w:style>
  <w:style w:type="paragraph" w:styleId="Footer">
    <w:name w:val="footer"/>
    <w:basedOn w:val="Normal"/>
    <w:link w:val="FooterChar"/>
    <w:uiPriority w:val="99"/>
    <w:unhideWhenUsed/>
    <w:rsid w:val="000A3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5717">
      <w:bodyDiv w:val="1"/>
      <w:marLeft w:val="0"/>
      <w:marRight w:val="0"/>
      <w:marTop w:val="0"/>
      <w:marBottom w:val="0"/>
      <w:divBdr>
        <w:top w:val="none" w:sz="0" w:space="0" w:color="auto"/>
        <w:left w:val="none" w:sz="0" w:space="0" w:color="auto"/>
        <w:bottom w:val="none" w:sz="0" w:space="0" w:color="auto"/>
        <w:right w:val="none" w:sz="0" w:space="0" w:color="auto"/>
      </w:divBdr>
      <w:divsChild>
        <w:div w:id="2137484848">
          <w:marLeft w:val="0"/>
          <w:marRight w:val="0"/>
          <w:marTop w:val="0"/>
          <w:marBottom w:val="0"/>
          <w:divBdr>
            <w:top w:val="none" w:sz="0" w:space="0" w:color="auto"/>
            <w:left w:val="none" w:sz="0" w:space="0" w:color="auto"/>
            <w:bottom w:val="none" w:sz="0" w:space="0" w:color="auto"/>
            <w:right w:val="none" w:sz="0" w:space="0" w:color="auto"/>
          </w:divBdr>
          <w:divsChild>
            <w:div w:id="56562843">
              <w:marLeft w:val="0"/>
              <w:marRight w:val="0"/>
              <w:marTop w:val="0"/>
              <w:marBottom w:val="0"/>
              <w:divBdr>
                <w:top w:val="none" w:sz="0" w:space="0" w:color="auto"/>
                <w:left w:val="none" w:sz="0" w:space="0" w:color="auto"/>
                <w:bottom w:val="none" w:sz="0" w:space="0" w:color="auto"/>
                <w:right w:val="none" w:sz="0" w:space="0" w:color="auto"/>
              </w:divBdr>
            </w:div>
          </w:divsChild>
        </w:div>
        <w:div w:id="533687662">
          <w:marLeft w:val="0"/>
          <w:marRight w:val="0"/>
          <w:marTop w:val="0"/>
          <w:marBottom w:val="0"/>
          <w:divBdr>
            <w:top w:val="none" w:sz="0" w:space="0" w:color="auto"/>
            <w:left w:val="none" w:sz="0" w:space="0" w:color="auto"/>
            <w:bottom w:val="none" w:sz="0" w:space="0" w:color="auto"/>
            <w:right w:val="none" w:sz="0" w:space="0" w:color="auto"/>
          </w:divBdr>
          <w:divsChild>
            <w:div w:id="13986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XUÂN HUY</cp:lastModifiedBy>
  <cp:revision>3</cp:revision>
  <dcterms:created xsi:type="dcterms:W3CDTF">2025-06-17T07:26:00Z</dcterms:created>
  <dcterms:modified xsi:type="dcterms:W3CDTF">2025-06-23T03:18:00Z</dcterms:modified>
</cp:coreProperties>
</file>