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390AA6" w:rsidRPr="00390AA6" w14:paraId="65734E0B" w14:textId="77777777" w:rsidTr="00390AA6">
        <w:tc>
          <w:tcPr>
            <w:tcW w:w="2194" w:type="pct"/>
          </w:tcPr>
          <w:p w14:paraId="773330D8" w14:textId="127026FE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 PH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: 306/2025/NĐ-CP</w:t>
            </w:r>
          </w:p>
        </w:tc>
        <w:tc>
          <w:tcPr>
            <w:tcW w:w="2806" w:type="pct"/>
          </w:tcPr>
          <w:p w14:paraId="01E5BC3E" w14:textId="7CD85635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390AA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25 tháng 11 năm 2025</w:t>
            </w:r>
          </w:p>
        </w:tc>
      </w:tr>
    </w:tbl>
    <w:p w14:paraId="086A3511" w14:textId="77777777" w:rsidR="007E2AE2" w:rsidRPr="00390AA6" w:rsidRDefault="007E2AE2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79D744" w14:textId="77777777" w:rsidR="007E2AE2" w:rsidRPr="00390AA6" w:rsidRDefault="007E2AE2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385ECB2" w14:textId="2960FA2C" w:rsidR="007C53D9" w:rsidRPr="00390AA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6C910D9" w14:textId="2F1D31C6" w:rsidR="007C53D9" w:rsidRPr="00390AA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156/2020/NĐ-CP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ngày 31 tháng 12 năm 2020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hành chính trong lĩnh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 và th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(đư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theo Ngh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128/2021/NĐ-CP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ngày 30 tháng 12 năm 2021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) và Ngh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="007E2AE2"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E2AE2" w:rsidRPr="00390AA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158/2020/NĐ-CP ngày 31 tháng 12 năm 2020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 phái sinh và th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 phái sinh</w:t>
      </w:r>
    </w:p>
    <w:p w14:paraId="42941815" w14:textId="77777777" w:rsidR="007E2AE2" w:rsidRPr="00390AA6" w:rsidRDefault="007E2AE2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A98230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7985C23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 đư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6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7/2020/QH14 và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1B7810D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khoán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54/2019/QH14 đư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56/2024/QH15;</w:t>
      </w:r>
    </w:p>
    <w:p w14:paraId="682BF5A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Doanh nghi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59/2020/QH14 đư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03/2022/QH15 và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76/2025/QH15;</w:t>
      </w:r>
    </w:p>
    <w:p w14:paraId="797CF6A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Phòng,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14/2022/QH15;</w:t>
      </w:r>
    </w:p>
    <w:p w14:paraId="4A0FCB8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Phòng, ch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kh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28/2013/QH13;</w:t>
      </w:r>
    </w:p>
    <w:p w14:paraId="5AFF9F9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1B99F10C" w14:textId="236245EA" w:rsidR="007C53D9" w:rsidRPr="00390AA6" w:rsidRDefault="00771681" w:rsidP="007E2AE2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156/2020/NĐ</w:t>
      </w:r>
      <w:r w:rsidR="007E2AE2" w:rsidRPr="00390AA6">
        <w:rPr>
          <w:rFonts w:ascii="Arial" w:hAnsi="Arial" w:cs="Arial"/>
          <w:i/>
          <w:color w:val="000000" w:themeColor="text1"/>
          <w:sz w:val="20"/>
          <w:szCs w:val="20"/>
        </w:rPr>
        <w:t>-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CP ngày 31 tháng 12 năm 2020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quy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m hành chính trong lĩnh v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khoán và th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khoán (đư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u theo Ngh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128/2021/NĐ-CP ngày 30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tháng 12 năm 2021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) và Ngh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158/2020/NĐ-CP ngày 31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tháng 12 năm 2020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khoán phái sinh và th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ng khoán phái sinh.</w:t>
      </w:r>
    </w:p>
    <w:p w14:paraId="01A86347" w14:textId="77777777" w:rsidR="007E2AE2" w:rsidRPr="00390AA6" w:rsidRDefault="007E2AE2" w:rsidP="007E2AE2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C10BA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156/2020/NĐ-CP ngày 31 tháng 12 năm 2020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hành chính trong lĩnh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 và th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rư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 (đư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theo Ngh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128/2021/NĐ-CP ngày 30 tháng 12 năm 2021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37E8417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 như sau:</w:t>
      </w:r>
    </w:p>
    <w:p w14:paraId="642500C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“h)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con;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con;”.</w:t>
      </w:r>
    </w:p>
    <w:p w14:paraId="7A9C684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như sau:</w:t>
      </w:r>
    </w:p>
    <w:p w14:paraId="5D59414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như sau:</w:t>
      </w:r>
    </w:p>
    <w:p w14:paraId="442A711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“c)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24 tháng;”;</w:t>
      </w:r>
    </w:p>
    <w:p w14:paraId="2B41B54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như sau:</w:t>
      </w:r>
    </w:p>
    <w:p w14:paraId="12D465E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“a)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chào mua công khai,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lãnh phát hành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văn phòng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lưu ký,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thanh toán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24 tháng;”;</w:t>
      </w:r>
    </w:p>
    <w:p w14:paraId="7955DAC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c, k, l và o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như sau:</w:t>
      </w:r>
    </w:p>
    <w:p w14:paraId="6DB612C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“c)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thông tin chính xác;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tin,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chính thông tin;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trình,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thông tin,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7CFB2F1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k)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lưu ký,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là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con, thành viê</w:t>
      </w:r>
      <w:bookmarkStart w:id="0" w:name="_GoBack"/>
      <w:bookmarkEnd w:id="0"/>
      <w:r w:rsidRPr="00390AA6">
        <w:rPr>
          <w:rFonts w:ascii="Arial" w:hAnsi="Arial" w:cs="Arial"/>
          <w:color w:val="000000" w:themeColor="text1"/>
          <w:sz w:val="20"/>
          <w:szCs w:val="20"/>
        </w:rPr>
        <w:t>n lưu ký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Nam và công ty con, thành viên lưu ký,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lưu ký,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khách hàng;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khách hàng và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hàng;</w:t>
      </w:r>
    </w:p>
    <w:p w14:paraId="4B4A544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l)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các khách hàng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chính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tà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thanh toán cho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và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thanh toán cho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cơ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D8F25C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o)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chính khác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lãnh phát hành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ra công chúng;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lãnh phát hành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ra công chúng theo đúng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nh;”;</w:t>
      </w:r>
    </w:p>
    <w:p w14:paraId="77A9B0F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 vào sau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r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như sau:</w:t>
      </w:r>
    </w:p>
    <w:p w14:paraId="43F6D3D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“s)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báo cáo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g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công ty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mua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hoán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u.”.</w:t>
      </w:r>
    </w:p>
    <w:p w14:paraId="6F2AA0E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 như sau:</w:t>
      </w:r>
    </w:p>
    <w:p w14:paraId="516C5D3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“2.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thì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8a;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9;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11;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13;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18;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19;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20;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24;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25;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28;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31;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34;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35;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36;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38;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 7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42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thì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hành vi.”.</w:t>
      </w:r>
    </w:p>
    <w:p w14:paraId="45400A8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7 như sau:</w:t>
      </w:r>
    </w:p>
    <w:p w14:paraId="44E09BD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“1. Trong quá trình xem xét,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lý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8a;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9;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11;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13;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18;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19;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24;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28;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31;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34;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35;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36;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38;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42;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45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ày,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xét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có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thì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đang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vi có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cho cơ quan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1, 2 và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62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chính.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có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nhưng không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thì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này”.</w:t>
      </w:r>
    </w:p>
    <w:p w14:paraId="77C71C7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tiêu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1 Chương II như sau:</w:t>
      </w:r>
    </w:p>
    <w:p w14:paraId="2C9BABCB" w14:textId="77777777" w:rsidR="007C53D9" w:rsidRPr="00390AA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“M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6B1A44D0" w14:textId="77777777" w:rsidR="007C53D9" w:rsidRPr="00390AA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CHÀO BÁN, PHÁT HÀNH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,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,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CHUY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,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; ĐĂNG KÝ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, ĐĂNG KÝ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GIAO D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CH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; CÔNG BÁO THÔNG TIN,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CUNG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LIÊN QUAN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CHÀO BÁN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DOANH NGHI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69CED6F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6.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 và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8a,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8b,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8c sau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 như sau:</w:t>
      </w:r>
    </w:p>
    <w:p w14:paraId="3F1AE32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 như sau:</w:t>
      </w:r>
    </w:p>
    <w:p w14:paraId="05894C4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8.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chào bán, phát hành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,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,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công ty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chúng, công ty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</w:t>
      </w:r>
    </w:p>
    <w:p w14:paraId="7F40E67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hoán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khi chưa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hoán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không đúng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phương án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7D70BF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sau:</w:t>
      </w:r>
    </w:p>
    <w:p w14:paraId="0FF2282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chào bán, phát hành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7FAD63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Không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báo cáo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phát hành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thư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niên,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thuy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minh chi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phát hành trong báo cáo tài chính năm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án,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F85CA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Đưa ra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trong tương lai,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trên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không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thua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079C1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phát hành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11FB9F8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Không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đăng ký chào bán, phát hành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khi phát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thông tin không chính xác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sót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có trong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khi phát sinh thông tin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đã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đã trình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D24E0D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phương án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bán, phát hành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nhưng không thông qua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công ty;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phương án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bán, phát hành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khi chưa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cho phép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n;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phương án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bán, phát hành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khi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50%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bán, phát hành; không báo cáo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phương án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bán, phát hành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AD2017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dung có tính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cáo,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chào mua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chào bán, phát hành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cáo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chào bán, phát hành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trên phương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chúng;</w:t>
      </w:r>
    </w:p>
    <w:p w14:paraId="358F84D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tư cách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chuyên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tham gia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bán, phát hành; không luôn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xác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tư cách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chuyên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DE88FB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trong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không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chào bán,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và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ra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DF18C2" w14:textId="6DEB8CDA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e) Không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 vào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phong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ngân hàng, chi nhánh ngân hàng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ngoài cho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khi hoàn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t chào bán và báo cáo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c;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 khi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có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hông báo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chào bán;</w:t>
      </w:r>
    </w:p>
    <w:p w14:paraId="32C58ED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phân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không đúng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048E3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t trong các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29D0A6DA" w14:textId="69037594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Chào bán, phát hành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không đúng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phương án đã đăng ký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phương án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chào bán, phát hành;</w:t>
      </w:r>
    </w:p>
    <w:p w14:paraId="449DCEF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bán, phát hành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không đúng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phương án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công ty thông qua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đã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cho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đã báo cáo cơ quan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 phê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duy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51A98E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18698DD9" w14:textId="5ADA3BA8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Chào bán, phát hành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khi chưa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 chào bán, phát hành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nhưng không đăng ký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thông báo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chào bán, phát hành và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trên trang thông tin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đã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đăng ký chào bán, phát hành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chào bán, phát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ành;</w:t>
      </w:r>
    </w:p>
    <w:p w14:paraId="247377E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phát hành không đúng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CCBA9F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p, xác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đăng ký chào bán, phát hành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có thông tin sai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ch, sai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che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C453D4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1.500.000.000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làm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xác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trên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minh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chào bán, phát hành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đăng ký chào bán, phát hành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4CBC0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8.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5D7818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chính, phương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 là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79148C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9.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BA2A6C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báo cáo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công ty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mua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9E4227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đã chào bán, phát hành trong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gian vư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quá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nh; hoàn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cho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thê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riê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tính theo lãi su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ngân hàng mà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hành;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chào bán, p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hát hành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thì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tính theo lãi su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ghi trên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600BF03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báo cáo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bán, phát hàn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minh chi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bán, phát hành trong báo cáo tài chính nă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50B9A3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92906B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thông qua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ành viên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công ty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phương án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bán, phát hành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5F2FA7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e)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đã chào bán, phát hành; hoàn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cho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thêm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yêu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3,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và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này, trong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đã chào bán, phát hành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là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60 ngày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hành.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tính theo lãi su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ngân hàng mà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hành;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chào bán, phát hành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thì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tính theo lãi su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t ghi trên trái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58051B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g)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đã chào bán, phát hành; hoàn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cho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thêm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60 ngày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này, trong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đã chào bán, phát hành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tính theo lãi su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ngân hàng mà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hành;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chào bán, phát hành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kèm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thì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tính theo lãi su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ghi trên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u.”.</w:t>
      </w:r>
    </w:p>
    <w:p w14:paraId="16CCD90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8a,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8b và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8c vào sau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 như sau:</w:t>
      </w:r>
    </w:p>
    <w:p w14:paraId="4BAF278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8a.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chào bán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công ty không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công ty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chúng, chào bán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không chuy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,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không kèm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công ty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chúng, công ty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</w:t>
      </w:r>
    </w:p>
    <w:p w14:paraId="198B55A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hoán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khi chưa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hoán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không đúng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phương án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161E70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2.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3E9891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613DB12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6C288E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trong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không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chào bán,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u doanh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và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ra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009D37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phân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không đúng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401564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 thu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không đúng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phương án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công ty thông qua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đã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cho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đúng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2573BB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779B444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u khi chưa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A9765B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m quy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D25ABC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p, xác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 thông tin không chính xác, không trung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93C58D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1.500.000.000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làm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xác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trên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minh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B28547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7.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653D53D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chính, phương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 là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CC532B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8b.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đăng ký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, đăng ký giao d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ch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, công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 chào bán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</w:p>
    <w:p w14:paraId="3436B23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đăng ký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316033B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đăng ký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03 tháng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2ACA26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đăng ký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12 tháng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3DE7E9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đăng ký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12 tháng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9AA48E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2.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24BBCA0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01 tháng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341DE3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12 tháng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0F6808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12 tháng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BAD9CC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E63463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4.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0188BAD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10 ngày làm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574994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 ngày làm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so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52A1EF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sai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BF23EF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6.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765AE9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chính thông tin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2E8C20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8c.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cung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liên quan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chào bán trái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ẻ</w:t>
      </w:r>
    </w:p>
    <w:p w14:paraId="7668968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64A3C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lãnh và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lý phát hành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EBA2D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AD30FF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là thành viên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đúng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mua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khi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vào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cho chính mình và khách hàng có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ch; không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tra tính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các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E19166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chào bán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037C6D4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Không rà soát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chào bán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chào bán,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và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ra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77998D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Tư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phát hành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thông tin sai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gây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chào bán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EE9F5C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6.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2085D20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lãnh phát hành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lãnh phát hàn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48D7BD3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7.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15 như sau:</w:t>
      </w:r>
    </w:p>
    <w:p w14:paraId="1783FE2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15 như sau:</w:t>
      </w:r>
    </w:p>
    <w:p w14:paraId="3DB9864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“b) Không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trách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trách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công ty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nh.”;</w:t>
      </w:r>
    </w:p>
    <w:p w14:paraId="1160BAB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15 như sau:</w:t>
      </w:r>
    </w:p>
    <w:p w14:paraId="46E7DA6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“2.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chúng không đưa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thù lao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Ban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soát,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lương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c) và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khác thành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riêng trong Báo cáo tài chính hàng năm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công ty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báo cáo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niên.”;</w:t>
      </w:r>
    </w:p>
    <w:p w14:paraId="47B30FD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15 như sau:</w:t>
      </w:r>
    </w:p>
    <w:p w14:paraId="3B738432" w14:textId="14372448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“a) Thành viên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công ty niêm 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không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báo cáo đánh giá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Thành viên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p trong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không báo cáo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thư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niên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báo cáo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9A34AE1" w14:textId="347D48C2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soát,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m soát,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hàng năm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nh;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soát không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soát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thư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niên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báo cáo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nh.”;</w:t>
      </w:r>
    </w:p>
    <w:p w14:paraId="687C75F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15 như sau:</w:t>
      </w:r>
    </w:p>
    <w:p w14:paraId="09C6C24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“a)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kiêm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danh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chúng; thành viên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chúng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là thành viên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quá 05 công ty khác;”;</w:t>
      </w:r>
    </w:p>
    <w:p w14:paraId="2918CC9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 như sau:</w:t>
      </w:r>
    </w:p>
    <w:p w14:paraId="376D23FB" w14:textId="12DFB543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“a)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soát;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không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hành;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cơ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p;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thành viên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m soát,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c)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nh;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cơ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u có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cơ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ng thành viên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toán;”;</w:t>
      </w:r>
    </w:p>
    <w:p w14:paraId="710A225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15 như sau:</w:t>
      </w:r>
    </w:p>
    <w:p w14:paraId="2CD4020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“b) Không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nh; không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báo cáo tài chính năm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công ty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thư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niên tron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g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Báo cáo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báo cáo tài chính năm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công ty có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ý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trái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i;”;</w:t>
      </w:r>
    </w:p>
    <w:p w14:paraId="5C5E96C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g)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 vào sau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15 như sau:</w:t>
      </w:r>
    </w:p>
    <w:p w14:paraId="33CBB1D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“đ) Không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cho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theo quy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sau khi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thư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niên thông qua.”.</w:t>
      </w:r>
    </w:p>
    <w:p w14:paraId="2871E1D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8.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24 như sau:</w:t>
      </w:r>
    </w:p>
    <w:p w14:paraId="33F0D39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24 như sau:</w:t>
      </w:r>
    </w:p>
    <w:p w14:paraId="38F0FD7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“b)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không phù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kinh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oanh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phép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86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khoán;”;</w:t>
      </w:r>
    </w:p>
    <w:p w14:paraId="1038F3B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 sau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24 như sau:</w:t>
      </w:r>
    </w:p>
    <w:p w14:paraId="73EA3E0B" w14:textId="18EF9E22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“đ)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chính khác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báo cáo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 nhưng chưa báo cáo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khi chưa có ý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chưa có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n.”;</w:t>
      </w:r>
    </w:p>
    <w:p w14:paraId="7C5B1D4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5a và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sau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24 như sau:</w:t>
      </w:r>
    </w:p>
    <w:p w14:paraId="4E7F6BE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“5a.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 trong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tái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m.”;</w:t>
      </w:r>
    </w:p>
    <w:p w14:paraId="095C97C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d)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24 như sau:</w:t>
      </w:r>
    </w:p>
    <w:p w14:paraId="4036781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“7.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04AAE8C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BB1A20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môi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này.”;</w:t>
      </w:r>
    </w:p>
    <w:p w14:paraId="58A241D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vào sau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24 như sau:</w:t>
      </w:r>
    </w:p>
    <w:p w14:paraId="63C561C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“d)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chính khác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2645B6E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9.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25 như sau:</w:t>
      </w:r>
    </w:p>
    <w:p w14:paraId="5B85EBE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25 như sau:</w:t>
      </w:r>
    </w:p>
    <w:p w14:paraId="3BB78A55" w14:textId="75740252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“3.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sau đây khi chưa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B42A61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86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</w:t>
      </w:r>
    </w:p>
    <w:p w14:paraId="16E97CB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nguyên nhân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kháng.”;</w:t>
      </w:r>
    </w:p>
    <w:p w14:paraId="16626E9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3a vào sau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25 như sau:</w:t>
      </w:r>
    </w:p>
    <w:p w14:paraId="593894B4" w14:textId="0B9AA922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“3a.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chào bán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khi chưa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n.”;</w:t>
      </w:r>
    </w:p>
    <w:p w14:paraId="6AADAA0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vào sau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25 như sau:</w:t>
      </w:r>
    </w:p>
    <w:p w14:paraId="236103A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“5.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BD5ABC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hành vi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2F2AEAA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10.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1C78AC7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 vào sau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5C7DE42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“g) Không thi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chuyên trách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thông tin liên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khách hà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các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khi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hàng.”;</w:t>
      </w:r>
    </w:p>
    <w:p w14:paraId="64A623C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54B755F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“g) Không tuân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an toàn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tư, công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khi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gián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ngoài.”;</w:t>
      </w:r>
    </w:p>
    <w:p w14:paraId="1868F7C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0DF6AFD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“đ)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doanh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lãnh phát hành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phát hành, chào bán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tài chính;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8c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này;”;</w:t>
      </w:r>
    </w:p>
    <w:p w14:paraId="4BC3979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k vào sau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299ADA8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“k)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này.”;</w:t>
      </w:r>
    </w:p>
    <w:p w14:paraId="34BDB3F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6CAD3B6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“4.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4CCBEAB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m quy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cho vay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5F8D06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cho vay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55F589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c)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150.0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duy trì,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cho khách hàng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rút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quá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mua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có trên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 hàng; không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thông thư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và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có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vay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trong ngày,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bán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có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m.”;</w:t>
      </w:r>
    </w:p>
    <w:p w14:paraId="65D708B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0575A58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“a) Không xây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theo phương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khách hàng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do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 không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khách hàng,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khoán;”;</w:t>
      </w:r>
    </w:p>
    <w:p w14:paraId="0D5AFD9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g)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5a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5b vào sau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76C028E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“5a.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rà soát,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tra thông tin trong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chào bán, phát hành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8c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4EE20F3" w14:textId="77BC7DE4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5b.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không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giám sát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nh; không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báo cáo khi phát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 không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và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báo cáo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báo cáo theo yêu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nh.”;</w:t>
      </w:r>
    </w:p>
    <w:p w14:paraId="7E72EE0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1A21938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“7. Hình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1524682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cho khách hàng vay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0BC3AB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môi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này.”;</w:t>
      </w:r>
    </w:p>
    <w:p w14:paraId="40247DA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i)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52F64CD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“8.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DEE724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6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0 ngày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FA3D58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5B4388E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11.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và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2a vào sau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28 như sau:</w:t>
      </w:r>
    </w:p>
    <w:p w14:paraId="48E84FE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28 như sau:</w:t>
      </w:r>
    </w:p>
    <w:p w14:paraId="134F058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“b) Không ban hành quy trình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giá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ròng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khoán.”;</w:t>
      </w:r>
    </w:p>
    <w:p w14:paraId="5994AC8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2a vào sau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28 như sau:</w:t>
      </w:r>
    </w:p>
    <w:p w14:paraId="37AB29E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“2a.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riêng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không xác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ròng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giá sai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ròng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khoán.”.</w:t>
      </w:r>
    </w:p>
    <w:p w14:paraId="3C74717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12.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 như sau:</w:t>
      </w:r>
    </w:p>
    <w:p w14:paraId="5A31D28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tiêu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 như sau:</w:t>
      </w:r>
    </w:p>
    <w:p w14:paraId="4467296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“1.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sau:”;</w:t>
      </w:r>
    </w:p>
    <w:p w14:paraId="44AC983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tiêu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 như sau:</w:t>
      </w:r>
    </w:p>
    <w:p w14:paraId="2C57F4C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“2.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sau:”;</w:t>
      </w:r>
    </w:p>
    <w:p w14:paraId="45567A1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c)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vào sau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 như sau:</w:t>
      </w:r>
    </w:p>
    <w:p w14:paraId="2196B19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“c) Không giám sát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khoán.”;</w:t>
      </w:r>
    </w:p>
    <w:p w14:paraId="2D28345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tiêu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 như sau:</w:t>
      </w:r>
    </w:p>
    <w:p w14:paraId="7A6CCDC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“4.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sau:”;</w:t>
      </w:r>
    </w:p>
    <w:p w14:paraId="3B20871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tiêu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 như sau:</w:t>
      </w:r>
    </w:p>
    <w:p w14:paraId="69EB782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“5.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sau:”;</w:t>
      </w:r>
    </w:p>
    <w:p w14:paraId="096DB1F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 như sau:</w:t>
      </w:r>
    </w:p>
    <w:p w14:paraId="504FED0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“b) Tư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và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2544D8C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13.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33 như sau:</w:t>
      </w:r>
    </w:p>
    <w:p w14:paraId="5D3DC6E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33.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ch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đông sáng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p;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đông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n, nhóm ngư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có liên quan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5% tr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lên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có quy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quy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công ty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chúng; nhà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tư, nhóm ngư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có liên quan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5% tr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lên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đóng; nhóm nhà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tư nư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 ngoài có liên quan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5% tr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lên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có quy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quy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01 t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 phát hành ho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5% tr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lên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đóng;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công ty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chúng, công ty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chúng, qu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chúng và ngư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có liên quan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2603652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báo cáo khi có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qua các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1%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đóng thì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6B4B701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khi có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u qua các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1%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đóng;</w:t>
      </w:r>
    </w:p>
    <w:p w14:paraId="4817F8A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báo cáo khi có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qua các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1%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đóng.</w:t>
      </w:r>
    </w:p>
    <w:p w14:paraId="5AABC1E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2.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báo cáo khi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5%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chúng,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chúng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khi không còn là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5%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0A3B094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5%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chúng,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chúng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đóng, khi không còn là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5%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đóng;</w:t>
      </w:r>
    </w:p>
    <w:p w14:paraId="15DF7F0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140.000.000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hành vi không báo cáo khi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5%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chúng, công ty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chúng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đóng, khi không còn là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5%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đóng.</w:t>
      </w:r>
    </w:p>
    <w:p w14:paraId="3A19C72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báo cáo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sáng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09FADEB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83E01D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140.000.000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báo cáo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DDA8C1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4.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tính theo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giá (đ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)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theo giá phát hành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có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m)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) như sau:</w:t>
      </w:r>
    </w:p>
    <w:p w14:paraId="443E5F7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cáo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200.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7E07EB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2.500.000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A6923D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600.000.000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10.000.00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600.000.000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E8FE8C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600.000.000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600.000.000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1E1408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3.000.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3.000.000.000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975640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e)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35.000.000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5.000.000.000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5.000.000.000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78AD9A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g)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10.000.000.000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10.000.000.000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g;</w:t>
      </w:r>
    </w:p>
    <w:p w14:paraId="64CC9A3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h)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và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hành vi không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1845BCF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5. Hành vi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ngoài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gian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công ty con đã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á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công ty con đã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khi chưa có thông tin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tính theo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giá (đ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)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theo giá phát hành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có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m)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) như sau:</w:t>
      </w:r>
    </w:p>
    <w:p w14:paraId="466F79B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cáo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D9E4D5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D09918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600.000.000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320546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600.000.000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A5329D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1.000.000.000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3.000.000.000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37A0EE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e)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5.000.000.000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C99906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g)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10.000.000.000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A46726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h)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1%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2%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lên.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cao hơn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thì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B9F93D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6. Hành vi không báo cáo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tính theo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giá (đ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)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theo giá phát hành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có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m)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trái phi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) như sau:</w:t>
      </w:r>
    </w:p>
    <w:p w14:paraId="03F852D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10.000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8EB58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5D606E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600.000.000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ED4B5F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600.000.000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155DF5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3.000.000.000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664A8F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e)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5.000.000.000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EB3390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g)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10.000.000.000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CA01F1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h)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3%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5%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10.000.000.000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lên.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cao hơn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đa quy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thì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5D62CF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7.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1488F28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4CDE2B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18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24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49804C7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14.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34 như sau:</w:t>
      </w:r>
    </w:p>
    <w:p w14:paraId="5A0363D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34 như sau:</w:t>
      </w:r>
    </w:p>
    <w:p w14:paraId="4F197EA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 1.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18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24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cho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khác mư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tên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khác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 hành vi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thao túng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khoán.”;</w:t>
      </w:r>
    </w:p>
    <w:p w14:paraId="201BAC5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34 như sau:</w:t>
      </w:r>
    </w:p>
    <w:p w14:paraId="60AEAAB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“b)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tư,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ngoài,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có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ngoài trên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;”.</w:t>
      </w:r>
    </w:p>
    <w:p w14:paraId="27D8220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15.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39 như sau:</w:t>
      </w:r>
    </w:p>
    <w:p w14:paraId="299DF71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39 như sau:</w:t>
      </w:r>
    </w:p>
    <w:p w14:paraId="2C1D7FC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“e) Không thi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thi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và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và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không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các khách hàng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chính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và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thanh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toán cho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và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thanh toán cho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cơ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;”;</w:t>
      </w:r>
    </w:p>
    <w:p w14:paraId="02BAEAC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39 như sau:</w:t>
      </w:r>
    </w:p>
    <w:p w14:paraId="57CCA73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“a)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lưu ký,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là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con, thành viên lưu ký,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con, thành viên lưu ký, thành viên bù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lưu ký,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khách hàng;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khách hàng và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06 tháng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hành;</w:t>
      </w:r>
    </w:p>
    <w:p w14:paraId="613785D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các khách hàng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chính thành viên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đó;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tách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thanh toán cho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và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thanh toán cho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cơ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06 tháng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hành.”.</w:t>
      </w:r>
    </w:p>
    <w:p w14:paraId="2A16043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16.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42 như sau:</w:t>
      </w:r>
    </w:p>
    <w:p w14:paraId="29AD530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42.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công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</w:p>
    <w:p w14:paraId="7958111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cáo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42943A0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đăng ký, đăng ký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tin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ban hành quy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4B8311DB" w14:textId="68081D9A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Không thông báo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trang thông tin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thay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liên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này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50ED4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01AC8EA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Không tuân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ngôn 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53E92A8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Không lưu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3116E0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3EB73CD1" w14:textId="1E7808CD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the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yêu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120,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123,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124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</w:t>
      </w:r>
    </w:p>
    <w:p w14:paraId="16A4E6D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cá nhân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khi chưa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ý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F38491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4.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3D594E7A" w14:textId="70F360EF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15 ngày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ng khoán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120,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123,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124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</w:t>
      </w:r>
    </w:p>
    <w:p w14:paraId="2624649B" w14:textId="3644FC9F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 ngày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so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120,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123,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124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5D345052" w14:textId="74D99774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xác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đính chính thông tin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đính chính thông tin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t khi có thông tin làm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giá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khi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xác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đính chính thông tin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120,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123,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124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3AFA349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sai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BC0D77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thông tin sai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che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thông tin trong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201753D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8.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39F9186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ng kinh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doanh,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văn phòng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lưu ký,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thanh toán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4292BF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9.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A8762D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chính thông tin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16E7A4F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17.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43 như sau:</w:t>
      </w:r>
    </w:p>
    <w:p w14:paraId="4FB0E09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43.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báo cáo</w:t>
      </w:r>
    </w:p>
    <w:p w14:paraId="4FA5C00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không lưu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đã báo cáo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4C58479" w14:textId="03AECE8B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báo cáo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theo yêu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120,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123,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124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4877CFF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báo cáo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37718DBF" w14:textId="176EEC39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báo cáo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15 ngày so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120,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123,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124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</w:t>
      </w:r>
    </w:p>
    <w:p w14:paraId="1A57A484" w14:textId="792179EC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báo cáo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 ngày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120,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123,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124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2F4F246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báo cáo có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sai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sai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A349C6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F61B1A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chính thông tin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01E8318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18.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tiêu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14 Chương II và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45 như sau:</w:t>
      </w:r>
    </w:p>
    <w:p w14:paraId="43C0B8D2" w14:textId="77777777" w:rsidR="007C53D9" w:rsidRPr="00390AA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“M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 14</w:t>
      </w:r>
    </w:p>
    <w:p w14:paraId="537F33A5" w14:textId="77777777" w:rsidR="007C53D9" w:rsidRPr="00390AA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N;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PHÒNG,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; PHÒNG,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1ED2C3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45. Hành vi vi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n; phòng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g tài tr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; phòng,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2C6FE3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thông tin khách hàng, phân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khách hàng theo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ro,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đánh giá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ro,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khách hàng là cá nhân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 ngoài có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chính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77129C6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t khách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hàng, không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thông tin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khách hàng, không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ác minh thông tin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khách hàng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khách hàng,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thông tin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khách hàng, xác minh thông tin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khách hàng không đúng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00800C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đánh giá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ro, không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đánh giá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ro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 không báo cáo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đánh giá,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ro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đánh giá,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E11A90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150.000.00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xây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 trình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ro, không phân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khách hàng theo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ro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 trình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ro, phân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khách hàng theo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ro không đúng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 không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khách hàng là cá nhân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 ngoài có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chính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68E653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2. Công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báo cáo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báo cáo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đáng 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báo cáo hành vi nghi 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0FCE73A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120.000.000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tính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chính xác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báo cáo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ba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lên trong năm tài chính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báo cáo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báo cáo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báo cáo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đáng 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E37CB1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báo cáo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báo cáo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 không báo cáo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đáng 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 không báo cáo khi có nghi 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khách hàng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khách hàng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trong danh sách đen, danh sách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D775A7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26D6861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không đú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báo cáo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t; không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phân công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không đăng ký phân công cán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 không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không đúng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tuy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EE2C15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ban hành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ban hành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không đúng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C1F63F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4.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có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ám sát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4B4BF51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báo cáo khi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có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C0764A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giám sát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2AE267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5. Công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trì hoãn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ch, phong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n; niêm phong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6E05EF4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báo cáo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trì hoãn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 không báo cáo ngay khi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lưu thông, phong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4BA61E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250.000.000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không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trì hoãn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không phong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không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niêm phong, phong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khi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n; không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lưu thông, phong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liên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D4A87F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t trong các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và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bí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thông tin,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báo cáo sau:</w:t>
      </w:r>
    </w:p>
    <w:p w14:paraId="1F4E559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Không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thông tin,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báo cáo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mà chưa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B35387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Không lưu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báo cáo; lưu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không đúng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3C3640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Không tuân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thông tin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khách hàng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thông tin,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báo cáo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các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báo cáo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9E1289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7.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công ty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vi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trong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2DE051E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thông tin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công tác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1B3B5B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thi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duy trì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vô danh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tên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64FAF7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tham gia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giúp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vi 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à chưa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thi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p, duy trì quan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kinh doanh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ngân hàng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c; không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giác hành vi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mà chưa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;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lưu thông, phong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a, niêm phong,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lý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xâm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nhân;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gián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ngu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tài chính, ngu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chính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khác cho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liên quan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0B044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8.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03AF08E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tháng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này”.</w:t>
      </w:r>
    </w:p>
    <w:p w14:paraId="6CF5773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19.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47 và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1a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1b vào sau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47 như sau:</w:t>
      </w:r>
    </w:p>
    <w:p w14:paraId="1FEB1EA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47 như sau:</w:t>
      </w:r>
    </w:p>
    <w:p w14:paraId="1A046E0D" w14:textId="406A4750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“1. 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chính, Chánh Thanh tra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tra do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6FE99B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05C467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2.400.000.000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và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 1.200.000.000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cá nhân;</w:t>
      </w:r>
    </w:p>
    <w:p w14:paraId="4F08318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n; tư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ăng ký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văn phòng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860C9E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này.”;</w:t>
      </w:r>
    </w:p>
    <w:p w14:paraId="042E962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1a vào sau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47 như sa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0A43644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“1a.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đoàn thanh tra Thanh tra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66BF42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681702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1.500.000.000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và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750.000.000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cá nhân;</w:t>
      </w:r>
    </w:p>
    <w:p w14:paraId="2EB7692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chính, phương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khoán;</w:t>
      </w:r>
    </w:p>
    <w:p w14:paraId="4D4A85E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3EFF4B8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20.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49 như sau:</w:t>
      </w:r>
    </w:p>
    <w:p w14:paraId="6302444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49 như sau:</w:t>
      </w:r>
    </w:p>
    <w:p w14:paraId="690137E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“1. Khi 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là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20,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24,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25,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27,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35,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36,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42,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45,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6ECA349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46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này,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5E4F797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47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kinh doanh,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m.”;</w:t>
      </w:r>
    </w:p>
    <w:p w14:paraId="29F48FF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49 như sau:</w:t>
      </w:r>
    </w:p>
    <w:p w14:paraId="2643011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“4.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có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doanh,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đã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Nam, công ty con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thi hành.”.</w:t>
      </w:r>
    </w:p>
    <w:p w14:paraId="738DC8D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21.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50 như sau:</w:t>
      </w:r>
    </w:p>
    <w:p w14:paraId="215DBE4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“1. Khi áp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là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lưu ký,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thanh toán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38,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39,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40,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42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này,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1,2 và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47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lưu ký,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thanh toán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458DCF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có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lưu ký,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thanh toán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đã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thi hành.”.</w:t>
      </w:r>
    </w:p>
    <w:p w14:paraId="0022CF2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22.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50a như sau:</w:t>
      </w:r>
    </w:p>
    <w:p w14:paraId="5271943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“2.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có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đã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nơi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hành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làm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thi hành.”.</w:t>
      </w:r>
    </w:p>
    <w:p w14:paraId="6A509AD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23.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51 như sau:</w:t>
      </w:r>
    </w:p>
    <w:p w14:paraId="314FFDB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51 như sau:</w:t>
      </w:r>
    </w:p>
    <w:p w14:paraId="64C4713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“3.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là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30 ngày,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hành,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c, e và 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8;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và đ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u 8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trong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thông qua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báo cáo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đông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và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9,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10,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và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15a,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17,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18,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26,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27,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34,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39,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40,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44,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51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này. Cá nhân,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báo cáo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đã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này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đa 03 ngày làm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.”;</w:t>
      </w:r>
    </w:p>
    <w:p w14:paraId="5F38968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tiêu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51 như sau:</w:t>
      </w:r>
    </w:p>
    <w:p w14:paraId="18F4D9A6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“4.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chào bán, phát hành; hoàn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cho nhà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tư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có) và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b, e, 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8,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10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các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b,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đã chào bán, phát hành chưa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đưa vào niêm 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đăng ký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và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như sau:”;</w:t>
      </w:r>
    </w:p>
    <w:p w14:paraId="044E65C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51 như sau:</w:t>
      </w:r>
    </w:p>
    <w:p w14:paraId="4EA3978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“a)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hoàn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cho khách hàng toàn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trên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cho mư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trái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thêm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tính theo lãi su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nơi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c.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lãi mà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cho khách hàng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trên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cho mư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trái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ngày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cho khách hàng;</w:t>
      </w:r>
    </w:p>
    <w:p w14:paraId="74F7EE4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khách hàng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hoàn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cho khách hàng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đã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cho mư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trái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thêm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phát sinh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đã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cho mư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trái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có)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gian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cho mư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n,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trái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t;”.</w:t>
      </w:r>
    </w:p>
    <w:p w14:paraId="667CFF6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24.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51a như sau:</w:t>
      </w:r>
    </w:p>
    <w:p w14:paraId="645EAB3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“2.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có áp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khoán,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đã ra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Nam, công ty con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các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thi hành.”.</w:t>
      </w:r>
    </w:p>
    <w:p w14:paraId="1EDB61E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25. Thay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bãi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156/2020/NĐ-CP ngày 31 tháng 12 năm 2020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và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(đư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theo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128/2021/N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Đ-CP ngày 30 tháng 12 năm 2021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) như sau:</w:t>
      </w:r>
    </w:p>
    <w:p w14:paraId="6147BD99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a) Thay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Nam”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và công ty con”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2, 4 và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39;</w:t>
      </w:r>
    </w:p>
    <w:p w14:paraId="184178E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b) Bãi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các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1, 3, 4 và 5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19,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32,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3,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48.</w:t>
      </w:r>
    </w:p>
    <w:p w14:paraId="22C7824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2.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158/2020/NĐ-CP ngày 31 tháng 12 năm 2020 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 phái sinh và th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 phái sinh và 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ban hành kèm theo Ngh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nh này</w:t>
      </w:r>
    </w:p>
    <w:p w14:paraId="5ADE4B5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như sau:</w:t>
      </w:r>
    </w:p>
    <w:p w14:paraId="1CFC34A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“c)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e, 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127B9B9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 như sau:</w:t>
      </w:r>
    </w:p>
    <w:p w14:paraId="2B0BE16B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“c) Báo cáo tài chính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02 năm tài chính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oán và báo cáo tài chính bán niên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soát xét (trư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kinh doanh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sau ngày 30 tháng 6);”.</w:t>
      </w:r>
    </w:p>
    <w:p w14:paraId="01D3944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 như sau:</w:t>
      </w:r>
    </w:p>
    <w:p w14:paraId="2CEB0E9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lastRenderedPageBreak/>
        <w:t>“d) Danh sách 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(T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c), Phó 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(Phó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trách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các nhân viên cho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theo hư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này, kèm theo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thông tin cá nhân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các cá nhân nêu trên.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cá nhân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bao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m: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công dân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ng;”.</w:t>
      </w:r>
    </w:p>
    <w:p w14:paraId="509B078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 như sau:</w:t>
      </w:r>
    </w:p>
    <w:p w14:paraId="667BB222" w14:textId="2714FE3D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“2. Tài li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thành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đó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báo cáo và công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thông tin.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cá nhân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danh sách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hành chính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thì thông tin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danh tính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thông tin tích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trên căn cư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minh, tương đương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cung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thông tin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xu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trình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có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thông tin đó trong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hành chính;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chưa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thì cá nhân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ng”.</w:t>
      </w:r>
    </w:p>
    <w:p w14:paraId="326DAD2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6 như sau:</w:t>
      </w:r>
    </w:p>
    <w:p w14:paraId="3497783F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a)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ng khoán không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b,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trong vòng 06 tháng liên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p; công ty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không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trong vòng 06 thán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g liên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p;”.</w:t>
      </w:r>
    </w:p>
    <w:p w14:paraId="31ECD7A3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6.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9 như sau:</w:t>
      </w:r>
    </w:p>
    <w:p w14:paraId="66195E6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“d)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260% liên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trong 12 tháng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t;”.</w:t>
      </w:r>
    </w:p>
    <w:p w14:paraId="7646AB1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7.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9 như sau:</w:t>
      </w:r>
    </w:p>
    <w:p w14:paraId="101E9B3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“d)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0135BBF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8.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10 như sau:</w:t>
      </w:r>
    </w:p>
    <w:p w14:paraId="0577C50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“c) Báo cáo tài chính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02 năm tài chính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toán và báo cáo tài chính bán niên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soát xét (trư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bù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thanh toán giao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sau ngày 30 tháng 6); Báo cáo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an toàn tài chính trong 12 tháng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khoán);”.</w:t>
      </w:r>
    </w:p>
    <w:p w14:paraId="5ECF358D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9.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11 như sau:</w:t>
      </w:r>
    </w:p>
    <w:p w14:paraId="4E463F8A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“a) Công ty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ng khoán không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c,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trong vòng 06 tháng liên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p; ngân hàng thương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chi nhánh ngân hàng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 ngoài không đáp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trong vòng 06 tháng liên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p;”.</w:t>
      </w:r>
    </w:p>
    <w:p w14:paraId="78007F8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10. Bãi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c, đ, h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4;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m đ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5;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g, h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9;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158/2020/NĐ-CP ngày 31 tháng 12 năm 2020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và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sinh.</w:t>
      </w:r>
    </w:p>
    <w:p w14:paraId="462840B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11.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02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ba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kèm theo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158/2020/NĐ-CP ngày 31 tháng 12 năm 2020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và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theo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02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146B56C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3. Đi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60AAB20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ngày 09 tháng 01 năm 2026.</w:t>
      </w:r>
    </w:p>
    <w:p w14:paraId="0F7C561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kho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2FFF75E4" w14:textId="2277A38B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và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đã có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thi hành xong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nh này có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mà cá nhân,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còn khi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kh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và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và các quy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liên quan có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m. </w:t>
      </w:r>
    </w:p>
    <w:p w14:paraId="765A74E1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742DFC4" w14:textId="615EA39E" w:rsidR="007C53D9" w:rsidRPr="005420C6" w:rsidRDefault="00771681" w:rsidP="007E2AE2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trung ương và các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c, cá nhân liên quan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38E9715" w14:textId="77777777" w:rsidR="007E2AE2" w:rsidRPr="005420C6" w:rsidRDefault="007E2AE2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390AA6" w:rsidRPr="00390AA6" w14:paraId="4EB39D6E" w14:textId="77777777" w:rsidTr="00390AA6">
        <w:tc>
          <w:tcPr>
            <w:tcW w:w="2500" w:type="pct"/>
          </w:tcPr>
          <w:p w14:paraId="2B8F17C7" w14:textId="1EDEC43F" w:rsidR="007C53D9" w:rsidRPr="00390AA6" w:rsidRDefault="00771681" w:rsidP="007E2A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lastRenderedPageBreak/>
              <w:t>Nơi</w:t>
            </w:r>
            <w:r w:rsidR="007E2AE2" w:rsidRPr="00390AA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390AA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390AA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KTTH</w:t>
            </w:r>
            <w:r w:rsidR="007E2AE2"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(2b)</w:t>
            </w:r>
          </w:p>
        </w:tc>
        <w:tc>
          <w:tcPr>
            <w:tcW w:w="2500" w:type="pct"/>
          </w:tcPr>
          <w:p w14:paraId="2B900243" w14:textId="682B3A26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7E2AE2"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727299C0" w14:textId="77777777" w:rsidR="007E2AE2" w:rsidRPr="005420C6" w:rsidRDefault="007E2AE2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1814839" w14:textId="77777777" w:rsidR="007E2AE2" w:rsidRPr="00390AA6" w:rsidRDefault="007E2AE2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7E2AE2" w:rsidRPr="00390AA6" w:rsidSect="007E2AE2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BAB5DAD" w14:textId="279DF952" w:rsidR="007C53D9" w:rsidRPr="00390AA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8359215" w14:textId="34239EE8" w:rsidR="007C53D9" w:rsidRPr="00390AA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306/2025/NĐ-CP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ngày 2</w:t>
      </w:r>
      <w:r w:rsidR="007E2AE2" w:rsidRPr="00390AA6">
        <w:rPr>
          <w:rFonts w:ascii="Arial" w:hAnsi="Arial" w:cs="Arial"/>
          <w:i/>
          <w:color w:val="000000" w:themeColor="text1"/>
          <w:sz w:val="20"/>
          <w:szCs w:val="20"/>
        </w:rPr>
        <w:t>5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 xml:space="preserve"> tháng 11 năm 2025 c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2C1CE8E0" w14:textId="77777777" w:rsidR="00390AA6" w:rsidRPr="005420C6" w:rsidRDefault="00390AA6" w:rsidP="007E2AE2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</w:p>
    <w:p w14:paraId="1A322079" w14:textId="22A2509A" w:rsidR="007C53D9" w:rsidRPr="009633ED" w:rsidRDefault="00771681" w:rsidP="007E2AE2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9633ED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M</w:t>
      </w:r>
      <w:r w:rsidRPr="009633ED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ẫ</w:t>
      </w:r>
      <w:r w:rsidRPr="009633ED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u s</w:t>
      </w:r>
      <w:r w:rsidRPr="009633ED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ố</w:t>
      </w:r>
      <w:r w:rsidRPr="009633ED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9633ED" w:rsidRPr="005420C6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0</w:t>
      </w:r>
      <w:r w:rsidRPr="009633ED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2</w:t>
      </w:r>
    </w:p>
    <w:p w14:paraId="7F149086" w14:textId="42866F7C" w:rsidR="007C53D9" w:rsidRPr="00390AA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NG HÒA XÃ H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I CH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NGHĨA VI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T NAM</w:t>
      </w:r>
      <w:r w:rsidR="007E2AE2"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Đ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c l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p - T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 - H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bCs/>
          <w:color w:val="000000" w:themeColor="text1"/>
          <w:sz w:val="20"/>
          <w:szCs w:val="20"/>
        </w:rPr>
        <w:t>nh phúc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="007E2AE2" w:rsidRPr="00390AA6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...., ngày .... tháng ..... năm .....</w:t>
      </w:r>
    </w:p>
    <w:p w14:paraId="5941B9DB" w14:textId="77777777" w:rsidR="007E2AE2" w:rsidRPr="00390AA6" w:rsidRDefault="007E2AE2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F95931" w14:textId="77777777" w:rsidR="007C53D9" w:rsidRPr="00390AA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DANH SÁCH THÀNH VIÊN BAN GIÁM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C, NHÂN VIÊN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br/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KINH DOANH CH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b/>
          <w:color w:val="000000" w:themeColor="text1"/>
          <w:sz w:val="20"/>
          <w:szCs w:val="20"/>
        </w:rPr>
        <w:t>NG KHOÁN PHÁI SINH</w:t>
      </w:r>
    </w:p>
    <w:p w14:paraId="66E6BBBF" w14:textId="77777777" w:rsidR="007E2AE2" w:rsidRPr="005420C6" w:rsidRDefault="007E2AE2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2DF9806" w14:textId="6CF0A494" w:rsidR="007C53D9" w:rsidRPr="005420C6" w:rsidRDefault="00771681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7E2AE2" w:rsidRPr="00390AA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247861B" w14:textId="77777777" w:rsidR="007E2AE2" w:rsidRPr="005420C6" w:rsidRDefault="007E2AE2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6D7F540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- Tên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c: ... (tên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và chính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a công ty ghi 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b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in hoa)</w:t>
      </w:r>
    </w:p>
    <w:p w14:paraId="75E84E45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- Gi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C0FABD8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- Tr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chính:</w:t>
      </w:r>
    </w:p>
    <w:p w14:paraId="30406432" w14:textId="73EF0DE4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- Đi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5420C6" w:rsidRPr="009A7AB8">
        <w:rPr>
          <w:rFonts w:ascii="Arial" w:hAnsi="Arial" w:cs="Arial"/>
          <w:color w:val="000000" w:themeColor="text1"/>
          <w:sz w:val="20"/>
          <w:szCs w:val="20"/>
        </w:rPr>
        <w:tab/>
      </w:r>
      <w:r w:rsidR="005420C6" w:rsidRPr="009A7AB8">
        <w:rPr>
          <w:rFonts w:ascii="Arial" w:hAnsi="Arial" w:cs="Arial"/>
          <w:color w:val="000000" w:themeColor="text1"/>
          <w:sz w:val="20"/>
          <w:szCs w:val="20"/>
        </w:rPr>
        <w:tab/>
      </w:r>
      <w:r w:rsidR="005420C6" w:rsidRPr="009A7AB8">
        <w:rPr>
          <w:rFonts w:ascii="Arial" w:hAnsi="Arial" w:cs="Arial"/>
          <w:color w:val="000000" w:themeColor="text1"/>
          <w:sz w:val="20"/>
          <w:szCs w:val="20"/>
        </w:rPr>
        <w:tab/>
      </w:r>
      <w:r w:rsidRPr="00390AA6">
        <w:rPr>
          <w:rFonts w:ascii="Arial" w:hAnsi="Arial" w:cs="Arial"/>
          <w:color w:val="000000" w:themeColor="text1"/>
          <w:sz w:val="20"/>
          <w:szCs w:val="20"/>
        </w:rPr>
        <w:t>Fax:</w:t>
      </w:r>
    </w:p>
    <w:p w14:paraId="3150AD3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Chúng tôi xin đăng ký danh sách thành viên Ban Giám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Công ty ph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trách, nhân viên nghi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kinh doanh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khoán phái sinh cùng m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ký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13"/>
        <w:gridCol w:w="987"/>
        <w:gridCol w:w="949"/>
        <w:gridCol w:w="811"/>
        <w:gridCol w:w="1356"/>
        <w:gridCol w:w="1881"/>
        <w:gridCol w:w="880"/>
        <w:gridCol w:w="645"/>
      </w:tblGrid>
      <w:tr w:rsidR="00390AA6" w:rsidRPr="00390AA6" w14:paraId="2F809DC9" w14:textId="77777777" w:rsidTr="00390AA6">
        <w:trPr>
          <w:trHeight w:val="20"/>
        </w:trPr>
        <w:tc>
          <w:tcPr>
            <w:tcW w:w="321" w:type="pct"/>
            <w:vAlign w:val="center"/>
          </w:tcPr>
          <w:p w14:paraId="5B4DF4E9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509" w:type="pct"/>
            <w:vAlign w:val="center"/>
          </w:tcPr>
          <w:p w14:paraId="58B962F0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ch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ữ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và tên khai sinh</w:t>
            </w:r>
          </w:p>
        </w:tc>
        <w:tc>
          <w:tcPr>
            <w:tcW w:w="550" w:type="pct"/>
            <w:vAlign w:val="center"/>
          </w:tcPr>
          <w:p w14:paraId="5B15784A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Ngày, tháng, năm sinh</w:t>
            </w:r>
          </w:p>
        </w:tc>
        <w:tc>
          <w:tcPr>
            <w:tcW w:w="529" w:type="pct"/>
            <w:vAlign w:val="center"/>
          </w:tcPr>
          <w:p w14:paraId="61B48653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danh cá nhân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9" w:type="pct"/>
            <w:vAlign w:val="center"/>
          </w:tcPr>
          <w:p w14:paraId="2BBE3EA1" w14:textId="71762F23" w:rsidR="007C53D9" w:rsidRPr="00390AA6" w:rsidRDefault="00771681" w:rsidP="00124A9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124A9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chi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55" w:type="pct"/>
            <w:vAlign w:val="center"/>
          </w:tcPr>
          <w:p w14:paraId="3C7568BA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hành ngh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kinh doanh ch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khoán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6" w:type="pct"/>
            <w:vAlign w:val="center"/>
          </w:tcPr>
          <w:p w14:paraId="7F3F70EC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chuyên môn v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khoán phái sinh và th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khoán phái sinh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91" w:type="pct"/>
            <w:vAlign w:val="center"/>
          </w:tcPr>
          <w:p w14:paraId="3FDC0745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trí công tác d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ki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60" w:type="pct"/>
            <w:vAlign w:val="center"/>
          </w:tcPr>
          <w:p w14:paraId="770FAD84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ữ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ký</w:t>
            </w:r>
          </w:p>
        </w:tc>
      </w:tr>
      <w:tr w:rsidR="00390AA6" w:rsidRPr="00390AA6" w14:paraId="398F8123" w14:textId="77777777" w:rsidTr="00390AA6">
        <w:trPr>
          <w:trHeight w:val="20"/>
        </w:trPr>
        <w:tc>
          <w:tcPr>
            <w:tcW w:w="321" w:type="pct"/>
            <w:vAlign w:val="center"/>
          </w:tcPr>
          <w:p w14:paraId="7431F32B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509" w:type="pct"/>
            <w:vAlign w:val="center"/>
          </w:tcPr>
          <w:p w14:paraId="3B4ABFF1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550" w:type="pct"/>
            <w:vAlign w:val="center"/>
          </w:tcPr>
          <w:p w14:paraId="3DB25C30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529" w:type="pct"/>
            <w:vAlign w:val="center"/>
          </w:tcPr>
          <w:p w14:paraId="7E877CE5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439" w:type="pct"/>
            <w:vAlign w:val="center"/>
          </w:tcPr>
          <w:p w14:paraId="2ECF46C4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755" w:type="pct"/>
            <w:vAlign w:val="center"/>
          </w:tcPr>
          <w:p w14:paraId="60DAA47E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1046" w:type="pct"/>
            <w:vAlign w:val="center"/>
          </w:tcPr>
          <w:p w14:paraId="3EE56711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(7)</w:t>
            </w:r>
          </w:p>
        </w:tc>
        <w:tc>
          <w:tcPr>
            <w:tcW w:w="491" w:type="pct"/>
            <w:vAlign w:val="center"/>
          </w:tcPr>
          <w:p w14:paraId="01AFC33B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360" w:type="pct"/>
            <w:vAlign w:val="center"/>
          </w:tcPr>
          <w:p w14:paraId="4EE16FEC" w14:textId="77777777" w:rsidR="007C53D9" w:rsidRPr="00390AA6" w:rsidRDefault="00771681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(9)</w:t>
            </w:r>
          </w:p>
        </w:tc>
      </w:tr>
      <w:tr w:rsidR="00390AA6" w:rsidRPr="00390AA6" w14:paraId="1DF816B7" w14:textId="77777777" w:rsidTr="00390AA6">
        <w:trPr>
          <w:trHeight w:val="20"/>
        </w:trPr>
        <w:tc>
          <w:tcPr>
            <w:tcW w:w="321" w:type="pct"/>
            <w:vAlign w:val="center"/>
          </w:tcPr>
          <w:p w14:paraId="5159E25F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14:paraId="004E3B5F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54484B5B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747FC377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47A998D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14:paraId="4E6190A9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0FF78674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25EDC890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2E340D89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0AA6" w:rsidRPr="00390AA6" w14:paraId="02DA3481" w14:textId="77777777" w:rsidTr="00390AA6">
        <w:trPr>
          <w:trHeight w:val="20"/>
        </w:trPr>
        <w:tc>
          <w:tcPr>
            <w:tcW w:w="321" w:type="pct"/>
            <w:vAlign w:val="center"/>
          </w:tcPr>
          <w:p w14:paraId="518C2B11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14:paraId="095D1B0C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53E3561A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536B0CDE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4CD9904B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14:paraId="51815973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6A516033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4EE4730C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2D1E6A21" w14:textId="77777777" w:rsidR="007C53D9" w:rsidRPr="00390AA6" w:rsidRDefault="007C53D9" w:rsidP="007E2A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81CFB67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</w:rPr>
        <w:t>Chúng tôi cam k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m hoàn toàn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dung trên.</w:t>
      </w:r>
    </w:p>
    <w:p w14:paraId="18FBD454" w14:textId="77777777" w:rsidR="007E2AE2" w:rsidRPr="00390AA6" w:rsidRDefault="007E2AE2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90AA6" w:rsidRPr="00390AA6" w14:paraId="3981F0EB" w14:textId="77777777" w:rsidTr="00390AA6">
        <w:tc>
          <w:tcPr>
            <w:tcW w:w="2500" w:type="pct"/>
          </w:tcPr>
          <w:p w14:paraId="40ED9F95" w14:textId="6A927A2E" w:rsidR="007E2AE2" w:rsidRPr="005420C6" w:rsidRDefault="007E2AE2" w:rsidP="007E2AE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sơ cá nhân kèm theo:</w:t>
            </w:r>
            <w:r w:rsidRPr="00390A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 (Liệt kê đầy đủ)</w:t>
            </w:r>
          </w:p>
        </w:tc>
        <w:tc>
          <w:tcPr>
            <w:tcW w:w="2500" w:type="pct"/>
          </w:tcPr>
          <w:p w14:paraId="770FF048" w14:textId="0CFDD165" w:rsidR="007E2AE2" w:rsidRPr="005420C6" w:rsidRDefault="007E2AE2" w:rsidP="007E2AE2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390A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2319C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đóng dấu, ghi rõ họ tên)</w:t>
            </w:r>
          </w:p>
        </w:tc>
      </w:tr>
    </w:tbl>
    <w:p w14:paraId="6D5E2DF0" w14:textId="08CD2413" w:rsidR="007E2AE2" w:rsidRPr="005420C6" w:rsidRDefault="007E2AE2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B34EF4D" w14:textId="77777777" w:rsidR="007E2AE2" w:rsidRPr="005420C6" w:rsidRDefault="007E2AE2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AE55D49" w14:textId="18AAC69F" w:rsidR="007C53D9" w:rsidRPr="00390AA6" w:rsidRDefault="007C53D9" w:rsidP="007E2A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173E658" w14:textId="4B23EC11" w:rsidR="007C53D9" w:rsidRPr="005420C6" w:rsidRDefault="007E2AE2" w:rsidP="007E2A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5420C6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</w:t>
      </w:r>
    </w:p>
    <w:p w14:paraId="26587724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(4):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công dân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Nam,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chưa xác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ch đang sinh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danh cá nhân.</w:t>
      </w:r>
    </w:p>
    <w:p w14:paraId="2ADF6A4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(5):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ngoài chưa đư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nh danh cá nhân.</w:t>
      </w:r>
    </w:p>
    <w:p w14:paraId="57FC3912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(6): Ghi rõ lo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ngày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226523E" w14:textId="77777777" w:rsidR="007C53D9" w:rsidRPr="00390AA6" w:rsidRDefault="00771681" w:rsidP="007E2AE2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AA6">
        <w:rPr>
          <w:rFonts w:ascii="Arial" w:hAnsi="Arial" w:cs="Arial"/>
          <w:color w:val="000000" w:themeColor="text1"/>
          <w:sz w:val="20"/>
          <w:szCs w:val="20"/>
          <w:vertAlign w:val="superscript"/>
        </w:rPr>
        <w:t>4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t (7): Ghi rõ s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u, ngày c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90AA6">
        <w:rPr>
          <w:rFonts w:ascii="Arial" w:hAnsi="Arial" w:cs="Arial"/>
          <w:color w:val="000000" w:themeColor="text1"/>
          <w:sz w:val="20"/>
          <w:szCs w:val="20"/>
        </w:rPr>
        <w:t>p.</w:t>
      </w:r>
    </w:p>
    <w:sectPr w:rsidR="007C53D9" w:rsidRPr="00390AA6" w:rsidSect="007E2AE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C7DD6" w14:textId="77777777" w:rsidR="00771681" w:rsidRDefault="00771681">
      <w:pPr>
        <w:spacing w:after="0" w:line="240" w:lineRule="auto"/>
      </w:pPr>
      <w:r>
        <w:separator/>
      </w:r>
    </w:p>
  </w:endnote>
  <w:endnote w:type="continuationSeparator" w:id="0">
    <w:p w14:paraId="53EFC8BA" w14:textId="77777777" w:rsidR="00771681" w:rsidRDefault="0077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E0A25" w14:textId="77777777" w:rsidR="00771681" w:rsidRDefault="00771681">
      <w:pPr>
        <w:spacing w:after="0" w:line="240" w:lineRule="auto"/>
      </w:pPr>
      <w:r>
        <w:separator/>
      </w:r>
    </w:p>
  </w:footnote>
  <w:footnote w:type="continuationSeparator" w:id="0">
    <w:p w14:paraId="5626B9DB" w14:textId="77777777" w:rsidR="00771681" w:rsidRDefault="00771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D9"/>
    <w:rsid w:val="000508AE"/>
    <w:rsid w:val="00124A9C"/>
    <w:rsid w:val="0016052B"/>
    <w:rsid w:val="001B76E7"/>
    <w:rsid w:val="00211C89"/>
    <w:rsid w:val="002319CD"/>
    <w:rsid w:val="00390AA6"/>
    <w:rsid w:val="004B3423"/>
    <w:rsid w:val="005420C6"/>
    <w:rsid w:val="006F1CD2"/>
    <w:rsid w:val="00771681"/>
    <w:rsid w:val="00794F22"/>
    <w:rsid w:val="007C53D9"/>
    <w:rsid w:val="007E2AE2"/>
    <w:rsid w:val="009633ED"/>
    <w:rsid w:val="009A7AB8"/>
    <w:rsid w:val="00A9010A"/>
    <w:rsid w:val="00BF558A"/>
    <w:rsid w:val="00C321D2"/>
    <w:rsid w:val="00F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F023"/>
  <w15:docId w15:val="{3A44AFCE-4699-46D9-A9E5-2EC9564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AE2"/>
  </w:style>
  <w:style w:type="paragraph" w:styleId="Footer">
    <w:name w:val="footer"/>
    <w:basedOn w:val="Normal"/>
    <w:link w:val="FooterChar"/>
    <w:uiPriority w:val="99"/>
    <w:unhideWhenUsed/>
    <w:rsid w:val="007E2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E2"/>
  </w:style>
  <w:style w:type="table" w:styleId="TableGrid">
    <w:name w:val="Table Grid"/>
    <w:basedOn w:val="TableNormal"/>
    <w:uiPriority w:val="39"/>
    <w:rsid w:val="007E2AE2"/>
    <w:pPr>
      <w:widowControl w:val="0"/>
      <w:spacing w:after="0" w:line="240" w:lineRule="auto"/>
    </w:pPr>
    <w:rPr>
      <w:rFonts w:ascii="Courier New" w:eastAsia="Courier New" w:hAnsi="Courier New" w:cs="Courier New"/>
      <w:kern w:val="0"/>
      <w:lang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11187</Words>
  <Characters>63766</Characters>
  <Application>Microsoft Office Word</Application>
  <DocSecurity>0</DocSecurity>
  <Lines>531</Lines>
  <Paragraphs>149</Paragraphs>
  <ScaleCrop>false</ScaleCrop>
  <Company/>
  <LinksUpToDate>false</LinksUpToDate>
  <CharactersWithSpaces>74804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12</cp:revision>
  <dcterms:created xsi:type="dcterms:W3CDTF">2025-11-26T07:03:00Z</dcterms:created>
  <dcterms:modified xsi:type="dcterms:W3CDTF">2025-11-27T01:10:00Z</dcterms:modified>
</cp:coreProperties>
</file>