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1A5DF1" w:rsidRPr="00915A66" w14:paraId="1C9B3ECD" w14:textId="77777777" w:rsidTr="00915A66">
        <w:tc>
          <w:tcPr>
            <w:tcW w:w="2194" w:type="pct"/>
          </w:tcPr>
          <w:p w14:paraId="3771BA86" w14:textId="2908EA9C" w:rsidR="001A5DF1" w:rsidRPr="00915A66" w:rsidRDefault="00000000" w:rsidP="00915A66">
            <w:pPr>
              <w:spacing w:after="0" w:line="240" w:lineRule="auto"/>
              <w:jc w:val="center"/>
              <w:rPr>
                <w:rFonts w:ascii="Arial" w:hAnsi="Arial" w:cs="Arial"/>
                <w:color w:val="000000" w:themeColor="text1"/>
                <w:sz w:val="20"/>
                <w:szCs w:val="20"/>
              </w:rPr>
            </w:pPr>
            <w:r w:rsidRPr="00915A66">
              <w:rPr>
                <w:rFonts w:ascii="Arial" w:hAnsi="Arial" w:cs="Arial"/>
                <w:b/>
                <w:color w:val="000000" w:themeColor="text1"/>
                <w:sz w:val="20"/>
                <w:szCs w:val="20"/>
              </w:rPr>
              <w:t>QUỐC</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HỘI</w:t>
            </w:r>
            <w:r w:rsidRPr="00915A66">
              <w:rPr>
                <w:rFonts w:ascii="Arial" w:hAnsi="Arial" w:cs="Arial"/>
                <w:color w:val="000000" w:themeColor="text1"/>
                <w:sz w:val="20"/>
                <w:szCs w:val="20"/>
              </w:rPr>
              <w:br/>
            </w:r>
            <w:r w:rsidRPr="00915A66">
              <w:rPr>
                <w:rFonts w:ascii="Arial" w:hAnsi="Arial" w:cs="Arial"/>
                <w:color w:val="000000" w:themeColor="text1"/>
                <w:sz w:val="20"/>
                <w:szCs w:val="20"/>
                <w:vertAlign w:val="superscript"/>
              </w:rPr>
              <w:t>_______</w:t>
            </w:r>
            <w:r w:rsidRPr="00915A66">
              <w:rPr>
                <w:rFonts w:ascii="Arial" w:hAnsi="Arial" w:cs="Arial"/>
                <w:color w:val="000000" w:themeColor="text1"/>
                <w:sz w:val="20"/>
                <w:szCs w:val="20"/>
              </w:rPr>
              <w:br/>
            </w:r>
            <w:r w:rsidR="00915A66" w:rsidRPr="00915A66">
              <w:rPr>
                <w:rFonts w:ascii="Arial" w:hAnsi="Arial" w:cs="Arial"/>
                <w:color w:val="000000" w:themeColor="text1"/>
                <w:sz w:val="20"/>
                <w:szCs w:val="20"/>
              </w:rPr>
              <w:t xml:space="preserve"> </w:t>
            </w:r>
            <w:r w:rsidRPr="00915A66">
              <w:rPr>
                <w:rFonts w:ascii="Arial" w:hAnsi="Arial" w:cs="Arial"/>
                <w:color w:val="000000" w:themeColor="text1"/>
                <w:sz w:val="20"/>
                <w:szCs w:val="20"/>
              </w:rPr>
              <w:t>Nghị</w:t>
            </w:r>
            <w:r w:rsidR="00915A66" w:rsidRPr="00915A66">
              <w:rPr>
                <w:rFonts w:ascii="Arial" w:hAnsi="Arial" w:cs="Arial"/>
                <w:color w:val="000000" w:themeColor="text1"/>
                <w:sz w:val="20"/>
                <w:szCs w:val="20"/>
              </w:rPr>
              <w:t xml:space="preserve"> </w:t>
            </w:r>
            <w:r w:rsidRPr="00915A66">
              <w:rPr>
                <w:rFonts w:ascii="Arial" w:hAnsi="Arial" w:cs="Arial"/>
                <w:color w:val="000000" w:themeColor="text1"/>
                <w:sz w:val="20"/>
                <w:szCs w:val="20"/>
              </w:rPr>
              <w:t>quyết</w:t>
            </w:r>
            <w:r w:rsidR="00915A66" w:rsidRPr="00915A66">
              <w:rPr>
                <w:rFonts w:ascii="Arial" w:hAnsi="Arial" w:cs="Arial"/>
                <w:color w:val="000000" w:themeColor="text1"/>
                <w:sz w:val="20"/>
                <w:szCs w:val="20"/>
              </w:rPr>
              <w:t xml:space="preserve"> </w:t>
            </w:r>
            <w:r w:rsidRPr="00915A66">
              <w:rPr>
                <w:rFonts w:ascii="Arial" w:hAnsi="Arial" w:cs="Arial"/>
                <w:color w:val="000000" w:themeColor="text1"/>
                <w:sz w:val="20"/>
                <w:szCs w:val="20"/>
              </w:rPr>
              <w:t>số:</w:t>
            </w:r>
            <w:r w:rsidR="00915A66" w:rsidRPr="00915A66">
              <w:rPr>
                <w:rFonts w:ascii="Arial" w:hAnsi="Arial" w:cs="Arial"/>
                <w:color w:val="000000" w:themeColor="text1"/>
                <w:sz w:val="20"/>
                <w:szCs w:val="20"/>
              </w:rPr>
              <w:t xml:space="preserve"> </w:t>
            </w:r>
            <w:r w:rsidRPr="00915A66">
              <w:rPr>
                <w:rFonts w:ascii="Arial" w:hAnsi="Arial" w:cs="Arial"/>
                <w:color w:val="000000" w:themeColor="text1"/>
                <w:sz w:val="20"/>
                <w:szCs w:val="20"/>
              </w:rPr>
              <w:t>43/2026/QH16</w:t>
            </w:r>
          </w:p>
        </w:tc>
        <w:tc>
          <w:tcPr>
            <w:tcW w:w="2806" w:type="pct"/>
          </w:tcPr>
          <w:p w14:paraId="210D7702" w14:textId="06F610AB" w:rsidR="001A5DF1" w:rsidRPr="00915A66" w:rsidRDefault="00000000" w:rsidP="00915A66">
            <w:pPr>
              <w:spacing w:after="0" w:line="240" w:lineRule="auto"/>
              <w:jc w:val="center"/>
              <w:rPr>
                <w:rFonts w:ascii="Arial" w:hAnsi="Arial" w:cs="Arial"/>
                <w:color w:val="000000" w:themeColor="text1"/>
                <w:sz w:val="20"/>
                <w:szCs w:val="20"/>
              </w:rPr>
            </w:pPr>
            <w:r w:rsidRPr="00915A66">
              <w:rPr>
                <w:rFonts w:ascii="Arial" w:hAnsi="Arial" w:cs="Arial"/>
                <w:b/>
                <w:color w:val="000000" w:themeColor="text1"/>
                <w:sz w:val="20"/>
                <w:szCs w:val="20"/>
              </w:rPr>
              <w:t>CỘNG</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HÒA</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XÃ</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HỘI</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CHỦ</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NGHĨA</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VIỆT</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NAM</w:t>
            </w:r>
            <w:r w:rsidRPr="00915A66">
              <w:rPr>
                <w:rFonts w:ascii="Arial" w:hAnsi="Arial" w:cs="Arial"/>
                <w:color w:val="000000" w:themeColor="text1"/>
                <w:sz w:val="20"/>
                <w:szCs w:val="20"/>
              </w:rPr>
              <w:br/>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Độc</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lập</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Tự</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do</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Hạnh</w:t>
            </w:r>
            <w:r w:rsidR="00915A66" w:rsidRPr="00915A66">
              <w:rPr>
                <w:rFonts w:ascii="Arial" w:hAnsi="Arial" w:cs="Arial"/>
                <w:b/>
                <w:color w:val="000000" w:themeColor="text1"/>
                <w:sz w:val="20"/>
                <w:szCs w:val="20"/>
              </w:rPr>
              <w:t xml:space="preserve"> </w:t>
            </w:r>
            <w:r w:rsidRPr="00915A66">
              <w:rPr>
                <w:rFonts w:ascii="Arial" w:hAnsi="Arial" w:cs="Arial"/>
                <w:b/>
                <w:color w:val="000000" w:themeColor="text1"/>
                <w:sz w:val="20"/>
                <w:szCs w:val="20"/>
              </w:rPr>
              <w:t>phúc</w:t>
            </w:r>
            <w:r w:rsidRPr="00915A66">
              <w:rPr>
                <w:rFonts w:ascii="Arial" w:hAnsi="Arial" w:cs="Arial"/>
                <w:color w:val="000000" w:themeColor="text1"/>
                <w:sz w:val="20"/>
                <w:szCs w:val="20"/>
              </w:rPr>
              <w:br/>
            </w:r>
            <w:r w:rsidRPr="00915A66">
              <w:rPr>
                <w:rFonts w:ascii="Arial" w:hAnsi="Arial" w:cs="Arial"/>
                <w:color w:val="000000" w:themeColor="text1"/>
                <w:sz w:val="20"/>
                <w:szCs w:val="20"/>
                <w:vertAlign w:val="superscript"/>
              </w:rPr>
              <w:t>_________________</w:t>
            </w:r>
          </w:p>
        </w:tc>
      </w:tr>
    </w:tbl>
    <w:p w14:paraId="3E695830" w14:textId="77777777" w:rsidR="00915A66" w:rsidRPr="00915A66" w:rsidRDefault="00915A66" w:rsidP="00915A66">
      <w:pPr>
        <w:spacing w:after="0" w:line="240" w:lineRule="auto"/>
        <w:jc w:val="center"/>
        <w:rPr>
          <w:rFonts w:ascii="Arial" w:hAnsi="Arial" w:cs="Arial"/>
          <w:b/>
          <w:color w:val="000000" w:themeColor="text1"/>
          <w:sz w:val="20"/>
          <w:szCs w:val="20"/>
        </w:rPr>
      </w:pPr>
    </w:p>
    <w:p w14:paraId="58D7F62A" w14:textId="77777777" w:rsidR="00915A66" w:rsidRPr="00915A66" w:rsidRDefault="00915A66" w:rsidP="00915A66">
      <w:pPr>
        <w:spacing w:after="0" w:line="240" w:lineRule="auto"/>
        <w:jc w:val="center"/>
        <w:rPr>
          <w:rFonts w:ascii="Arial" w:hAnsi="Arial" w:cs="Arial"/>
          <w:b/>
          <w:color w:val="000000" w:themeColor="text1"/>
          <w:sz w:val="20"/>
          <w:szCs w:val="20"/>
        </w:rPr>
      </w:pPr>
    </w:p>
    <w:p w14:paraId="0AC5055C" w14:textId="6A68FDA8" w:rsidR="001A5DF1" w:rsidRPr="00915A66" w:rsidRDefault="00000000" w:rsidP="00915A66">
      <w:pPr>
        <w:spacing w:after="0" w:line="240" w:lineRule="auto"/>
        <w:jc w:val="center"/>
        <w:rPr>
          <w:rFonts w:ascii="Arial" w:hAnsi="Arial" w:cs="Arial"/>
          <w:color w:val="000000" w:themeColor="text1"/>
          <w:sz w:val="20"/>
          <w:szCs w:val="20"/>
        </w:rPr>
      </w:pPr>
      <w:r w:rsidRPr="00915A66">
        <w:rPr>
          <w:rFonts w:ascii="Arial" w:hAnsi="Arial" w:cs="Arial"/>
          <w:b/>
          <w:color w:val="000000" w:themeColor="text1"/>
          <w:sz w:val="20"/>
          <w:szCs w:val="20"/>
        </w:rPr>
        <w:t>NGHỊ QUYẾT</w:t>
      </w:r>
    </w:p>
    <w:p w14:paraId="436B4774" w14:textId="77777777" w:rsidR="001A5DF1" w:rsidRPr="00915A66" w:rsidRDefault="00000000" w:rsidP="00915A66">
      <w:pPr>
        <w:spacing w:after="0" w:line="240" w:lineRule="auto"/>
        <w:jc w:val="center"/>
        <w:rPr>
          <w:rFonts w:ascii="Arial" w:hAnsi="Arial" w:cs="Arial"/>
          <w:b/>
          <w:color w:val="000000" w:themeColor="text1"/>
          <w:sz w:val="20"/>
          <w:szCs w:val="20"/>
        </w:rPr>
      </w:pPr>
      <w:r w:rsidRPr="00915A66">
        <w:rPr>
          <w:rFonts w:ascii="Arial" w:hAnsi="Arial" w:cs="Arial"/>
          <w:b/>
          <w:color w:val="000000" w:themeColor="text1"/>
          <w:sz w:val="20"/>
          <w:szCs w:val="20"/>
        </w:rPr>
        <w:t>Về giảm thuế thu nhập cá nhân, thuế thu nhập doanh nghiệp</w:t>
      </w:r>
      <w:r w:rsidRPr="00915A66">
        <w:rPr>
          <w:rFonts w:ascii="Arial" w:hAnsi="Arial" w:cs="Arial"/>
          <w:color w:val="000000" w:themeColor="text1"/>
          <w:sz w:val="20"/>
          <w:szCs w:val="20"/>
        </w:rPr>
        <w:br/>
      </w:r>
      <w:r w:rsidRPr="00915A66">
        <w:rPr>
          <w:rFonts w:ascii="Arial" w:hAnsi="Arial" w:cs="Arial"/>
          <w:b/>
          <w:color w:val="000000" w:themeColor="text1"/>
          <w:sz w:val="20"/>
          <w:szCs w:val="20"/>
        </w:rPr>
        <w:t xml:space="preserve"> đối với cá nhân và doanh nghiệp</w:t>
      </w:r>
    </w:p>
    <w:p w14:paraId="04F344C9" w14:textId="77777777" w:rsidR="00915A66" w:rsidRPr="00915A66" w:rsidRDefault="00915A66" w:rsidP="00915A66">
      <w:pPr>
        <w:spacing w:after="0" w:line="240" w:lineRule="auto"/>
        <w:jc w:val="center"/>
        <w:rPr>
          <w:rFonts w:ascii="Arial" w:hAnsi="Arial" w:cs="Arial"/>
          <w:color w:val="000000" w:themeColor="text1"/>
          <w:sz w:val="20"/>
          <w:szCs w:val="20"/>
        </w:rPr>
      </w:pPr>
    </w:p>
    <w:p w14:paraId="05A10D5A" w14:textId="77777777" w:rsidR="001A5DF1" w:rsidRPr="00915A66" w:rsidRDefault="00000000" w:rsidP="00915A66">
      <w:pPr>
        <w:spacing w:after="0" w:line="240" w:lineRule="auto"/>
        <w:jc w:val="center"/>
        <w:rPr>
          <w:rFonts w:ascii="Arial" w:hAnsi="Arial" w:cs="Arial"/>
          <w:b/>
          <w:color w:val="000000" w:themeColor="text1"/>
          <w:sz w:val="20"/>
          <w:szCs w:val="20"/>
        </w:rPr>
      </w:pPr>
      <w:r w:rsidRPr="00915A66">
        <w:rPr>
          <w:rFonts w:ascii="Arial" w:hAnsi="Arial" w:cs="Arial"/>
          <w:b/>
          <w:color w:val="000000" w:themeColor="text1"/>
          <w:sz w:val="20"/>
          <w:szCs w:val="20"/>
        </w:rPr>
        <w:t>QUỐC HỘI</w:t>
      </w:r>
    </w:p>
    <w:p w14:paraId="0A4B67A0" w14:textId="77777777" w:rsidR="00915A66" w:rsidRPr="00915A66" w:rsidRDefault="00915A66" w:rsidP="00915A66">
      <w:pPr>
        <w:spacing w:after="0" w:line="240" w:lineRule="auto"/>
        <w:jc w:val="center"/>
        <w:rPr>
          <w:rFonts w:ascii="Arial" w:hAnsi="Arial" w:cs="Arial"/>
          <w:color w:val="000000" w:themeColor="text1"/>
          <w:sz w:val="20"/>
          <w:szCs w:val="20"/>
        </w:rPr>
      </w:pPr>
    </w:p>
    <w:p w14:paraId="0E89F1DE" w14:textId="77777777" w:rsidR="001A5DF1" w:rsidRPr="00915A66" w:rsidRDefault="00000000" w:rsidP="00915A66">
      <w:pPr>
        <w:spacing w:after="120" w:line="240" w:lineRule="auto"/>
        <w:ind w:firstLine="720"/>
        <w:jc w:val="both"/>
        <w:rPr>
          <w:rFonts w:ascii="Arial" w:hAnsi="Arial" w:cs="Arial"/>
          <w:color w:val="000000" w:themeColor="text1"/>
          <w:sz w:val="20"/>
          <w:szCs w:val="20"/>
        </w:rPr>
      </w:pPr>
      <w:r w:rsidRPr="00915A66">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5D107FA7" w14:textId="77777777" w:rsidR="001A5DF1" w:rsidRPr="00915A66" w:rsidRDefault="00000000" w:rsidP="00915A66">
      <w:pPr>
        <w:spacing w:after="120" w:line="240" w:lineRule="auto"/>
        <w:ind w:firstLine="720"/>
        <w:jc w:val="both"/>
        <w:rPr>
          <w:rFonts w:ascii="Arial" w:hAnsi="Arial" w:cs="Arial"/>
          <w:color w:val="000000" w:themeColor="text1"/>
          <w:sz w:val="20"/>
          <w:szCs w:val="20"/>
        </w:rPr>
      </w:pPr>
      <w:r w:rsidRPr="00915A66">
        <w:rPr>
          <w:rFonts w:ascii="Arial" w:hAnsi="Arial" w:cs="Arial"/>
          <w:i/>
          <w:color w:val="000000" w:themeColor="text1"/>
          <w:sz w:val="20"/>
          <w:szCs w:val="20"/>
        </w:rPr>
        <w:t>Căn cứ Luật Tổ chức Quốc hội số 57/2014/QH13 đã được sửa đổi, bổ sung một số điều theo Luật số 65/2020/QH14 và Luật số 62/2025/QH15;</w:t>
      </w:r>
    </w:p>
    <w:p w14:paraId="5CFE17BC" w14:textId="77777777" w:rsidR="001A5DF1" w:rsidRPr="00915A66" w:rsidRDefault="00000000" w:rsidP="00915A66">
      <w:pPr>
        <w:spacing w:after="120" w:line="240" w:lineRule="auto"/>
        <w:ind w:firstLine="720"/>
        <w:jc w:val="both"/>
        <w:rPr>
          <w:rFonts w:ascii="Arial" w:hAnsi="Arial" w:cs="Arial"/>
          <w:color w:val="000000" w:themeColor="text1"/>
          <w:sz w:val="20"/>
          <w:szCs w:val="20"/>
        </w:rPr>
      </w:pPr>
      <w:r w:rsidRPr="00915A66">
        <w:rPr>
          <w:rFonts w:ascii="Arial" w:hAnsi="Arial" w:cs="Arial"/>
          <w:i/>
          <w:color w:val="000000" w:themeColor="text1"/>
          <w:sz w:val="20"/>
          <w:szCs w:val="20"/>
        </w:rPr>
        <w:t>Căn cứ Luật Thuế thu nhập cá nhân số 109/2025/QH15 đã được sửa đổi, bổ sung một số điều theo Luật số 09/2026/QH16;</w:t>
      </w:r>
    </w:p>
    <w:p w14:paraId="1AE180FC" w14:textId="77777777" w:rsidR="001A5DF1" w:rsidRPr="00915A66" w:rsidRDefault="00000000" w:rsidP="00915A66">
      <w:pPr>
        <w:spacing w:after="120" w:line="240" w:lineRule="auto"/>
        <w:ind w:firstLine="720"/>
        <w:jc w:val="both"/>
        <w:rPr>
          <w:rFonts w:ascii="Arial" w:hAnsi="Arial" w:cs="Arial"/>
          <w:color w:val="000000" w:themeColor="text1"/>
          <w:sz w:val="20"/>
          <w:szCs w:val="20"/>
        </w:rPr>
      </w:pPr>
      <w:r w:rsidRPr="00915A66">
        <w:rPr>
          <w:rFonts w:ascii="Arial" w:hAnsi="Arial" w:cs="Arial"/>
          <w:i/>
          <w:color w:val="000000" w:themeColor="text1"/>
          <w:sz w:val="20"/>
          <w:szCs w:val="20"/>
        </w:rPr>
        <w:t>Căn cứ Luật Thuế thu nhập doanh nghiệp số 67/2025/QH15 đã được sửa đổi, bổ sung một số điều theo Luật số 116/2025/QH15, Luật số 127/2025/QH15, Luật số 133/2025/QH15, Luật số 141/2025/QH15, Luật số 143/2025/QH15 và Luật số 09/2026/QH16;</w:t>
      </w:r>
    </w:p>
    <w:p w14:paraId="581DF66C" w14:textId="77777777" w:rsidR="001A5DF1" w:rsidRPr="00915A66" w:rsidRDefault="00000000" w:rsidP="00915A66">
      <w:pPr>
        <w:spacing w:after="120" w:line="240" w:lineRule="auto"/>
        <w:ind w:firstLine="720"/>
        <w:jc w:val="both"/>
        <w:rPr>
          <w:rFonts w:ascii="Arial" w:hAnsi="Arial" w:cs="Arial"/>
          <w:color w:val="000000" w:themeColor="text1"/>
          <w:sz w:val="20"/>
          <w:szCs w:val="20"/>
        </w:rPr>
      </w:pPr>
      <w:r w:rsidRPr="00915A66">
        <w:rPr>
          <w:rFonts w:ascii="Arial" w:hAnsi="Arial" w:cs="Arial"/>
          <w:i/>
          <w:color w:val="000000" w:themeColor="text1"/>
          <w:sz w:val="20"/>
          <w:szCs w:val="20"/>
        </w:rPr>
        <w:t>Căn cứ Luật Ban hành văn bản quy phạm pháp luật số 64/2025/QH15 đã được sửa đổi, bổ sung một số điều theo Luật số 87/2025/QH15;</w:t>
      </w:r>
    </w:p>
    <w:p w14:paraId="04C50234" w14:textId="77777777" w:rsidR="00915A66" w:rsidRPr="00915A66" w:rsidRDefault="00915A66" w:rsidP="00915A66">
      <w:pPr>
        <w:spacing w:after="0" w:line="240" w:lineRule="auto"/>
        <w:jc w:val="center"/>
        <w:rPr>
          <w:rFonts w:ascii="Arial" w:hAnsi="Arial" w:cs="Arial"/>
          <w:b/>
          <w:color w:val="000000" w:themeColor="text1"/>
          <w:sz w:val="20"/>
          <w:szCs w:val="20"/>
        </w:rPr>
      </w:pPr>
    </w:p>
    <w:p w14:paraId="108373E4" w14:textId="09D3287D" w:rsidR="001A5DF1" w:rsidRPr="00915A66" w:rsidRDefault="00000000" w:rsidP="00915A66">
      <w:pPr>
        <w:spacing w:after="0" w:line="240" w:lineRule="auto"/>
        <w:jc w:val="center"/>
        <w:rPr>
          <w:rFonts w:ascii="Arial" w:hAnsi="Arial" w:cs="Arial"/>
          <w:b/>
          <w:color w:val="000000" w:themeColor="text1"/>
          <w:sz w:val="20"/>
          <w:szCs w:val="20"/>
        </w:rPr>
      </w:pPr>
      <w:r w:rsidRPr="00915A66">
        <w:rPr>
          <w:rFonts w:ascii="Arial" w:hAnsi="Arial" w:cs="Arial"/>
          <w:b/>
          <w:color w:val="000000" w:themeColor="text1"/>
          <w:sz w:val="20"/>
          <w:szCs w:val="20"/>
        </w:rPr>
        <w:t>QUYẾT NGHỊ:</w:t>
      </w:r>
    </w:p>
    <w:p w14:paraId="2CA57199" w14:textId="77777777" w:rsidR="00915A66" w:rsidRPr="00915A66" w:rsidRDefault="00915A66" w:rsidP="00915A66">
      <w:pPr>
        <w:spacing w:after="0" w:line="240" w:lineRule="auto"/>
        <w:jc w:val="center"/>
        <w:rPr>
          <w:rFonts w:ascii="Arial" w:hAnsi="Arial" w:cs="Arial"/>
          <w:color w:val="000000" w:themeColor="text1"/>
          <w:sz w:val="20"/>
          <w:szCs w:val="20"/>
        </w:rPr>
      </w:pPr>
    </w:p>
    <w:p w14:paraId="1E019F76" w14:textId="77777777" w:rsidR="001A5DF1" w:rsidRPr="00915A66" w:rsidRDefault="00000000" w:rsidP="00915A66">
      <w:pPr>
        <w:spacing w:after="120" w:line="240" w:lineRule="auto"/>
        <w:jc w:val="both"/>
        <w:rPr>
          <w:rFonts w:ascii="Arial" w:hAnsi="Arial" w:cs="Arial"/>
          <w:color w:val="000000" w:themeColor="text1"/>
          <w:sz w:val="20"/>
          <w:szCs w:val="20"/>
        </w:rPr>
      </w:pPr>
      <w:r w:rsidRPr="00915A66">
        <w:rPr>
          <w:rFonts w:ascii="Arial" w:hAnsi="Arial" w:cs="Arial"/>
          <w:b/>
          <w:color w:val="000000" w:themeColor="text1"/>
          <w:sz w:val="20"/>
          <w:szCs w:val="20"/>
        </w:rPr>
        <w:t>Điều 1. Giảm thuế thu nhập cá nhân, giảm thuế thu nhập doanh nghiệp</w:t>
      </w:r>
    </w:p>
    <w:p w14:paraId="3F4F3D18" w14:textId="77777777" w:rsidR="001A5DF1" w:rsidRPr="00915A66" w:rsidRDefault="00000000" w:rsidP="00915A66">
      <w:pPr>
        <w:spacing w:after="120" w:line="240" w:lineRule="auto"/>
        <w:jc w:val="both"/>
        <w:rPr>
          <w:rFonts w:ascii="Arial" w:hAnsi="Arial" w:cs="Arial"/>
          <w:color w:val="000000" w:themeColor="text1"/>
          <w:sz w:val="20"/>
          <w:szCs w:val="20"/>
        </w:rPr>
      </w:pPr>
      <w:r w:rsidRPr="00915A66">
        <w:rPr>
          <w:rFonts w:ascii="Arial" w:hAnsi="Arial" w:cs="Arial"/>
          <w:color w:val="000000" w:themeColor="text1"/>
          <w:sz w:val="20"/>
          <w:szCs w:val="20"/>
        </w:rPr>
        <w:t>1. Giảm 30% số thuế thu nhập cá nhân phải nộp của kỳ tính thuế năm 2026 và năm 2027 đối với thu nhập từ kinh doanh của cá nhân cư trú có mức doanh thu hằng năm của năm 2026, năm 2027 không quá 10 tỷ đồng.</w:t>
      </w:r>
    </w:p>
    <w:p w14:paraId="5DE7A9A5" w14:textId="77777777" w:rsidR="001A5DF1" w:rsidRPr="00915A66" w:rsidRDefault="00000000" w:rsidP="00915A66">
      <w:pPr>
        <w:spacing w:after="120" w:line="240" w:lineRule="auto"/>
        <w:jc w:val="both"/>
        <w:rPr>
          <w:rFonts w:ascii="Arial" w:hAnsi="Arial" w:cs="Arial"/>
          <w:color w:val="000000" w:themeColor="text1"/>
          <w:sz w:val="20"/>
          <w:szCs w:val="20"/>
        </w:rPr>
      </w:pPr>
      <w:r w:rsidRPr="00915A66">
        <w:rPr>
          <w:rFonts w:ascii="Arial" w:hAnsi="Arial" w:cs="Arial"/>
          <w:color w:val="000000" w:themeColor="text1"/>
          <w:sz w:val="20"/>
          <w:szCs w:val="20"/>
        </w:rPr>
        <w:t>2. Giảm 30% số thuế thu nhập doanh nghiệp phải nộp của kỳ tính thuế năm 2026 và năm 2027 đối với thu nhập của doanh nghiệp, tổ chức được thành lập theo quy định của pháp luật Việt Nam có mức doanh thu hằng năm của năm 2026, năm 2027 không quá 10 tỷ đồng; trừ các doanh nghiệp được hình thành từ việc chia, tách doanh nghiệp sau ngày Nghị quyết này có hiệu lực, mà tổng doanh thu hàng năm của năm 2026, năm 2027 của các doanh nghiệp sau chia, tách trên 10 tỷ đồng. Trường hợp doanh nghiệp đang được ưu đãi thuế theo quy định của Luật Thuế thu nhập doanh nghiệp hoặc các luật, nghị quyết khác của Quốc hội thì số thuế thu nhập doanh nghiệp được giảm quy định tại khoản này tính trên số thuế thu nhập doanh nghiệp phải nộp sau khi đã trừ ưu đãi thuế.</w:t>
      </w:r>
    </w:p>
    <w:p w14:paraId="1B63F64F" w14:textId="77777777" w:rsidR="001A5DF1" w:rsidRPr="00915A66" w:rsidRDefault="00000000" w:rsidP="00915A66">
      <w:pPr>
        <w:spacing w:after="120" w:line="240" w:lineRule="auto"/>
        <w:jc w:val="both"/>
        <w:rPr>
          <w:rFonts w:ascii="Arial" w:hAnsi="Arial" w:cs="Arial"/>
          <w:color w:val="000000" w:themeColor="text1"/>
          <w:sz w:val="20"/>
          <w:szCs w:val="20"/>
        </w:rPr>
      </w:pPr>
      <w:r w:rsidRPr="00915A66">
        <w:rPr>
          <w:rFonts w:ascii="Arial" w:hAnsi="Arial" w:cs="Arial"/>
          <w:b/>
          <w:color w:val="000000" w:themeColor="text1"/>
          <w:sz w:val="20"/>
          <w:szCs w:val="20"/>
        </w:rPr>
        <w:t>Điều 2. Hiệu lực thi hành</w:t>
      </w:r>
    </w:p>
    <w:p w14:paraId="64ED0698" w14:textId="77777777" w:rsidR="001A5DF1" w:rsidRPr="00915A66" w:rsidRDefault="00000000" w:rsidP="00915A66">
      <w:pPr>
        <w:spacing w:after="120" w:line="240" w:lineRule="auto"/>
        <w:jc w:val="both"/>
        <w:rPr>
          <w:rFonts w:ascii="Arial" w:hAnsi="Arial" w:cs="Arial"/>
          <w:color w:val="000000" w:themeColor="text1"/>
          <w:sz w:val="20"/>
          <w:szCs w:val="20"/>
        </w:rPr>
      </w:pPr>
      <w:r w:rsidRPr="00915A66">
        <w:rPr>
          <w:rFonts w:ascii="Arial" w:hAnsi="Arial" w:cs="Arial"/>
          <w:color w:val="000000" w:themeColor="text1"/>
          <w:sz w:val="20"/>
          <w:szCs w:val="20"/>
        </w:rPr>
        <w:t>1. Nghị quyết này có hiệu lực thi hành từ ngày 24 tháng 8 năm 2026 và áp dụng cho kỳ tính thuế năm 2026, năm 2027.</w:t>
      </w:r>
    </w:p>
    <w:p w14:paraId="7422E383" w14:textId="77777777" w:rsidR="001A5DF1" w:rsidRPr="00915A66" w:rsidRDefault="00000000" w:rsidP="00915A66">
      <w:pPr>
        <w:spacing w:after="120" w:line="240" w:lineRule="auto"/>
        <w:jc w:val="both"/>
        <w:rPr>
          <w:rFonts w:ascii="Arial" w:hAnsi="Arial" w:cs="Arial"/>
          <w:color w:val="000000" w:themeColor="text1"/>
          <w:sz w:val="20"/>
          <w:szCs w:val="20"/>
        </w:rPr>
      </w:pPr>
      <w:r w:rsidRPr="00915A66">
        <w:rPr>
          <w:rFonts w:ascii="Arial" w:hAnsi="Arial" w:cs="Arial"/>
          <w:color w:val="000000" w:themeColor="text1"/>
          <w:sz w:val="20"/>
          <w:szCs w:val="20"/>
        </w:rPr>
        <w:t>2. Chính phủ quy định chi tiết Nghị quyết này.</w:t>
      </w:r>
    </w:p>
    <w:p w14:paraId="50826AAB" w14:textId="2B9DD976" w:rsidR="00915A66" w:rsidRPr="00915A66" w:rsidRDefault="00915A66" w:rsidP="00915A66">
      <w:pPr>
        <w:spacing w:after="120" w:line="240" w:lineRule="auto"/>
        <w:jc w:val="both"/>
        <w:rPr>
          <w:rFonts w:ascii="Arial" w:hAnsi="Arial" w:cs="Arial"/>
          <w:color w:val="000000" w:themeColor="text1"/>
          <w:sz w:val="20"/>
          <w:szCs w:val="20"/>
        </w:rPr>
      </w:pPr>
      <w:r w:rsidRPr="00915A66">
        <w:rPr>
          <w:rFonts w:ascii="Arial" w:hAnsi="Arial" w:cs="Arial"/>
          <w:color w:val="000000" w:themeColor="text1"/>
          <w:sz w:val="20"/>
          <w:szCs w:val="20"/>
        </w:rPr>
        <w:t>____________________________________________________________________________</w:t>
      </w:r>
    </w:p>
    <w:p w14:paraId="797F00D0" w14:textId="77777777" w:rsidR="001A5DF1" w:rsidRPr="00915A66" w:rsidRDefault="00000000" w:rsidP="00915A66">
      <w:pPr>
        <w:spacing w:after="120" w:line="240" w:lineRule="auto"/>
        <w:jc w:val="both"/>
        <w:rPr>
          <w:rFonts w:ascii="Arial" w:hAnsi="Arial" w:cs="Arial"/>
          <w:i/>
          <w:color w:val="000000" w:themeColor="text1"/>
          <w:sz w:val="20"/>
          <w:szCs w:val="20"/>
        </w:rPr>
      </w:pPr>
      <w:r w:rsidRPr="00915A66">
        <w:rPr>
          <w:rFonts w:ascii="Arial" w:hAnsi="Arial" w:cs="Arial"/>
          <w:i/>
          <w:color w:val="000000" w:themeColor="text1"/>
          <w:sz w:val="20"/>
          <w:szCs w:val="20"/>
        </w:rPr>
        <w:t>Nghị quyết này được Quốc hội nước Cộng hòa xã hội chủ nghĩa Việt Nam khóa XVI, Kỳ họp không thường lệ thứ Nhất thông qua ngày 24 tháng 8 năm 2026.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15A66" w:rsidRPr="00915A66" w14:paraId="0AB43A24" w14:textId="77777777" w:rsidTr="00915A66">
        <w:tc>
          <w:tcPr>
            <w:tcW w:w="2500" w:type="pct"/>
          </w:tcPr>
          <w:p w14:paraId="0BA391E5" w14:textId="77777777" w:rsidR="00915A66" w:rsidRPr="00915A66" w:rsidRDefault="00915A66" w:rsidP="00915A66">
            <w:pPr>
              <w:jc w:val="center"/>
              <w:rPr>
                <w:rFonts w:ascii="Arial" w:hAnsi="Arial" w:cs="Arial"/>
                <w:iCs/>
                <w:color w:val="000000" w:themeColor="text1"/>
                <w:sz w:val="20"/>
                <w:szCs w:val="20"/>
              </w:rPr>
            </w:pPr>
          </w:p>
        </w:tc>
        <w:tc>
          <w:tcPr>
            <w:tcW w:w="2500" w:type="pct"/>
          </w:tcPr>
          <w:p w14:paraId="1D20B45E" w14:textId="41D399A4" w:rsidR="00915A66" w:rsidRPr="00915A66" w:rsidRDefault="00915A66" w:rsidP="00915A66">
            <w:pPr>
              <w:jc w:val="center"/>
              <w:rPr>
                <w:rFonts w:ascii="Arial" w:hAnsi="Arial" w:cs="Arial"/>
                <w:iCs/>
                <w:color w:val="000000" w:themeColor="text1"/>
                <w:sz w:val="20"/>
                <w:szCs w:val="20"/>
              </w:rPr>
            </w:pPr>
            <w:r w:rsidRPr="00915A66">
              <w:rPr>
                <w:rFonts w:ascii="Arial" w:hAnsi="Arial" w:cs="Arial"/>
                <w:b/>
                <w:bCs/>
                <w:color w:val="000000" w:themeColor="text1"/>
                <w:sz w:val="20"/>
                <w:szCs w:val="20"/>
              </w:rPr>
              <w:t>CHỦ TỊCH QUỐC HỘI</w:t>
            </w:r>
            <w:r w:rsidRPr="00915A66">
              <w:rPr>
                <w:rFonts w:ascii="Arial" w:hAnsi="Arial" w:cs="Arial"/>
                <w:b/>
                <w:bCs/>
                <w:color w:val="000000" w:themeColor="text1"/>
                <w:sz w:val="20"/>
                <w:szCs w:val="20"/>
              </w:rPr>
              <w:br/>
            </w:r>
            <w:r w:rsidRPr="00915A66">
              <w:rPr>
                <w:rFonts w:ascii="Arial" w:hAnsi="Arial" w:cs="Arial"/>
                <w:b/>
                <w:bCs/>
                <w:color w:val="000000" w:themeColor="text1"/>
                <w:sz w:val="20"/>
                <w:szCs w:val="20"/>
              </w:rPr>
              <w:br/>
            </w:r>
            <w:r w:rsidRPr="00915A66">
              <w:rPr>
                <w:rFonts w:ascii="Arial" w:hAnsi="Arial" w:cs="Arial"/>
                <w:b/>
                <w:color w:val="000000" w:themeColor="text1"/>
                <w:sz w:val="20"/>
                <w:szCs w:val="20"/>
              </w:rPr>
              <w:br/>
            </w:r>
            <w:r w:rsidRPr="00915A66">
              <w:rPr>
                <w:rFonts w:ascii="Arial" w:hAnsi="Arial" w:cs="Arial"/>
                <w:b/>
                <w:color w:val="000000" w:themeColor="text1"/>
                <w:sz w:val="20"/>
                <w:szCs w:val="20"/>
              </w:rPr>
              <w:br/>
            </w:r>
            <w:r w:rsidRPr="00915A66">
              <w:rPr>
                <w:rFonts w:ascii="Arial" w:hAnsi="Arial" w:cs="Arial"/>
                <w:b/>
                <w:color w:val="000000" w:themeColor="text1"/>
                <w:sz w:val="20"/>
                <w:szCs w:val="20"/>
              </w:rPr>
              <w:br/>
              <w:t>Trần Thanh Mẫn</w:t>
            </w:r>
          </w:p>
        </w:tc>
      </w:tr>
    </w:tbl>
    <w:p w14:paraId="3D9507BA" w14:textId="77777777" w:rsidR="00915A66" w:rsidRPr="00915A66" w:rsidRDefault="00915A66" w:rsidP="00915A66">
      <w:pPr>
        <w:spacing w:after="120" w:line="240" w:lineRule="auto"/>
        <w:jc w:val="both"/>
        <w:rPr>
          <w:rFonts w:ascii="Arial" w:hAnsi="Arial" w:cs="Arial"/>
          <w:color w:val="000000" w:themeColor="text1"/>
          <w:sz w:val="20"/>
          <w:szCs w:val="20"/>
        </w:rPr>
      </w:pPr>
    </w:p>
    <w:sectPr w:rsidR="00915A66" w:rsidRPr="00915A66" w:rsidSect="00915A6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15CC" w14:textId="77777777" w:rsidR="00F513D6" w:rsidRDefault="00F513D6">
      <w:pPr>
        <w:spacing w:after="0" w:line="240" w:lineRule="auto"/>
      </w:pPr>
      <w:r>
        <w:separator/>
      </w:r>
    </w:p>
  </w:endnote>
  <w:endnote w:type="continuationSeparator" w:id="0">
    <w:p w14:paraId="11D3E59B" w14:textId="77777777" w:rsidR="00F513D6" w:rsidRDefault="00F51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AC60" w14:textId="77777777" w:rsidR="00F513D6" w:rsidRDefault="00F513D6">
      <w:pPr>
        <w:spacing w:after="0" w:line="240" w:lineRule="auto"/>
      </w:pPr>
      <w:r>
        <w:separator/>
      </w:r>
    </w:p>
  </w:footnote>
  <w:footnote w:type="continuationSeparator" w:id="0">
    <w:p w14:paraId="7AD1FC3A" w14:textId="77777777" w:rsidR="00F513D6" w:rsidRDefault="00F513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F1"/>
    <w:rsid w:val="000352CB"/>
    <w:rsid w:val="001A5DF1"/>
    <w:rsid w:val="002E3AE0"/>
    <w:rsid w:val="005D2442"/>
    <w:rsid w:val="00915A66"/>
    <w:rsid w:val="009740C2"/>
    <w:rsid w:val="009A6912"/>
    <w:rsid w:val="009C5FE4"/>
    <w:rsid w:val="00DD49BE"/>
    <w:rsid w:val="00F51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BFC5"/>
  <w15:docId w15:val="{8AE138C1-741B-40B9-94B5-1BC0F5FA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A66"/>
  </w:style>
  <w:style w:type="paragraph" w:styleId="Footer">
    <w:name w:val="footer"/>
    <w:basedOn w:val="Normal"/>
    <w:link w:val="FooterChar"/>
    <w:uiPriority w:val="99"/>
    <w:unhideWhenUsed/>
    <w:rsid w:val="00915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A66"/>
  </w:style>
  <w:style w:type="table" w:styleId="TableGrid">
    <w:name w:val="Table Grid"/>
    <w:basedOn w:val="TableNormal"/>
    <w:uiPriority w:val="39"/>
    <w:rsid w:val="00915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4</cp:revision>
  <dcterms:created xsi:type="dcterms:W3CDTF">2026-08-31T05:15:00Z</dcterms:created>
  <dcterms:modified xsi:type="dcterms:W3CDTF">2026-09-03T02:47:00Z</dcterms:modified>
</cp:coreProperties>
</file>