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254"/>
        <w:gridCol w:w="4766"/>
      </w:tblGrid>
      <w:tr w:rsidR="00D20E1C" w:rsidRPr="00597990" w:rsidTr="00D20E1C">
        <w:tc>
          <w:tcPr>
            <w:tcW w:w="2358" w:type="pct"/>
            <w:shd w:val="clear" w:color="auto" w:fill="auto"/>
          </w:tcPr>
          <w:p w:rsidR="00D20E1C" w:rsidRPr="00D20E1C" w:rsidRDefault="00D20E1C" w:rsidP="0069270A">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QUỐC HỘI</w:t>
            </w:r>
          </w:p>
          <w:p w:rsidR="00D20E1C" w:rsidRPr="00D20E1C" w:rsidRDefault="00D20E1C" w:rsidP="0069270A">
            <w:pPr>
              <w:pStyle w:val="Vnbnnidung0"/>
              <w:spacing w:after="0"/>
              <w:ind w:firstLine="0"/>
              <w:jc w:val="center"/>
              <w:rPr>
                <w:rFonts w:ascii="Arial" w:hAnsi="Arial" w:cs="Arial"/>
                <w:bCs/>
                <w:sz w:val="20"/>
                <w:szCs w:val="20"/>
                <w:vertAlign w:val="superscript"/>
              </w:rPr>
            </w:pPr>
            <w:r w:rsidRPr="00D20E1C">
              <w:rPr>
                <w:rFonts w:ascii="Arial" w:hAnsi="Arial" w:cs="Arial"/>
                <w:bCs/>
                <w:sz w:val="20"/>
                <w:szCs w:val="20"/>
                <w:vertAlign w:val="superscript"/>
              </w:rPr>
              <w:t>_______</w:t>
            </w:r>
          </w:p>
          <w:p w:rsidR="00D20E1C" w:rsidRPr="00D20E1C" w:rsidRDefault="00D20E1C" w:rsidP="00D20E1C">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Nghị quyết số: 107/2023/QH15</w:t>
            </w:r>
          </w:p>
        </w:tc>
        <w:tc>
          <w:tcPr>
            <w:tcW w:w="2642" w:type="pct"/>
            <w:shd w:val="clear" w:color="auto" w:fill="auto"/>
          </w:tcPr>
          <w:p w:rsidR="00D20E1C" w:rsidRPr="00597990" w:rsidRDefault="00D20E1C" w:rsidP="0069270A">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20E1C" w:rsidRPr="00597990" w:rsidRDefault="00D20E1C" w:rsidP="0069270A">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20E1C" w:rsidRPr="00D20E1C" w:rsidRDefault="00D20E1C" w:rsidP="00D20E1C">
            <w:pPr>
              <w:pStyle w:val="Vnbnnidung0"/>
              <w:spacing w:after="0"/>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D20E1C" w:rsidRDefault="00D20E1C" w:rsidP="00D20E1C">
      <w:pPr>
        <w:pStyle w:val="Vnbnnidung0"/>
        <w:spacing w:after="0" w:line="240" w:lineRule="auto"/>
        <w:ind w:firstLine="0"/>
        <w:jc w:val="center"/>
        <w:rPr>
          <w:rFonts w:ascii="Arial" w:hAnsi="Arial" w:cs="Arial"/>
          <w:sz w:val="20"/>
          <w:szCs w:val="20"/>
        </w:rPr>
      </w:pPr>
    </w:p>
    <w:p w:rsidR="00D20E1C" w:rsidRDefault="00D20E1C" w:rsidP="00D20E1C">
      <w:pPr>
        <w:pStyle w:val="Vnbnnidung0"/>
        <w:spacing w:after="0" w:line="240" w:lineRule="auto"/>
        <w:ind w:firstLine="0"/>
        <w:jc w:val="center"/>
        <w:rPr>
          <w:rFonts w:ascii="Arial" w:hAnsi="Arial" w:cs="Arial"/>
          <w:sz w:val="20"/>
          <w:szCs w:val="20"/>
        </w:rPr>
      </w:pPr>
    </w:p>
    <w:p w:rsidR="005245CB" w:rsidRPr="00D20E1C" w:rsidRDefault="008F2865" w:rsidP="00D20E1C">
      <w:pPr>
        <w:pStyle w:val="Vnbnnidung0"/>
        <w:spacing w:after="0" w:line="240" w:lineRule="auto"/>
        <w:ind w:firstLine="0"/>
        <w:jc w:val="center"/>
        <w:rPr>
          <w:rFonts w:ascii="Arial" w:hAnsi="Arial" w:cs="Arial"/>
          <w:sz w:val="20"/>
          <w:szCs w:val="20"/>
        </w:rPr>
      </w:pPr>
      <w:r w:rsidRPr="00D20E1C">
        <w:rPr>
          <w:rFonts w:ascii="Arial" w:hAnsi="Arial" w:cs="Arial"/>
          <w:b/>
          <w:bCs/>
          <w:sz w:val="20"/>
          <w:szCs w:val="20"/>
        </w:rPr>
        <w:t>NGHỊ QUY</w:t>
      </w:r>
      <w:r w:rsidR="00D20E1C">
        <w:rPr>
          <w:rFonts w:ascii="Arial" w:hAnsi="Arial" w:cs="Arial"/>
          <w:b/>
          <w:bCs/>
          <w:sz w:val="20"/>
          <w:szCs w:val="20"/>
          <w:lang w:val="en-US"/>
        </w:rPr>
        <w:t>Ế</w:t>
      </w:r>
      <w:r w:rsidRPr="00D20E1C">
        <w:rPr>
          <w:rFonts w:ascii="Arial" w:hAnsi="Arial" w:cs="Arial"/>
          <w:b/>
          <w:bCs/>
          <w:sz w:val="20"/>
          <w:szCs w:val="20"/>
        </w:rPr>
        <w:t>T</w:t>
      </w:r>
    </w:p>
    <w:p w:rsidR="00D20E1C" w:rsidRDefault="008F2865" w:rsidP="00D20E1C">
      <w:pPr>
        <w:pStyle w:val="Vnbnnidung0"/>
        <w:spacing w:after="0" w:line="240" w:lineRule="auto"/>
        <w:ind w:firstLine="0"/>
        <w:jc w:val="center"/>
        <w:rPr>
          <w:rFonts w:ascii="Arial" w:hAnsi="Arial" w:cs="Arial"/>
          <w:b/>
          <w:bCs/>
          <w:sz w:val="20"/>
          <w:szCs w:val="20"/>
        </w:rPr>
      </w:pPr>
      <w:r w:rsidRPr="00D20E1C">
        <w:rPr>
          <w:rFonts w:ascii="Arial" w:hAnsi="Arial" w:cs="Arial"/>
          <w:b/>
          <w:bCs/>
          <w:sz w:val="20"/>
          <w:szCs w:val="20"/>
        </w:rPr>
        <w:t>V</w:t>
      </w:r>
      <w:r w:rsidR="00D20E1C">
        <w:rPr>
          <w:rFonts w:ascii="Arial" w:hAnsi="Arial" w:cs="Arial"/>
          <w:b/>
          <w:bCs/>
          <w:sz w:val="20"/>
          <w:szCs w:val="20"/>
          <w:lang w:val="en-US"/>
        </w:rPr>
        <w:t>ề</w:t>
      </w:r>
      <w:r w:rsidRPr="00D20E1C">
        <w:rPr>
          <w:rFonts w:ascii="Arial" w:hAnsi="Arial" w:cs="Arial"/>
          <w:b/>
          <w:bCs/>
          <w:sz w:val="20"/>
          <w:szCs w:val="20"/>
        </w:rPr>
        <w:t xml:space="preserve"> việc áp dụng </w:t>
      </w:r>
      <w:r w:rsidR="00D20E1C">
        <w:rPr>
          <w:rFonts w:ascii="Arial" w:hAnsi="Arial" w:cs="Arial"/>
          <w:b/>
          <w:bCs/>
          <w:sz w:val="20"/>
          <w:szCs w:val="20"/>
          <w:lang w:val="en-US"/>
        </w:rPr>
        <w:t xml:space="preserve">thuế </w:t>
      </w:r>
      <w:r w:rsidR="00D20E1C">
        <w:rPr>
          <w:rFonts w:ascii="Arial" w:hAnsi="Arial" w:cs="Arial"/>
          <w:b/>
          <w:bCs/>
          <w:sz w:val="20"/>
          <w:szCs w:val="20"/>
        </w:rPr>
        <w:t>thu nhập doanh nghiệp bổ sung</w:t>
      </w:r>
    </w:p>
    <w:p w:rsidR="005245CB" w:rsidRDefault="00D20E1C" w:rsidP="00D20E1C">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theo quy định chống xói mòn cơ sở thuế toàn cầ</w:t>
      </w:r>
      <w:r w:rsidR="008F2865" w:rsidRPr="00D20E1C">
        <w:rPr>
          <w:rFonts w:ascii="Arial" w:hAnsi="Arial" w:cs="Arial"/>
          <w:b/>
          <w:bCs/>
          <w:sz w:val="20"/>
          <w:szCs w:val="20"/>
        </w:rPr>
        <w:t>u</w:t>
      </w:r>
    </w:p>
    <w:p w:rsidR="00D20E1C" w:rsidRPr="00D20E1C" w:rsidRDefault="00D20E1C" w:rsidP="00D20E1C">
      <w:pPr>
        <w:pStyle w:val="Vnbnnidung0"/>
        <w:spacing w:after="0" w:line="240" w:lineRule="auto"/>
        <w:ind w:firstLine="0"/>
        <w:jc w:val="center"/>
        <w:rPr>
          <w:rFonts w:ascii="Arial" w:hAnsi="Arial" w:cs="Arial"/>
          <w:sz w:val="20"/>
          <w:szCs w:val="20"/>
          <w:vertAlign w:val="superscript"/>
          <w:lang w:val="en-US"/>
        </w:rPr>
      </w:pPr>
      <w:r w:rsidRPr="00D20E1C">
        <w:rPr>
          <w:rFonts w:ascii="Arial" w:hAnsi="Arial" w:cs="Arial"/>
          <w:sz w:val="20"/>
          <w:szCs w:val="20"/>
          <w:vertAlign w:val="superscript"/>
          <w:lang w:val="en-US"/>
        </w:rPr>
        <w:t>___________</w:t>
      </w:r>
    </w:p>
    <w:p w:rsidR="005245CB" w:rsidRDefault="008F2865" w:rsidP="00D20E1C">
      <w:pPr>
        <w:pStyle w:val="Vnbnnidung0"/>
        <w:spacing w:after="0" w:line="240" w:lineRule="auto"/>
        <w:ind w:firstLine="0"/>
        <w:jc w:val="center"/>
        <w:rPr>
          <w:rFonts w:ascii="Arial" w:hAnsi="Arial" w:cs="Arial"/>
          <w:b/>
          <w:bCs/>
          <w:sz w:val="20"/>
          <w:szCs w:val="20"/>
        </w:rPr>
      </w:pPr>
      <w:r w:rsidRPr="00D20E1C">
        <w:rPr>
          <w:rFonts w:ascii="Arial" w:hAnsi="Arial" w:cs="Arial"/>
          <w:b/>
          <w:bCs/>
          <w:sz w:val="20"/>
          <w:szCs w:val="20"/>
        </w:rPr>
        <w:t>QUỐC HỘI</w:t>
      </w:r>
    </w:p>
    <w:p w:rsidR="00D20E1C" w:rsidRPr="00D20E1C" w:rsidRDefault="00D20E1C" w:rsidP="00D20E1C">
      <w:pPr>
        <w:pStyle w:val="Vnbnnidung0"/>
        <w:spacing w:after="0" w:line="240" w:lineRule="auto"/>
        <w:ind w:firstLine="0"/>
        <w:jc w:val="center"/>
        <w:rPr>
          <w:rFonts w:ascii="Arial" w:hAnsi="Arial" w:cs="Arial"/>
          <w:sz w:val="20"/>
          <w:szCs w:val="20"/>
        </w:rPr>
      </w:pPr>
    </w:p>
    <w:p w:rsidR="005245CB" w:rsidRPr="00D20E1C" w:rsidRDefault="008F2865" w:rsidP="00D20E1C">
      <w:pPr>
        <w:pStyle w:val="Vnbnnidung0"/>
        <w:spacing w:after="120" w:line="240" w:lineRule="auto"/>
        <w:ind w:firstLine="720"/>
        <w:jc w:val="both"/>
        <w:rPr>
          <w:rFonts w:ascii="Arial" w:hAnsi="Arial" w:cs="Arial"/>
          <w:sz w:val="20"/>
          <w:szCs w:val="20"/>
        </w:rPr>
      </w:pPr>
      <w:r w:rsidRPr="00D20E1C">
        <w:rPr>
          <w:rFonts w:ascii="Arial" w:hAnsi="Arial" w:cs="Arial"/>
          <w:i/>
          <w:iCs/>
          <w:sz w:val="20"/>
          <w:szCs w:val="20"/>
        </w:rPr>
        <w:t>Căn cứ Hiến pháp nước Cộng hòa xã hội chủ nghĩa Việt Nam;</w:t>
      </w:r>
    </w:p>
    <w:p w:rsidR="005245CB" w:rsidRPr="00D20E1C" w:rsidRDefault="008F2865" w:rsidP="00D20E1C">
      <w:pPr>
        <w:pStyle w:val="Vnbnnidung0"/>
        <w:spacing w:after="120" w:line="240" w:lineRule="auto"/>
        <w:ind w:firstLine="720"/>
        <w:jc w:val="both"/>
        <w:rPr>
          <w:rFonts w:ascii="Arial" w:hAnsi="Arial" w:cs="Arial"/>
          <w:sz w:val="20"/>
          <w:szCs w:val="20"/>
        </w:rPr>
      </w:pPr>
      <w:r w:rsidRPr="00D20E1C">
        <w:rPr>
          <w:rFonts w:ascii="Arial" w:hAnsi="Arial" w:cs="Arial"/>
          <w:i/>
          <w:iCs/>
          <w:sz w:val="20"/>
          <w:szCs w:val="20"/>
        </w:rPr>
        <w:t xml:space="preserve">Căn cứ Luật Tổ chức Quốc hội số 57/2014/QH13 đã được sửa </w:t>
      </w:r>
      <w:r w:rsidR="00102F1B">
        <w:rPr>
          <w:rFonts w:ascii="Arial" w:hAnsi="Arial" w:cs="Arial"/>
          <w:i/>
          <w:iCs/>
          <w:sz w:val="20"/>
          <w:szCs w:val="20"/>
          <w:lang w:val="en-US"/>
        </w:rPr>
        <w:t>đổi</w:t>
      </w:r>
      <w:r w:rsidRPr="00D20E1C">
        <w:rPr>
          <w:rFonts w:ascii="Arial" w:hAnsi="Arial" w:cs="Arial"/>
          <w:i/>
          <w:iCs/>
          <w:sz w:val="20"/>
          <w:szCs w:val="20"/>
        </w:rPr>
        <w:t xml:space="preserve">, </w:t>
      </w:r>
      <w:r w:rsidR="00102F1B">
        <w:rPr>
          <w:rFonts w:ascii="Arial" w:hAnsi="Arial" w:cs="Arial"/>
          <w:i/>
          <w:iCs/>
          <w:sz w:val="20"/>
          <w:szCs w:val="20"/>
          <w:lang w:val="en-US"/>
        </w:rPr>
        <w:t>bổ</w:t>
      </w:r>
      <w:r w:rsidRPr="00D20E1C">
        <w:rPr>
          <w:rFonts w:ascii="Arial" w:hAnsi="Arial" w:cs="Arial"/>
          <w:i/>
          <w:iCs/>
          <w:sz w:val="20"/>
          <w:szCs w:val="20"/>
        </w:rPr>
        <w:t xml:space="preserve"> sung một số điều theo Luật </w:t>
      </w:r>
      <w:r w:rsidR="00102F1B">
        <w:rPr>
          <w:rFonts w:ascii="Arial" w:hAnsi="Arial" w:cs="Arial"/>
          <w:i/>
          <w:iCs/>
          <w:sz w:val="20"/>
          <w:szCs w:val="20"/>
          <w:lang w:val="en-US"/>
        </w:rPr>
        <w:t>số</w:t>
      </w:r>
      <w:r w:rsidRPr="00D20E1C">
        <w:rPr>
          <w:rFonts w:ascii="Arial" w:hAnsi="Arial" w:cs="Arial"/>
          <w:i/>
          <w:iCs/>
          <w:sz w:val="20"/>
          <w:szCs w:val="20"/>
        </w:rPr>
        <w:t xml:space="preserve"> 65/2020/QH14;</w:t>
      </w:r>
    </w:p>
    <w:p w:rsidR="005245CB" w:rsidRDefault="008F2865" w:rsidP="00102F1B">
      <w:pPr>
        <w:pStyle w:val="Vnbnnidung0"/>
        <w:spacing w:after="0" w:line="240" w:lineRule="auto"/>
        <w:ind w:firstLine="720"/>
        <w:jc w:val="both"/>
        <w:rPr>
          <w:rFonts w:ascii="Arial" w:hAnsi="Arial" w:cs="Arial"/>
          <w:i/>
          <w:iCs/>
          <w:sz w:val="20"/>
          <w:szCs w:val="20"/>
        </w:rPr>
      </w:pPr>
      <w:r w:rsidRPr="00D20E1C">
        <w:rPr>
          <w:rFonts w:ascii="Arial" w:hAnsi="Arial" w:cs="Arial"/>
          <w:i/>
          <w:iCs/>
          <w:sz w:val="20"/>
          <w:szCs w:val="20"/>
        </w:rPr>
        <w:t xml:space="preserve">Căn cứ Luật Ban hành văn bản quy phạm pháp luật </w:t>
      </w:r>
      <w:r w:rsidR="00102F1B">
        <w:rPr>
          <w:rFonts w:ascii="Arial" w:hAnsi="Arial" w:cs="Arial"/>
          <w:i/>
          <w:iCs/>
          <w:sz w:val="20"/>
          <w:szCs w:val="20"/>
          <w:lang w:val="en-US"/>
        </w:rPr>
        <w:t>số</w:t>
      </w:r>
      <w:r w:rsidRPr="00D20E1C">
        <w:rPr>
          <w:rFonts w:ascii="Arial" w:hAnsi="Arial" w:cs="Arial"/>
          <w:i/>
          <w:iCs/>
          <w:sz w:val="20"/>
          <w:szCs w:val="20"/>
        </w:rPr>
        <w:t xml:space="preserve"> 80/2015/QH13 đã được sửa đổi, bổ sung một số điều theo Luật số 63/2020/QH14;</w:t>
      </w:r>
    </w:p>
    <w:p w:rsidR="00102F1B" w:rsidRPr="00D20E1C" w:rsidRDefault="00102F1B" w:rsidP="00102F1B">
      <w:pPr>
        <w:pStyle w:val="Vnbnnidung0"/>
        <w:spacing w:after="0" w:line="240" w:lineRule="auto"/>
        <w:ind w:firstLine="720"/>
        <w:jc w:val="both"/>
        <w:rPr>
          <w:rFonts w:ascii="Arial" w:hAnsi="Arial" w:cs="Arial"/>
          <w:sz w:val="20"/>
          <w:szCs w:val="20"/>
        </w:rPr>
      </w:pPr>
    </w:p>
    <w:p w:rsidR="005245CB" w:rsidRDefault="00102F1B" w:rsidP="00102F1B">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w:t>
      </w:r>
      <w:r>
        <w:rPr>
          <w:rFonts w:ascii="Arial" w:hAnsi="Arial" w:cs="Arial"/>
          <w:b/>
          <w:bCs/>
          <w:sz w:val="20"/>
          <w:szCs w:val="20"/>
          <w:lang w:val="en-US"/>
        </w:rPr>
        <w:t>Ế</w:t>
      </w:r>
      <w:r w:rsidR="008F2865" w:rsidRPr="00D20E1C">
        <w:rPr>
          <w:rFonts w:ascii="Arial" w:hAnsi="Arial" w:cs="Arial"/>
          <w:b/>
          <w:bCs/>
          <w:sz w:val="20"/>
          <w:szCs w:val="20"/>
        </w:rPr>
        <w:t>T NGHỊ:</w:t>
      </w:r>
    </w:p>
    <w:p w:rsidR="00102F1B" w:rsidRPr="00D20E1C" w:rsidRDefault="00102F1B" w:rsidP="00102F1B">
      <w:pPr>
        <w:pStyle w:val="Vnbnnidung0"/>
        <w:spacing w:after="0" w:line="240" w:lineRule="auto"/>
        <w:ind w:firstLine="0"/>
        <w:jc w:val="center"/>
        <w:rPr>
          <w:rFonts w:ascii="Arial" w:hAnsi="Arial" w:cs="Arial"/>
          <w:sz w:val="20"/>
          <w:szCs w:val="20"/>
        </w:rPr>
      </w:pP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b/>
          <w:bCs/>
          <w:sz w:val="20"/>
          <w:szCs w:val="20"/>
        </w:rPr>
        <w:t>Điều 1. Phạm vi điều chỉnh</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Nghị quyết này quy định việc áp dụng thuế thu nhập doanh nghiệp bổ sung đối với người nộp thuế theo quy định chống xói mòn cơ sở thuế toàn cầu.</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b/>
          <w:bCs/>
          <w:sz w:val="20"/>
          <w:szCs w:val="20"/>
        </w:rPr>
        <w:t>Điều 2. Người nộp thuế</w:t>
      </w:r>
    </w:p>
    <w:p w:rsidR="005245CB" w:rsidRPr="00D20E1C" w:rsidRDefault="00CC1BAE" w:rsidP="007D45AE">
      <w:pPr>
        <w:pStyle w:val="Vnbnnidung0"/>
        <w:tabs>
          <w:tab w:val="left" w:pos="1104"/>
        </w:tabs>
        <w:spacing w:after="120" w:line="240" w:lineRule="auto"/>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008F2865" w:rsidRPr="00D20E1C">
        <w:rPr>
          <w:rFonts w:ascii="Arial" w:hAnsi="Arial" w:cs="Arial"/>
          <w:sz w:val="20"/>
          <w:szCs w:val="20"/>
        </w:rPr>
        <w:t>Đơn vị hợp thành của tập đoàn đa quốc gia có doanh thu trong báo cáo tài chính hợp nhất của công ty mẹ tối cao ít nhất 02 năm trong 04 năm liền kề trước năm tài chính tương đương 750 triệu euro (EUR) trở lên, trừ các trường hợp sau đây:</w:t>
      </w:r>
    </w:p>
    <w:p w:rsidR="005245CB" w:rsidRPr="00D20E1C" w:rsidRDefault="00CC1BAE" w:rsidP="007D45AE">
      <w:pPr>
        <w:pStyle w:val="Vnbnnidung0"/>
        <w:tabs>
          <w:tab w:val="left" w:pos="1179"/>
        </w:tabs>
        <w:spacing w:after="120" w:line="240" w:lineRule="auto"/>
        <w:ind w:firstLine="720"/>
        <w:jc w:val="both"/>
        <w:rPr>
          <w:rFonts w:ascii="Arial" w:hAnsi="Arial" w:cs="Arial"/>
          <w:sz w:val="20"/>
          <w:szCs w:val="20"/>
        </w:rPr>
      </w:pPr>
      <w:bookmarkStart w:id="1" w:name="bookmark1"/>
      <w:bookmarkEnd w:id="1"/>
      <w:r>
        <w:rPr>
          <w:rFonts w:ascii="Arial" w:hAnsi="Arial" w:cs="Arial"/>
          <w:sz w:val="20"/>
          <w:szCs w:val="20"/>
          <w:lang w:val="en-US"/>
        </w:rPr>
        <w:t xml:space="preserve">a) </w:t>
      </w:r>
      <w:r w:rsidR="008F2865" w:rsidRPr="00D20E1C">
        <w:rPr>
          <w:rFonts w:ascii="Arial" w:hAnsi="Arial" w:cs="Arial"/>
          <w:sz w:val="20"/>
          <w:szCs w:val="20"/>
        </w:rPr>
        <w:t>Tổ chức của chính phủ;</w:t>
      </w:r>
    </w:p>
    <w:p w:rsidR="005245CB" w:rsidRPr="00D20E1C" w:rsidRDefault="00CC1BAE" w:rsidP="007D45AE">
      <w:pPr>
        <w:pStyle w:val="Vnbnnidung0"/>
        <w:tabs>
          <w:tab w:val="left" w:pos="1198"/>
        </w:tabs>
        <w:spacing w:after="120" w:line="240" w:lineRule="auto"/>
        <w:ind w:firstLine="720"/>
        <w:jc w:val="both"/>
        <w:rPr>
          <w:rFonts w:ascii="Arial" w:hAnsi="Arial" w:cs="Arial"/>
          <w:sz w:val="20"/>
          <w:szCs w:val="20"/>
        </w:rPr>
      </w:pPr>
      <w:bookmarkStart w:id="2" w:name="bookmark2"/>
      <w:bookmarkEnd w:id="2"/>
      <w:r>
        <w:rPr>
          <w:rFonts w:ascii="Arial" w:hAnsi="Arial" w:cs="Arial"/>
          <w:sz w:val="20"/>
          <w:szCs w:val="20"/>
          <w:lang w:val="en-US"/>
        </w:rPr>
        <w:t xml:space="preserve">b) </w:t>
      </w:r>
      <w:r w:rsidR="008F2865" w:rsidRPr="00D20E1C">
        <w:rPr>
          <w:rFonts w:ascii="Arial" w:hAnsi="Arial" w:cs="Arial"/>
          <w:sz w:val="20"/>
          <w:szCs w:val="20"/>
        </w:rPr>
        <w:t>Tổ chức quốc tế;</w:t>
      </w:r>
    </w:p>
    <w:p w:rsidR="005245CB" w:rsidRPr="00D20E1C" w:rsidRDefault="00CC1BAE" w:rsidP="007D45AE">
      <w:pPr>
        <w:pStyle w:val="Vnbnnidung0"/>
        <w:tabs>
          <w:tab w:val="left" w:pos="1198"/>
        </w:tabs>
        <w:spacing w:after="120" w:line="240" w:lineRule="auto"/>
        <w:ind w:firstLine="720"/>
        <w:jc w:val="both"/>
        <w:rPr>
          <w:rFonts w:ascii="Arial" w:hAnsi="Arial" w:cs="Arial"/>
          <w:sz w:val="20"/>
          <w:szCs w:val="20"/>
        </w:rPr>
      </w:pPr>
      <w:bookmarkStart w:id="3" w:name="bookmark3"/>
      <w:bookmarkEnd w:id="3"/>
      <w:r>
        <w:rPr>
          <w:rFonts w:ascii="Arial" w:hAnsi="Arial" w:cs="Arial"/>
          <w:sz w:val="20"/>
          <w:szCs w:val="20"/>
          <w:lang w:val="en-US"/>
        </w:rPr>
        <w:t xml:space="preserve">c) </w:t>
      </w:r>
      <w:r w:rsidR="008F2865" w:rsidRPr="00D20E1C">
        <w:rPr>
          <w:rFonts w:ascii="Arial" w:hAnsi="Arial" w:cs="Arial"/>
          <w:sz w:val="20"/>
          <w:szCs w:val="20"/>
        </w:rPr>
        <w:t>Tổ chức phi lợi nhuận;</w:t>
      </w:r>
    </w:p>
    <w:p w:rsidR="005245CB" w:rsidRPr="00D20E1C" w:rsidRDefault="00CC1BAE" w:rsidP="007D45AE">
      <w:pPr>
        <w:pStyle w:val="Vnbnnidung0"/>
        <w:tabs>
          <w:tab w:val="left" w:pos="1204"/>
        </w:tabs>
        <w:spacing w:after="120" w:line="240" w:lineRule="auto"/>
        <w:ind w:firstLine="720"/>
        <w:jc w:val="both"/>
        <w:rPr>
          <w:rFonts w:ascii="Arial" w:hAnsi="Arial" w:cs="Arial"/>
          <w:sz w:val="20"/>
          <w:szCs w:val="20"/>
        </w:rPr>
      </w:pPr>
      <w:bookmarkStart w:id="4" w:name="bookmark4"/>
      <w:bookmarkEnd w:id="4"/>
      <w:r>
        <w:rPr>
          <w:rFonts w:ascii="Arial" w:hAnsi="Arial" w:cs="Arial"/>
          <w:sz w:val="20"/>
          <w:szCs w:val="20"/>
          <w:lang w:val="en-US"/>
        </w:rPr>
        <w:t xml:space="preserve">d) </w:t>
      </w:r>
      <w:r w:rsidR="008F2865" w:rsidRPr="00D20E1C">
        <w:rPr>
          <w:rFonts w:ascii="Arial" w:hAnsi="Arial" w:cs="Arial"/>
          <w:sz w:val="20"/>
          <w:szCs w:val="20"/>
        </w:rPr>
        <w:t>Quỹ hưu trí;</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đ) Quỹ đầu tư là công ty mẹ tối cao;</w:t>
      </w:r>
    </w:p>
    <w:p w:rsidR="005245CB" w:rsidRPr="00D20E1C" w:rsidRDefault="00CC1BAE" w:rsidP="007D45AE">
      <w:pPr>
        <w:pStyle w:val="Vnbnnidung0"/>
        <w:tabs>
          <w:tab w:val="left" w:pos="1204"/>
        </w:tabs>
        <w:spacing w:after="120" w:line="240" w:lineRule="auto"/>
        <w:ind w:firstLine="720"/>
        <w:jc w:val="both"/>
        <w:rPr>
          <w:rFonts w:ascii="Arial" w:hAnsi="Arial" w:cs="Arial"/>
          <w:sz w:val="20"/>
          <w:szCs w:val="20"/>
        </w:rPr>
      </w:pPr>
      <w:bookmarkStart w:id="5" w:name="bookmark5"/>
      <w:bookmarkEnd w:id="5"/>
      <w:r>
        <w:rPr>
          <w:rFonts w:ascii="Arial" w:hAnsi="Arial" w:cs="Arial"/>
          <w:sz w:val="20"/>
          <w:szCs w:val="20"/>
          <w:lang w:val="en-US"/>
        </w:rPr>
        <w:t xml:space="preserve">e) </w:t>
      </w:r>
      <w:r w:rsidR="008F2865" w:rsidRPr="00D20E1C">
        <w:rPr>
          <w:rFonts w:ascii="Arial" w:hAnsi="Arial" w:cs="Arial"/>
          <w:sz w:val="20"/>
          <w:szCs w:val="20"/>
        </w:rPr>
        <w:t>Tổ chức đầu tư bất động sản là công ty mẹ tối cao;</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g) Tổ chức có ít nhất 85% giá trị tài sản thuộc sở hữu trực tiếp hoặc gián tiếp thông qua các tổ chức quy định từ điểm a đến điểm e khoản này.</w:t>
      </w:r>
    </w:p>
    <w:p w:rsidR="005245CB" w:rsidRPr="00D20E1C" w:rsidRDefault="00CC1BAE" w:rsidP="007D45AE">
      <w:pPr>
        <w:pStyle w:val="Vnbnnidung0"/>
        <w:tabs>
          <w:tab w:val="left" w:pos="1168"/>
        </w:tabs>
        <w:spacing w:after="120" w:line="240" w:lineRule="auto"/>
        <w:ind w:firstLine="720"/>
        <w:jc w:val="both"/>
        <w:rPr>
          <w:rFonts w:ascii="Arial" w:hAnsi="Arial" w:cs="Arial"/>
          <w:sz w:val="20"/>
          <w:szCs w:val="20"/>
        </w:rPr>
      </w:pPr>
      <w:bookmarkStart w:id="6" w:name="bookmark6"/>
      <w:bookmarkEnd w:id="6"/>
      <w:r>
        <w:rPr>
          <w:rFonts w:ascii="Arial" w:hAnsi="Arial" w:cs="Arial"/>
          <w:sz w:val="20"/>
          <w:szCs w:val="20"/>
          <w:lang w:val="en-US"/>
        </w:rPr>
        <w:t xml:space="preserve">2. </w:t>
      </w:r>
      <w:r w:rsidR="008F2865" w:rsidRPr="00D20E1C">
        <w:rPr>
          <w:rFonts w:ascii="Arial" w:hAnsi="Arial" w:cs="Arial"/>
          <w:sz w:val="20"/>
          <w:szCs w:val="20"/>
        </w:rPr>
        <w:t>Chính phủ quy định chi tiết Điều này.</w:t>
      </w:r>
    </w:p>
    <w:p w:rsidR="005245CB" w:rsidRPr="00CC1BAE" w:rsidRDefault="008F2865" w:rsidP="007D45AE">
      <w:pPr>
        <w:pStyle w:val="Vnbnnidung0"/>
        <w:spacing w:after="120" w:line="240" w:lineRule="auto"/>
        <w:ind w:firstLine="720"/>
        <w:jc w:val="both"/>
        <w:rPr>
          <w:rFonts w:ascii="Arial" w:hAnsi="Arial" w:cs="Arial"/>
          <w:sz w:val="20"/>
          <w:szCs w:val="20"/>
          <w:lang w:val="en-US"/>
        </w:rPr>
      </w:pPr>
      <w:r w:rsidRPr="00D20E1C">
        <w:rPr>
          <w:rFonts w:ascii="Arial" w:hAnsi="Arial" w:cs="Arial"/>
          <w:b/>
          <w:bCs/>
          <w:sz w:val="20"/>
          <w:szCs w:val="20"/>
        </w:rPr>
        <w:t xml:space="preserve">Điều 3. Giải thích từ </w:t>
      </w:r>
      <w:r w:rsidR="00CC1BAE">
        <w:rPr>
          <w:rFonts w:ascii="Arial" w:hAnsi="Arial" w:cs="Arial"/>
          <w:b/>
          <w:bCs/>
          <w:sz w:val="20"/>
          <w:szCs w:val="20"/>
          <w:lang w:val="en-US"/>
        </w:rPr>
        <w:t>ngữ</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Trong Nghị quyết này, các từ ngữ dưới đây được hiểu như sau:</w:t>
      </w:r>
    </w:p>
    <w:p w:rsidR="005245CB" w:rsidRPr="00D20E1C" w:rsidRDefault="00745CD4" w:rsidP="007D45AE">
      <w:pPr>
        <w:pStyle w:val="Vnbnnidung0"/>
        <w:tabs>
          <w:tab w:val="left" w:pos="1118"/>
        </w:tabs>
        <w:spacing w:after="120" w:line="240" w:lineRule="auto"/>
        <w:ind w:firstLine="720"/>
        <w:jc w:val="both"/>
        <w:rPr>
          <w:rFonts w:ascii="Arial" w:hAnsi="Arial" w:cs="Arial"/>
          <w:sz w:val="20"/>
          <w:szCs w:val="20"/>
        </w:rPr>
      </w:pPr>
      <w:bookmarkStart w:id="7" w:name="bookmark7"/>
      <w:bookmarkEnd w:id="7"/>
      <w:r w:rsidRPr="00745CD4">
        <w:rPr>
          <w:rFonts w:ascii="Arial" w:hAnsi="Arial" w:cs="Arial"/>
          <w:iCs/>
          <w:sz w:val="20"/>
          <w:szCs w:val="20"/>
          <w:lang w:val="en-US"/>
        </w:rPr>
        <w:t>1.</w:t>
      </w:r>
      <w:r>
        <w:rPr>
          <w:rFonts w:ascii="Arial" w:hAnsi="Arial" w:cs="Arial"/>
          <w:i/>
          <w:iCs/>
          <w:sz w:val="20"/>
          <w:szCs w:val="20"/>
          <w:lang w:val="en-US"/>
        </w:rPr>
        <w:t xml:space="preserve"> </w:t>
      </w:r>
      <w:r w:rsidR="008F2865" w:rsidRPr="00D20E1C">
        <w:rPr>
          <w:rFonts w:ascii="Arial" w:hAnsi="Arial" w:cs="Arial"/>
          <w:i/>
          <w:iCs/>
          <w:sz w:val="20"/>
          <w:szCs w:val="20"/>
        </w:rPr>
        <w:t>Quy định chống xói mòn cơ sở thuế toàn cầu</w:t>
      </w:r>
      <w:r w:rsidR="008F2865" w:rsidRPr="00D20E1C">
        <w:rPr>
          <w:rFonts w:ascii="Arial" w:hAnsi="Arial" w:cs="Arial"/>
          <w:sz w:val="20"/>
          <w:szCs w:val="20"/>
        </w:rPr>
        <w:t xml:space="preserve"> là các quy định tại Nghị quyết này và các quy định của Chính phủ phù hợp với bộ quy định về thuế tối thiểu toàn cầu của Diễn đàn hợp tác chung về chống xói mòn cơ sở thuế và chuyển lợi nhuận toàn cầu mà Việt Nam là thành viên (sau đây gọi là Quy định về thuế tối thiểu toàn cầu).</w:t>
      </w:r>
    </w:p>
    <w:p w:rsidR="005245CB" w:rsidRPr="00D20E1C" w:rsidRDefault="00745CD4" w:rsidP="007D45AE">
      <w:pPr>
        <w:pStyle w:val="Vnbnnidung0"/>
        <w:tabs>
          <w:tab w:val="left" w:pos="1174"/>
        </w:tabs>
        <w:spacing w:after="120" w:line="240" w:lineRule="auto"/>
        <w:ind w:firstLine="720"/>
        <w:jc w:val="both"/>
        <w:rPr>
          <w:rFonts w:ascii="Arial" w:hAnsi="Arial" w:cs="Arial"/>
          <w:sz w:val="20"/>
          <w:szCs w:val="20"/>
        </w:rPr>
      </w:pPr>
      <w:bookmarkStart w:id="8" w:name="bookmark8"/>
      <w:bookmarkEnd w:id="8"/>
      <w:r w:rsidRPr="00745CD4">
        <w:rPr>
          <w:rFonts w:ascii="Arial" w:hAnsi="Arial" w:cs="Arial"/>
          <w:iCs/>
          <w:sz w:val="20"/>
          <w:szCs w:val="20"/>
          <w:lang w:val="en-US"/>
        </w:rPr>
        <w:t>2.</w:t>
      </w:r>
      <w:r>
        <w:rPr>
          <w:rFonts w:ascii="Arial" w:hAnsi="Arial" w:cs="Arial"/>
          <w:i/>
          <w:iCs/>
          <w:sz w:val="20"/>
          <w:szCs w:val="20"/>
          <w:lang w:val="en-US"/>
        </w:rPr>
        <w:t xml:space="preserve"> </w:t>
      </w:r>
      <w:r w:rsidR="008F2865" w:rsidRPr="00D20E1C">
        <w:rPr>
          <w:rFonts w:ascii="Arial" w:hAnsi="Arial" w:cs="Arial"/>
          <w:i/>
          <w:iCs/>
          <w:sz w:val="20"/>
          <w:szCs w:val="20"/>
        </w:rPr>
        <w:t>Tập đoàn</w:t>
      </w:r>
      <w:r w:rsidR="008F2865" w:rsidRPr="00D20E1C">
        <w:rPr>
          <w:rFonts w:ascii="Arial" w:hAnsi="Arial" w:cs="Arial"/>
          <w:sz w:val="20"/>
          <w:szCs w:val="20"/>
        </w:rPr>
        <w:t xml:space="preserve"> là một trong các trường hợp sau đây:</w:t>
      </w:r>
    </w:p>
    <w:p w:rsidR="005245CB" w:rsidRPr="00D20E1C" w:rsidRDefault="00745CD4" w:rsidP="007D45AE">
      <w:pPr>
        <w:pStyle w:val="Vnbnnidung0"/>
        <w:tabs>
          <w:tab w:val="left" w:pos="1154"/>
        </w:tabs>
        <w:spacing w:after="120" w:line="240" w:lineRule="auto"/>
        <w:ind w:firstLine="720"/>
        <w:jc w:val="both"/>
        <w:rPr>
          <w:rFonts w:ascii="Arial" w:hAnsi="Arial" w:cs="Arial"/>
          <w:sz w:val="20"/>
          <w:szCs w:val="20"/>
        </w:rPr>
      </w:pPr>
      <w:bookmarkStart w:id="9" w:name="bookmark9"/>
      <w:bookmarkEnd w:id="9"/>
      <w:r>
        <w:rPr>
          <w:rFonts w:ascii="Arial" w:hAnsi="Arial" w:cs="Arial"/>
          <w:sz w:val="20"/>
          <w:szCs w:val="20"/>
          <w:lang w:val="en-US"/>
        </w:rPr>
        <w:t xml:space="preserve">a) </w:t>
      </w:r>
      <w:r w:rsidR="008F2865" w:rsidRPr="00D20E1C">
        <w:rPr>
          <w:rFonts w:ascii="Arial" w:hAnsi="Arial" w:cs="Arial"/>
          <w:sz w:val="20"/>
          <w:szCs w:val="20"/>
        </w:rPr>
        <w:t>Tập hợp các công ty, tổ chức có mối quan hệ liên kết thông qua việc sở hữu hoặc kiểm soát, theo đó các loại tài sản, nợ phải trả, thu nhập, chi phí và lưu chuyển tiền tệ của các công ty, tổ chức đó được đưa vào báo cáo tài chính hợp nhất của công ty mẹ tối cao và các công ty, tổ chức được loại trừ khỏi báo cáo tài chính hợp nhất do quy mô, yếu tố trọng yếu hoặc được nắm giữ để bán;</w:t>
      </w:r>
    </w:p>
    <w:p w:rsidR="005245CB" w:rsidRPr="00D20E1C" w:rsidRDefault="00745CD4" w:rsidP="007D45AE">
      <w:pPr>
        <w:pStyle w:val="Vnbnnidung0"/>
        <w:tabs>
          <w:tab w:val="left" w:pos="1165"/>
        </w:tabs>
        <w:spacing w:after="120" w:line="240" w:lineRule="auto"/>
        <w:ind w:firstLine="720"/>
        <w:jc w:val="both"/>
        <w:rPr>
          <w:rFonts w:ascii="Arial" w:hAnsi="Arial" w:cs="Arial"/>
          <w:sz w:val="20"/>
          <w:szCs w:val="20"/>
        </w:rPr>
      </w:pPr>
      <w:bookmarkStart w:id="10" w:name="bookmark10"/>
      <w:bookmarkEnd w:id="10"/>
      <w:r>
        <w:rPr>
          <w:rFonts w:ascii="Arial" w:hAnsi="Arial" w:cs="Arial"/>
          <w:sz w:val="20"/>
          <w:szCs w:val="20"/>
          <w:lang w:val="en-US"/>
        </w:rPr>
        <w:t xml:space="preserve">b) </w:t>
      </w:r>
      <w:r w:rsidR="008F2865" w:rsidRPr="00D20E1C">
        <w:rPr>
          <w:rFonts w:ascii="Arial" w:hAnsi="Arial" w:cs="Arial"/>
          <w:sz w:val="20"/>
          <w:szCs w:val="20"/>
        </w:rPr>
        <w:t>Một công ty cư trú tại một nước và có một hoặc nhiều cơ sở thường trú tại nước khác với điều kiện công ty đó không phải là một công ty, tổ chức của một tập đoàn khác.</w:t>
      </w:r>
    </w:p>
    <w:p w:rsidR="005245CB" w:rsidRPr="00D20E1C" w:rsidRDefault="00745CD4" w:rsidP="007D45AE">
      <w:pPr>
        <w:pStyle w:val="Vnbnnidung0"/>
        <w:tabs>
          <w:tab w:val="left" w:pos="1130"/>
        </w:tabs>
        <w:spacing w:after="120" w:line="240" w:lineRule="auto"/>
        <w:ind w:firstLine="720"/>
        <w:jc w:val="both"/>
        <w:rPr>
          <w:rFonts w:ascii="Arial" w:hAnsi="Arial" w:cs="Arial"/>
          <w:sz w:val="20"/>
          <w:szCs w:val="20"/>
        </w:rPr>
      </w:pPr>
      <w:bookmarkStart w:id="11" w:name="bookmark11"/>
      <w:bookmarkEnd w:id="11"/>
      <w:r w:rsidRPr="00745CD4">
        <w:rPr>
          <w:rFonts w:ascii="Arial" w:hAnsi="Arial" w:cs="Arial"/>
          <w:iCs/>
          <w:sz w:val="20"/>
          <w:szCs w:val="20"/>
          <w:lang w:val="en-US"/>
        </w:rPr>
        <w:t>3.</w:t>
      </w:r>
      <w:r>
        <w:rPr>
          <w:rFonts w:ascii="Arial" w:hAnsi="Arial" w:cs="Arial"/>
          <w:i/>
          <w:iCs/>
          <w:sz w:val="20"/>
          <w:szCs w:val="20"/>
          <w:lang w:val="en-US"/>
        </w:rPr>
        <w:t xml:space="preserve"> </w:t>
      </w:r>
      <w:r w:rsidR="008F2865" w:rsidRPr="00D20E1C">
        <w:rPr>
          <w:rFonts w:ascii="Arial" w:hAnsi="Arial" w:cs="Arial"/>
          <w:i/>
          <w:iCs/>
          <w:sz w:val="20"/>
          <w:szCs w:val="20"/>
        </w:rPr>
        <w:t>Tập</w:t>
      </w:r>
      <w:bookmarkStart w:id="12" w:name="_GoBack"/>
      <w:bookmarkEnd w:id="12"/>
      <w:r w:rsidR="008F2865" w:rsidRPr="00D20E1C">
        <w:rPr>
          <w:rFonts w:ascii="Arial" w:hAnsi="Arial" w:cs="Arial"/>
          <w:i/>
          <w:iCs/>
          <w:sz w:val="20"/>
          <w:szCs w:val="20"/>
        </w:rPr>
        <w:t xml:space="preserve"> đoàn đa quốc gia</w:t>
      </w:r>
      <w:r w:rsidR="008F2865" w:rsidRPr="00D20E1C">
        <w:rPr>
          <w:rFonts w:ascii="Arial" w:hAnsi="Arial" w:cs="Arial"/>
          <w:sz w:val="20"/>
          <w:szCs w:val="20"/>
        </w:rPr>
        <w:t xml:space="preserve"> là tập đoàn có ít nhất một đơn vị hợp thành hoặc một cơ sở thường </w:t>
      </w:r>
      <w:r w:rsidR="008F2865" w:rsidRPr="00D20E1C">
        <w:rPr>
          <w:rFonts w:ascii="Arial" w:hAnsi="Arial" w:cs="Arial"/>
          <w:sz w:val="20"/>
          <w:szCs w:val="20"/>
        </w:rPr>
        <w:lastRenderedPageBreak/>
        <w:t>trú không cư trú tại cùng nước với công ty mẹ tối cao.</w:t>
      </w:r>
    </w:p>
    <w:p w:rsidR="005245CB" w:rsidRPr="00D20E1C" w:rsidRDefault="00745CD4" w:rsidP="007D45AE">
      <w:pPr>
        <w:pStyle w:val="Vnbnnidung0"/>
        <w:tabs>
          <w:tab w:val="left" w:pos="1118"/>
        </w:tabs>
        <w:spacing w:after="120" w:line="240" w:lineRule="auto"/>
        <w:ind w:firstLine="720"/>
        <w:jc w:val="both"/>
        <w:rPr>
          <w:rFonts w:ascii="Arial" w:hAnsi="Arial" w:cs="Arial"/>
          <w:sz w:val="20"/>
          <w:szCs w:val="20"/>
        </w:rPr>
      </w:pPr>
      <w:bookmarkStart w:id="13" w:name="bookmark12"/>
      <w:bookmarkEnd w:id="13"/>
      <w:r w:rsidRPr="00745CD4">
        <w:rPr>
          <w:rFonts w:ascii="Arial" w:hAnsi="Arial" w:cs="Arial"/>
          <w:iCs/>
          <w:sz w:val="20"/>
          <w:szCs w:val="20"/>
          <w:lang w:val="en-US"/>
        </w:rPr>
        <w:t>4.</w:t>
      </w:r>
      <w:r>
        <w:rPr>
          <w:rFonts w:ascii="Arial" w:hAnsi="Arial" w:cs="Arial"/>
          <w:i/>
          <w:iCs/>
          <w:sz w:val="20"/>
          <w:szCs w:val="20"/>
          <w:lang w:val="en-US"/>
        </w:rPr>
        <w:t xml:space="preserve"> </w:t>
      </w:r>
      <w:r w:rsidR="008F2865" w:rsidRPr="00D20E1C">
        <w:rPr>
          <w:rFonts w:ascii="Arial" w:hAnsi="Arial" w:cs="Arial"/>
          <w:i/>
          <w:iCs/>
          <w:sz w:val="20"/>
          <w:szCs w:val="20"/>
        </w:rPr>
        <w:t>Công ty mẹ tối cao</w:t>
      </w:r>
      <w:r w:rsidR="008F2865" w:rsidRPr="00D20E1C">
        <w:rPr>
          <w:rFonts w:ascii="Arial" w:hAnsi="Arial" w:cs="Arial"/>
          <w:sz w:val="20"/>
          <w:szCs w:val="20"/>
        </w:rPr>
        <w:t xml:space="preserve"> là công ty thuộc tập đoàn đa quốc gia có quyền kiểm soát, quyền sở hữu trực tiếp hoặc gián tiếp tại các công ty, tổ chức khác của một tập đoàn đa quốc gia, không bị </w:t>
      </w:r>
      <w:r>
        <w:rPr>
          <w:rFonts w:ascii="Arial" w:hAnsi="Arial" w:cs="Arial"/>
          <w:sz w:val="20"/>
          <w:szCs w:val="20"/>
          <w:lang w:val="en-US"/>
        </w:rPr>
        <w:t>kiểm</w:t>
      </w:r>
      <w:r w:rsidR="008F2865" w:rsidRPr="00D20E1C">
        <w:rPr>
          <w:rFonts w:ascii="Arial" w:hAnsi="Arial" w:cs="Arial"/>
          <w:sz w:val="20"/>
          <w:szCs w:val="20"/>
        </w:rPr>
        <w:t xml:space="preserve"> soát, sở hữu bởi bất kỳ công ty, tổ chức nào khác và báo cáo tài chính hợp nhất của công ty mẹ tối cao không được </w:t>
      </w:r>
      <w:r>
        <w:rPr>
          <w:rFonts w:ascii="Arial" w:hAnsi="Arial" w:cs="Arial"/>
          <w:sz w:val="20"/>
          <w:szCs w:val="20"/>
          <w:lang w:val="en-US"/>
        </w:rPr>
        <w:t>hợp</w:t>
      </w:r>
      <w:r w:rsidR="008F2865" w:rsidRPr="00D20E1C">
        <w:rPr>
          <w:rFonts w:ascii="Arial" w:hAnsi="Arial" w:cs="Arial"/>
          <w:sz w:val="20"/>
          <w:szCs w:val="20"/>
        </w:rPr>
        <w:t xml:space="preserve"> nhất vào bất kỳ báo cáo tài chính của một công ty, tổ chức nào khác trên toàn cầu.</w:t>
      </w:r>
    </w:p>
    <w:p w:rsidR="005245CB" w:rsidRPr="00D20E1C" w:rsidRDefault="00745CD4" w:rsidP="007D45AE">
      <w:pPr>
        <w:pStyle w:val="Vnbnnidung0"/>
        <w:tabs>
          <w:tab w:val="left" w:pos="1130"/>
        </w:tabs>
        <w:spacing w:after="120" w:line="240" w:lineRule="auto"/>
        <w:ind w:firstLine="720"/>
        <w:jc w:val="both"/>
        <w:rPr>
          <w:rFonts w:ascii="Arial" w:hAnsi="Arial" w:cs="Arial"/>
          <w:sz w:val="20"/>
          <w:szCs w:val="20"/>
        </w:rPr>
      </w:pPr>
      <w:bookmarkStart w:id="14" w:name="bookmark13"/>
      <w:bookmarkEnd w:id="14"/>
      <w:r w:rsidRPr="00745CD4">
        <w:rPr>
          <w:rFonts w:ascii="Arial" w:hAnsi="Arial" w:cs="Arial"/>
          <w:iCs/>
          <w:sz w:val="20"/>
          <w:szCs w:val="20"/>
          <w:lang w:val="en-US"/>
        </w:rPr>
        <w:t>5.</w:t>
      </w:r>
      <w:r>
        <w:rPr>
          <w:rFonts w:ascii="Arial" w:hAnsi="Arial" w:cs="Arial"/>
          <w:i/>
          <w:iCs/>
          <w:sz w:val="20"/>
          <w:szCs w:val="20"/>
          <w:lang w:val="en-US"/>
        </w:rPr>
        <w:t xml:space="preserve"> </w:t>
      </w:r>
      <w:r w:rsidR="008F2865" w:rsidRPr="00D20E1C">
        <w:rPr>
          <w:rFonts w:ascii="Arial" w:hAnsi="Arial" w:cs="Arial"/>
          <w:i/>
          <w:iCs/>
          <w:sz w:val="20"/>
          <w:szCs w:val="20"/>
        </w:rPr>
        <w:t>Công ty mẹ trung gian</w:t>
      </w:r>
      <w:r w:rsidR="008F2865" w:rsidRPr="00D20E1C">
        <w:rPr>
          <w:rFonts w:ascii="Arial" w:hAnsi="Arial" w:cs="Arial"/>
          <w:sz w:val="20"/>
          <w:szCs w:val="20"/>
        </w:rPr>
        <w:t xml:space="preserve"> là đơn vị hợp thành của tập đoàn đa quốc gia (không phải là công ty mẹ tối cao, công ty mẹ bị sở hữu một phần, cơ sở thường trú hoặc công ty đầu tư) trực tiếp hoặc gián tiếp nắm giữ quyền sở hữu trong một đơn vị hợp thành khác trong cùng tập đoàn đa quốc gia đó.</w:t>
      </w:r>
    </w:p>
    <w:p w:rsidR="005245CB" w:rsidRPr="00D20E1C" w:rsidRDefault="00745CD4" w:rsidP="007D45AE">
      <w:pPr>
        <w:pStyle w:val="Vnbnnidung0"/>
        <w:tabs>
          <w:tab w:val="left" w:pos="1148"/>
        </w:tabs>
        <w:spacing w:after="120" w:line="240" w:lineRule="auto"/>
        <w:ind w:firstLine="720"/>
        <w:jc w:val="both"/>
        <w:rPr>
          <w:rFonts w:ascii="Arial" w:hAnsi="Arial" w:cs="Arial"/>
          <w:sz w:val="20"/>
          <w:szCs w:val="20"/>
        </w:rPr>
      </w:pPr>
      <w:bookmarkStart w:id="15" w:name="bookmark14"/>
      <w:bookmarkEnd w:id="15"/>
      <w:r w:rsidRPr="00745CD4">
        <w:rPr>
          <w:rFonts w:ascii="Arial" w:hAnsi="Arial" w:cs="Arial"/>
          <w:iCs/>
          <w:sz w:val="20"/>
          <w:szCs w:val="20"/>
          <w:lang w:val="en-US"/>
        </w:rPr>
        <w:t>6.</w:t>
      </w:r>
      <w:r>
        <w:rPr>
          <w:rFonts w:ascii="Arial" w:hAnsi="Arial" w:cs="Arial"/>
          <w:i/>
          <w:iCs/>
          <w:sz w:val="20"/>
          <w:szCs w:val="20"/>
          <w:lang w:val="en-US"/>
        </w:rPr>
        <w:t xml:space="preserve"> </w:t>
      </w:r>
      <w:r w:rsidR="008F2865" w:rsidRPr="00D20E1C">
        <w:rPr>
          <w:rFonts w:ascii="Arial" w:hAnsi="Arial" w:cs="Arial"/>
          <w:i/>
          <w:iCs/>
          <w:sz w:val="20"/>
          <w:szCs w:val="20"/>
        </w:rPr>
        <w:t>Công ty mẹ bị sở hữu một phần</w:t>
      </w:r>
      <w:r w:rsidR="008F2865" w:rsidRPr="00D20E1C">
        <w:rPr>
          <w:rFonts w:ascii="Arial" w:hAnsi="Arial" w:cs="Arial"/>
          <w:sz w:val="20"/>
          <w:szCs w:val="20"/>
        </w:rPr>
        <w:t xml:space="preserve"> là đơn vị hợp thành của tập đoàn đa quốc gia (không phải là công ty mẹ tối cao, cơ sở thường trú hoặc công ty đầu tư) đồng thời đáp ứng các điều kiện sau đây:</w:t>
      </w:r>
    </w:p>
    <w:p w:rsidR="005245CB" w:rsidRPr="00D20E1C" w:rsidRDefault="00745CD4" w:rsidP="007D45AE">
      <w:pPr>
        <w:pStyle w:val="Vnbnnidung0"/>
        <w:tabs>
          <w:tab w:val="left" w:pos="1148"/>
        </w:tabs>
        <w:spacing w:after="120" w:line="240" w:lineRule="auto"/>
        <w:ind w:firstLine="720"/>
        <w:jc w:val="both"/>
        <w:rPr>
          <w:rFonts w:ascii="Arial" w:hAnsi="Arial" w:cs="Arial"/>
          <w:sz w:val="20"/>
          <w:szCs w:val="20"/>
        </w:rPr>
      </w:pPr>
      <w:bookmarkStart w:id="16" w:name="bookmark15"/>
      <w:bookmarkEnd w:id="16"/>
      <w:r>
        <w:rPr>
          <w:rFonts w:ascii="Arial" w:hAnsi="Arial" w:cs="Arial"/>
          <w:sz w:val="20"/>
          <w:szCs w:val="20"/>
          <w:lang w:val="en-US"/>
        </w:rPr>
        <w:t xml:space="preserve">a) </w:t>
      </w:r>
      <w:r w:rsidR="008F2865" w:rsidRPr="00D20E1C">
        <w:rPr>
          <w:rFonts w:ascii="Arial" w:hAnsi="Arial" w:cs="Arial"/>
          <w:sz w:val="20"/>
          <w:szCs w:val="20"/>
        </w:rPr>
        <w:t>Trực tiếp hoặc gián tiếp nắm giữ quyền sở hữu đơn vị hợp thành khác của tập đoàn đa quốc gia đó;</w:t>
      </w:r>
    </w:p>
    <w:p w:rsidR="005245CB" w:rsidRPr="00D20E1C" w:rsidRDefault="00745CD4" w:rsidP="007D45AE">
      <w:pPr>
        <w:pStyle w:val="Vnbnnidung0"/>
        <w:tabs>
          <w:tab w:val="left" w:pos="1189"/>
        </w:tabs>
        <w:spacing w:after="120" w:line="240" w:lineRule="auto"/>
        <w:ind w:firstLine="720"/>
        <w:jc w:val="both"/>
        <w:rPr>
          <w:rFonts w:ascii="Arial" w:hAnsi="Arial" w:cs="Arial"/>
          <w:sz w:val="20"/>
          <w:szCs w:val="20"/>
        </w:rPr>
      </w:pPr>
      <w:bookmarkStart w:id="17" w:name="bookmark16"/>
      <w:bookmarkEnd w:id="17"/>
      <w:r>
        <w:rPr>
          <w:rFonts w:ascii="Arial" w:hAnsi="Arial" w:cs="Arial"/>
          <w:sz w:val="20"/>
          <w:szCs w:val="20"/>
          <w:lang w:val="en-US"/>
        </w:rPr>
        <w:t xml:space="preserve">b) </w:t>
      </w:r>
      <w:r w:rsidR="008F2865" w:rsidRPr="00D20E1C">
        <w:rPr>
          <w:rFonts w:ascii="Arial" w:hAnsi="Arial" w:cs="Arial"/>
          <w:sz w:val="20"/>
          <w:szCs w:val="20"/>
        </w:rPr>
        <w:t>Có hơn 20% quyền hưởng lợi nhuận bị các công ty, tổ chức khác không phải đơn vị hợp thành của tập đoàn đa quốc gia đó nắm giữ trực tiếp hoặc gián tiếp.</w:t>
      </w:r>
    </w:p>
    <w:p w:rsidR="005245CB" w:rsidRPr="00D20E1C" w:rsidRDefault="00745CD4" w:rsidP="007D45AE">
      <w:pPr>
        <w:pStyle w:val="Vnbnnidung0"/>
        <w:tabs>
          <w:tab w:val="left" w:pos="1118"/>
        </w:tabs>
        <w:spacing w:after="120" w:line="240" w:lineRule="auto"/>
        <w:ind w:firstLine="720"/>
        <w:jc w:val="both"/>
        <w:rPr>
          <w:rFonts w:ascii="Arial" w:hAnsi="Arial" w:cs="Arial"/>
          <w:sz w:val="20"/>
          <w:szCs w:val="20"/>
        </w:rPr>
      </w:pPr>
      <w:bookmarkStart w:id="18" w:name="bookmark17"/>
      <w:bookmarkEnd w:id="18"/>
      <w:r w:rsidRPr="00745CD4">
        <w:rPr>
          <w:rFonts w:ascii="Arial" w:hAnsi="Arial" w:cs="Arial"/>
          <w:iCs/>
          <w:sz w:val="20"/>
          <w:szCs w:val="20"/>
          <w:lang w:val="en-US"/>
        </w:rPr>
        <w:t>7.</w:t>
      </w:r>
      <w:r>
        <w:rPr>
          <w:rFonts w:ascii="Arial" w:hAnsi="Arial" w:cs="Arial"/>
          <w:i/>
          <w:iCs/>
          <w:sz w:val="20"/>
          <w:szCs w:val="20"/>
          <w:lang w:val="en-US"/>
        </w:rPr>
        <w:t xml:space="preserve"> </w:t>
      </w:r>
      <w:r w:rsidR="008F2865" w:rsidRPr="00D20E1C">
        <w:rPr>
          <w:rFonts w:ascii="Arial" w:hAnsi="Arial" w:cs="Arial"/>
          <w:i/>
          <w:iCs/>
          <w:sz w:val="20"/>
          <w:szCs w:val="20"/>
        </w:rPr>
        <w:t>Đơn vị hợp thành của một tập đoàn đa quốc gia</w:t>
      </w:r>
      <w:r w:rsidR="008F2865" w:rsidRPr="00D20E1C">
        <w:rPr>
          <w:rFonts w:ascii="Arial" w:hAnsi="Arial" w:cs="Arial"/>
          <w:sz w:val="20"/>
          <w:szCs w:val="20"/>
        </w:rPr>
        <w:t xml:space="preserve"> là bất kỳ công ty, tổ chức nào thuộc tập đoàn và bất kỳ cơ sở thường trú nào của một công ty, tổ chức thuộc tập đoàn, bao gồm:</w:t>
      </w:r>
    </w:p>
    <w:p w:rsidR="005245CB" w:rsidRPr="00D20E1C" w:rsidRDefault="00745CD4" w:rsidP="007D45AE">
      <w:pPr>
        <w:pStyle w:val="Vnbnnidung0"/>
        <w:tabs>
          <w:tab w:val="left" w:pos="1231"/>
        </w:tabs>
        <w:spacing w:after="120" w:line="240" w:lineRule="auto"/>
        <w:ind w:firstLine="720"/>
        <w:jc w:val="both"/>
        <w:rPr>
          <w:rFonts w:ascii="Arial" w:hAnsi="Arial" w:cs="Arial"/>
          <w:sz w:val="20"/>
          <w:szCs w:val="20"/>
        </w:rPr>
      </w:pPr>
      <w:bookmarkStart w:id="19" w:name="bookmark18"/>
      <w:bookmarkEnd w:id="19"/>
      <w:r>
        <w:rPr>
          <w:rFonts w:ascii="Arial" w:hAnsi="Arial" w:cs="Arial"/>
          <w:sz w:val="20"/>
          <w:szCs w:val="20"/>
          <w:lang w:val="en-US"/>
        </w:rPr>
        <w:t xml:space="preserve">a) </w:t>
      </w:r>
      <w:r w:rsidR="008F2865" w:rsidRPr="00D20E1C">
        <w:rPr>
          <w:rFonts w:ascii="Arial" w:hAnsi="Arial" w:cs="Arial"/>
          <w:sz w:val="20"/>
          <w:szCs w:val="20"/>
        </w:rPr>
        <w:t>Công ty mẹ tối cao;</w:t>
      </w:r>
    </w:p>
    <w:p w:rsidR="005245CB" w:rsidRPr="00D20E1C" w:rsidRDefault="00745CD4" w:rsidP="007D45AE">
      <w:pPr>
        <w:pStyle w:val="Vnbnnidung0"/>
        <w:tabs>
          <w:tab w:val="left" w:pos="1257"/>
        </w:tabs>
        <w:spacing w:after="120" w:line="240" w:lineRule="auto"/>
        <w:ind w:firstLine="720"/>
        <w:jc w:val="both"/>
        <w:rPr>
          <w:rFonts w:ascii="Arial" w:hAnsi="Arial" w:cs="Arial"/>
          <w:sz w:val="20"/>
          <w:szCs w:val="20"/>
        </w:rPr>
      </w:pPr>
      <w:bookmarkStart w:id="20" w:name="bookmark19"/>
      <w:bookmarkEnd w:id="20"/>
      <w:r>
        <w:rPr>
          <w:rFonts w:ascii="Arial" w:hAnsi="Arial" w:cs="Arial"/>
          <w:sz w:val="20"/>
          <w:szCs w:val="20"/>
          <w:lang w:val="en-US"/>
        </w:rPr>
        <w:t xml:space="preserve">b) </w:t>
      </w:r>
      <w:r w:rsidR="008F2865" w:rsidRPr="00D20E1C">
        <w:rPr>
          <w:rFonts w:ascii="Arial" w:hAnsi="Arial" w:cs="Arial"/>
          <w:sz w:val="20"/>
          <w:szCs w:val="20"/>
        </w:rPr>
        <w:t>Công ty mẹ trung gian (nếu có);</w:t>
      </w:r>
    </w:p>
    <w:p w:rsidR="005245CB" w:rsidRPr="00D20E1C" w:rsidRDefault="00745CD4" w:rsidP="007D45AE">
      <w:pPr>
        <w:pStyle w:val="Vnbnnidung0"/>
        <w:tabs>
          <w:tab w:val="left" w:pos="1257"/>
        </w:tabs>
        <w:spacing w:after="120" w:line="240" w:lineRule="auto"/>
        <w:ind w:firstLine="720"/>
        <w:jc w:val="both"/>
        <w:rPr>
          <w:rFonts w:ascii="Arial" w:hAnsi="Arial" w:cs="Arial"/>
          <w:sz w:val="20"/>
          <w:szCs w:val="20"/>
        </w:rPr>
      </w:pPr>
      <w:bookmarkStart w:id="21" w:name="bookmark20"/>
      <w:bookmarkEnd w:id="21"/>
      <w:r>
        <w:rPr>
          <w:rFonts w:ascii="Arial" w:hAnsi="Arial" w:cs="Arial"/>
          <w:sz w:val="20"/>
          <w:szCs w:val="20"/>
          <w:lang w:val="en-US"/>
        </w:rPr>
        <w:t xml:space="preserve">c) </w:t>
      </w:r>
      <w:r w:rsidR="008F2865" w:rsidRPr="00D20E1C">
        <w:rPr>
          <w:rFonts w:ascii="Arial" w:hAnsi="Arial" w:cs="Arial"/>
          <w:sz w:val="20"/>
          <w:szCs w:val="20"/>
        </w:rPr>
        <w:t>Công ty mẹ bị sở hữu một phần (nếu có);</w:t>
      </w:r>
    </w:p>
    <w:p w:rsidR="005245CB" w:rsidRPr="00D20E1C" w:rsidRDefault="00745CD4" w:rsidP="007D45AE">
      <w:pPr>
        <w:pStyle w:val="Vnbnnidung0"/>
        <w:tabs>
          <w:tab w:val="left" w:pos="1257"/>
        </w:tabs>
        <w:spacing w:after="120" w:line="240" w:lineRule="auto"/>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d) </w:t>
      </w:r>
      <w:r w:rsidR="008F2865" w:rsidRPr="00D20E1C">
        <w:rPr>
          <w:rFonts w:ascii="Arial" w:hAnsi="Arial" w:cs="Arial"/>
          <w:sz w:val="20"/>
          <w:szCs w:val="20"/>
        </w:rPr>
        <w:t>Công ty, tổ chức, đơn vị, cơ sở kinh doanh khác thuộc tập đoàn.</w:t>
      </w:r>
    </w:p>
    <w:p w:rsidR="005245CB" w:rsidRPr="00D20E1C" w:rsidRDefault="00745CD4" w:rsidP="007D45AE">
      <w:pPr>
        <w:pStyle w:val="Vnbnnidung0"/>
        <w:tabs>
          <w:tab w:val="left" w:pos="1124"/>
        </w:tabs>
        <w:spacing w:after="120" w:line="240" w:lineRule="auto"/>
        <w:ind w:firstLine="720"/>
        <w:jc w:val="both"/>
        <w:rPr>
          <w:rFonts w:ascii="Arial" w:hAnsi="Arial" w:cs="Arial"/>
          <w:sz w:val="20"/>
          <w:szCs w:val="20"/>
        </w:rPr>
      </w:pPr>
      <w:bookmarkStart w:id="23" w:name="bookmark22"/>
      <w:bookmarkEnd w:id="23"/>
      <w:r w:rsidRPr="00745CD4">
        <w:rPr>
          <w:rFonts w:ascii="Arial" w:hAnsi="Arial" w:cs="Arial"/>
          <w:iCs/>
          <w:sz w:val="20"/>
          <w:szCs w:val="20"/>
          <w:lang w:val="en-US"/>
        </w:rPr>
        <w:t>8.</w:t>
      </w:r>
      <w:r>
        <w:rPr>
          <w:rFonts w:ascii="Arial" w:hAnsi="Arial" w:cs="Arial"/>
          <w:i/>
          <w:iCs/>
          <w:sz w:val="20"/>
          <w:szCs w:val="20"/>
          <w:lang w:val="en-US"/>
        </w:rPr>
        <w:t xml:space="preserve"> </w:t>
      </w:r>
      <w:r w:rsidR="008F2865" w:rsidRPr="00D20E1C">
        <w:rPr>
          <w:rFonts w:ascii="Arial" w:hAnsi="Arial" w:cs="Arial"/>
          <w:i/>
          <w:iCs/>
          <w:sz w:val="20"/>
          <w:szCs w:val="20"/>
        </w:rPr>
        <w:t>Nước đánh thuế thấp</w:t>
      </w:r>
      <w:r w:rsidR="008F2865" w:rsidRPr="00D20E1C">
        <w:rPr>
          <w:rFonts w:ascii="Arial" w:hAnsi="Arial" w:cs="Arial"/>
          <w:sz w:val="20"/>
          <w:szCs w:val="20"/>
        </w:rPr>
        <w:t xml:space="preserve"> là nước nơi mà tập đoàn đa quốc gia trong năm tài chính có thu nhập ròng theo Quy định về thuế tối thiểu toàn cầu và có thuế suất thực tế trong năm tài chính đó thấp hơn thuế suất tối thiểu.</w:t>
      </w:r>
    </w:p>
    <w:p w:rsidR="005245CB" w:rsidRPr="00D20E1C" w:rsidRDefault="00745CD4" w:rsidP="007D45AE">
      <w:pPr>
        <w:pStyle w:val="Vnbnnidung0"/>
        <w:tabs>
          <w:tab w:val="left" w:pos="1111"/>
        </w:tabs>
        <w:spacing w:after="120" w:line="240" w:lineRule="auto"/>
        <w:ind w:firstLine="720"/>
        <w:jc w:val="both"/>
        <w:rPr>
          <w:rFonts w:ascii="Arial" w:hAnsi="Arial" w:cs="Arial"/>
          <w:sz w:val="20"/>
          <w:szCs w:val="20"/>
        </w:rPr>
      </w:pPr>
      <w:bookmarkStart w:id="24" w:name="bookmark23"/>
      <w:bookmarkEnd w:id="24"/>
      <w:r w:rsidRPr="00745CD4">
        <w:rPr>
          <w:rFonts w:ascii="Arial" w:hAnsi="Arial" w:cs="Arial"/>
          <w:iCs/>
          <w:sz w:val="20"/>
          <w:szCs w:val="20"/>
          <w:lang w:val="en-US"/>
        </w:rPr>
        <w:t>9.</w:t>
      </w:r>
      <w:r>
        <w:rPr>
          <w:rFonts w:ascii="Arial" w:hAnsi="Arial" w:cs="Arial"/>
          <w:i/>
          <w:iCs/>
          <w:sz w:val="20"/>
          <w:szCs w:val="20"/>
          <w:lang w:val="en-US"/>
        </w:rPr>
        <w:t xml:space="preserve"> </w:t>
      </w:r>
      <w:r w:rsidR="008F2865" w:rsidRPr="00D20E1C">
        <w:rPr>
          <w:rFonts w:ascii="Arial" w:hAnsi="Arial" w:cs="Arial"/>
          <w:i/>
          <w:iCs/>
          <w:sz w:val="20"/>
          <w:szCs w:val="20"/>
        </w:rPr>
        <w:t xml:space="preserve">Đơn vị </w:t>
      </w:r>
      <w:r>
        <w:rPr>
          <w:rFonts w:ascii="Arial" w:hAnsi="Arial" w:cs="Arial"/>
          <w:i/>
          <w:iCs/>
          <w:sz w:val="20"/>
          <w:szCs w:val="20"/>
          <w:lang w:val="en-US"/>
        </w:rPr>
        <w:t>hợp</w:t>
      </w:r>
      <w:r w:rsidR="008F2865" w:rsidRPr="00D20E1C">
        <w:rPr>
          <w:rFonts w:ascii="Arial" w:hAnsi="Arial" w:cs="Arial"/>
          <w:i/>
          <w:iCs/>
          <w:sz w:val="20"/>
          <w:szCs w:val="20"/>
        </w:rPr>
        <w:t xml:space="preserve"> thành chịu thuế suất thấp</w:t>
      </w:r>
      <w:r w:rsidR="008F2865" w:rsidRPr="00D20E1C">
        <w:rPr>
          <w:rFonts w:ascii="Arial" w:hAnsi="Arial" w:cs="Arial"/>
          <w:sz w:val="20"/>
          <w:szCs w:val="20"/>
        </w:rPr>
        <w:t xml:space="preserve"> là đơn vị hợp thành của tập đoàn đa quốc gia cư trú tại nước đánh thuế thấp hoặc đơn vị hợp thành không quốc tịch mà trong năm tài chính có thu nhập theo Quy định về thuế tối thiểu toàn cầu và có thuế suất thực tế trong năm tài chính đó thấp hơn thuế suất tối thiểu.</w:t>
      </w:r>
    </w:p>
    <w:p w:rsidR="005245CB" w:rsidRPr="00D20E1C" w:rsidRDefault="00745CD4" w:rsidP="007D45AE">
      <w:pPr>
        <w:pStyle w:val="Vnbnnidung0"/>
        <w:tabs>
          <w:tab w:val="left" w:pos="1479"/>
        </w:tabs>
        <w:spacing w:after="120" w:line="240" w:lineRule="auto"/>
        <w:ind w:firstLine="720"/>
        <w:jc w:val="both"/>
        <w:rPr>
          <w:rFonts w:ascii="Arial" w:hAnsi="Arial" w:cs="Arial"/>
          <w:sz w:val="20"/>
          <w:szCs w:val="20"/>
        </w:rPr>
      </w:pPr>
      <w:bookmarkStart w:id="25" w:name="bookmark24"/>
      <w:bookmarkEnd w:id="25"/>
      <w:r w:rsidRPr="00745CD4">
        <w:rPr>
          <w:rFonts w:ascii="Arial" w:hAnsi="Arial" w:cs="Arial"/>
          <w:iCs/>
          <w:sz w:val="20"/>
          <w:szCs w:val="20"/>
          <w:lang w:val="en-US"/>
        </w:rPr>
        <w:t>10.</w:t>
      </w:r>
      <w:r>
        <w:rPr>
          <w:rFonts w:ascii="Arial" w:hAnsi="Arial" w:cs="Arial"/>
          <w:i/>
          <w:iCs/>
          <w:sz w:val="20"/>
          <w:szCs w:val="20"/>
          <w:lang w:val="en-US"/>
        </w:rPr>
        <w:t xml:space="preserve"> </w:t>
      </w:r>
      <w:r>
        <w:rPr>
          <w:rFonts w:ascii="Arial" w:hAnsi="Arial" w:cs="Arial"/>
          <w:i/>
          <w:iCs/>
          <w:sz w:val="20"/>
          <w:szCs w:val="20"/>
        </w:rPr>
        <w:t>Báo cáo tài chí</w:t>
      </w:r>
      <w:r w:rsidR="008F2865" w:rsidRPr="00D20E1C">
        <w:rPr>
          <w:rFonts w:ascii="Arial" w:hAnsi="Arial" w:cs="Arial"/>
          <w:i/>
          <w:iCs/>
          <w:sz w:val="20"/>
          <w:szCs w:val="20"/>
        </w:rPr>
        <w:t>nh hợp nhất</w:t>
      </w:r>
      <w:r w:rsidR="008F2865" w:rsidRPr="00D20E1C">
        <w:rPr>
          <w:rFonts w:ascii="Arial" w:hAnsi="Arial" w:cs="Arial"/>
          <w:sz w:val="20"/>
          <w:szCs w:val="20"/>
        </w:rPr>
        <w:t xml:space="preserve"> là:</w:t>
      </w:r>
    </w:p>
    <w:p w:rsidR="005245CB" w:rsidRPr="00D20E1C" w:rsidRDefault="00745CD4" w:rsidP="007D45AE">
      <w:pPr>
        <w:pStyle w:val="Vnbnnidung0"/>
        <w:tabs>
          <w:tab w:val="left" w:pos="1133"/>
        </w:tabs>
        <w:spacing w:after="120" w:line="240" w:lineRule="auto"/>
        <w:ind w:firstLine="720"/>
        <w:jc w:val="both"/>
        <w:rPr>
          <w:rFonts w:ascii="Arial" w:hAnsi="Arial" w:cs="Arial"/>
          <w:sz w:val="20"/>
          <w:szCs w:val="20"/>
        </w:rPr>
      </w:pPr>
      <w:bookmarkStart w:id="26" w:name="bookmark25"/>
      <w:bookmarkEnd w:id="26"/>
      <w:r>
        <w:rPr>
          <w:rFonts w:ascii="Arial" w:hAnsi="Arial" w:cs="Arial"/>
          <w:sz w:val="20"/>
          <w:szCs w:val="20"/>
          <w:lang w:val="en-US"/>
        </w:rPr>
        <w:t xml:space="preserve">a) </w:t>
      </w:r>
      <w:r w:rsidR="008F2865" w:rsidRPr="00D20E1C">
        <w:rPr>
          <w:rFonts w:ascii="Arial" w:hAnsi="Arial" w:cs="Arial"/>
          <w:sz w:val="20"/>
          <w:szCs w:val="20"/>
        </w:rPr>
        <w:t>Báo cáo tài chính do công ty lập theo chuẩn mực kế toán tài chính được chấp nhận, trong đó tài sản, nợ phải trả, thu nhập, chi phí và lưu chuyển tiền tệ của công ty đó và các công ty khác mà công ty đó có quyền kiểm soát được trình bày dưới dạng báo cáo của một đơn vị kinh tế duy nhất;</w:t>
      </w:r>
    </w:p>
    <w:p w:rsidR="005245CB" w:rsidRPr="00D20E1C" w:rsidRDefault="00745CD4" w:rsidP="007D45AE">
      <w:pPr>
        <w:pStyle w:val="Vnbnnidung0"/>
        <w:tabs>
          <w:tab w:val="left" w:pos="1149"/>
        </w:tabs>
        <w:spacing w:after="120" w:line="240" w:lineRule="auto"/>
        <w:ind w:firstLine="720"/>
        <w:jc w:val="both"/>
        <w:rPr>
          <w:rFonts w:ascii="Arial" w:hAnsi="Arial" w:cs="Arial"/>
          <w:sz w:val="20"/>
          <w:szCs w:val="20"/>
        </w:rPr>
      </w:pPr>
      <w:bookmarkStart w:id="27" w:name="bookmark26"/>
      <w:bookmarkEnd w:id="27"/>
      <w:r>
        <w:rPr>
          <w:rFonts w:ascii="Arial" w:hAnsi="Arial" w:cs="Arial"/>
          <w:sz w:val="20"/>
          <w:szCs w:val="20"/>
          <w:lang w:val="en-US"/>
        </w:rPr>
        <w:t xml:space="preserve">b) </w:t>
      </w:r>
      <w:r w:rsidR="008F2865" w:rsidRPr="00D20E1C">
        <w:rPr>
          <w:rFonts w:ascii="Arial" w:hAnsi="Arial" w:cs="Arial"/>
          <w:sz w:val="20"/>
          <w:szCs w:val="20"/>
        </w:rPr>
        <w:t xml:space="preserve">Trong trường hợp công ty là tập đoàn theo quy định tại điểm b khoản 2 Điều này thì báo cáo tài chính </w:t>
      </w:r>
      <w:r>
        <w:rPr>
          <w:rFonts w:ascii="Arial" w:hAnsi="Arial" w:cs="Arial"/>
          <w:sz w:val="20"/>
          <w:szCs w:val="20"/>
          <w:lang w:val="en-US"/>
        </w:rPr>
        <w:t>hợp</w:t>
      </w:r>
      <w:r w:rsidR="008F2865" w:rsidRPr="00D20E1C">
        <w:rPr>
          <w:rFonts w:ascii="Arial" w:hAnsi="Arial" w:cs="Arial"/>
          <w:sz w:val="20"/>
          <w:szCs w:val="20"/>
        </w:rPr>
        <w:t xml:space="preserve"> nhất là báo cáo tài chính của công ty được lập theo chuẩn mực kế toán tài chính được chấp nhận;</w:t>
      </w:r>
    </w:p>
    <w:p w:rsidR="005245CB" w:rsidRPr="00D20E1C" w:rsidRDefault="00745CD4" w:rsidP="007D45AE">
      <w:pPr>
        <w:pStyle w:val="Vnbnnidung0"/>
        <w:tabs>
          <w:tab w:val="left" w:pos="1156"/>
        </w:tabs>
        <w:spacing w:after="120" w:line="240" w:lineRule="auto"/>
        <w:ind w:firstLine="720"/>
        <w:jc w:val="both"/>
        <w:rPr>
          <w:rFonts w:ascii="Arial" w:hAnsi="Arial" w:cs="Arial"/>
          <w:sz w:val="20"/>
          <w:szCs w:val="20"/>
        </w:rPr>
      </w:pPr>
      <w:bookmarkStart w:id="28" w:name="bookmark27"/>
      <w:bookmarkEnd w:id="28"/>
      <w:r>
        <w:rPr>
          <w:rFonts w:ascii="Arial" w:hAnsi="Arial" w:cs="Arial"/>
          <w:sz w:val="20"/>
          <w:szCs w:val="20"/>
          <w:lang w:val="en-US"/>
        </w:rPr>
        <w:t xml:space="preserve">c) </w:t>
      </w:r>
      <w:r w:rsidR="008F2865" w:rsidRPr="00D20E1C">
        <w:rPr>
          <w:rFonts w:ascii="Arial" w:hAnsi="Arial" w:cs="Arial"/>
          <w:sz w:val="20"/>
          <w:szCs w:val="20"/>
        </w:rPr>
        <w:t>Trong trường hợp công ty mẹ tối cao có báo cáo tài chính được quy định tại điểm a và điểm b khoản này không được lập theo chuẩn mực kế toán tài chính được chấp nhận thì báo cáo tài chính hợp nhất là những báo cáo tài chính được điều chỉnh để loại trừ mọi khác biệt trọng yếu;</w:t>
      </w:r>
    </w:p>
    <w:p w:rsidR="005245CB" w:rsidRPr="00D20E1C" w:rsidRDefault="00745CD4" w:rsidP="007D45AE">
      <w:pPr>
        <w:pStyle w:val="Vnbnnidung0"/>
        <w:tabs>
          <w:tab w:val="left" w:pos="1165"/>
        </w:tabs>
        <w:spacing w:after="120" w:line="240" w:lineRule="auto"/>
        <w:ind w:firstLine="720"/>
        <w:jc w:val="both"/>
        <w:rPr>
          <w:rFonts w:ascii="Arial" w:hAnsi="Arial" w:cs="Arial"/>
          <w:sz w:val="20"/>
          <w:szCs w:val="20"/>
        </w:rPr>
      </w:pPr>
      <w:bookmarkStart w:id="29" w:name="bookmark28"/>
      <w:bookmarkEnd w:id="29"/>
      <w:r>
        <w:rPr>
          <w:rFonts w:ascii="Arial" w:hAnsi="Arial" w:cs="Arial"/>
          <w:sz w:val="20"/>
          <w:szCs w:val="20"/>
          <w:lang w:val="en-US"/>
        </w:rPr>
        <w:t xml:space="preserve">d) </w:t>
      </w:r>
      <w:r w:rsidR="008F2865" w:rsidRPr="00D20E1C">
        <w:rPr>
          <w:rFonts w:ascii="Arial" w:hAnsi="Arial" w:cs="Arial"/>
          <w:sz w:val="20"/>
          <w:szCs w:val="20"/>
        </w:rPr>
        <w:t>Trong trường hợp công ty mẹ tối cao không lập báo cáo tài chính được quy định tại các điểm a, b và c khoản này thì báo cáo tài chính hợp nhất của công ty mẹ tối cao là những báo cáo được lập theo chuẩn mực kế toán tài chính được phép áp dụng, bao gồm chuẩn mực kế toán tài chính được chấp nhận hoặc một chuẩn mực kế toán tài chính khác được điều chỉnh để loại trừ mọi khác biệt trọng yếu.</w:t>
      </w:r>
    </w:p>
    <w:p w:rsidR="005245CB" w:rsidRPr="00D20E1C" w:rsidRDefault="00745CD4" w:rsidP="007D45AE">
      <w:pPr>
        <w:pStyle w:val="Vnbnnidung0"/>
        <w:tabs>
          <w:tab w:val="left" w:pos="1267"/>
        </w:tabs>
        <w:spacing w:after="120" w:line="240" w:lineRule="auto"/>
        <w:ind w:firstLine="720"/>
        <w:jc w:val="both"/>
        <w:rPr>
          <w:rFonts w:ascii="Arial" w:hAnsi="Arial" w:cs="Arial"/>
          <w:sz w:val="20"/>
          <w:szCs w:val="20"/>
        </w:rPr>
      </w:pPr>
      <w:bookmarkStart w:id="30" w:name="bookmark29"/>
      <w:bookmarkEnd w:id="30"/>
      <w:r w:rsidRPr="00745CD4">
        <w:rPr>
          <w:rFonts w:ascii="Arial" w:hAnsi="Arial" w:cs="Arial"/>
          <w:iCs/>
          <w:sz w:val="20"/>
          <w:szCs w:val="20"/>
          <w:lang w:val="en-US"/>
        </w:rPr>
        <w:t>11.</w:t>
      </w:r>
      <w:r>
        <w:rPr>
          <w:rFonts w:ascii="Arial" w:hAnsi="Arial" w:cs="Arial"/>
          <w:i/>
          <w:iCs/>
          <w:sz w:val="20"/>
          <w:szCs w:val="20"/>
          <w:lang w:val="en-US"/>
        </w:rPr>
        <w:t xml:space="preserve"> </w:t>
      </w:r>
      <w:r w:rsidR="008F2865" w:rsidRPr="00D20E1C">
        <w:rPr>
          <w:rFonts w:ascii="Arial" w:hAnsi="Arial" w:cs="Arial"/>
          <w:i/>
          <w:iCs/>
          <w:sz w:val="20"/>
          <w:szCs w:val="20"/>
        </w:rPr>
        <w:t>Chuẩn mực kế toán tài chính được chấp nhận</w:t>
      </w:r>
      <w:r w:rsidR="008F2865" w:rsidRPr="00D20E1C">
        <w:rPr>
          <w:rFonts w:ascii="Arial" w:hAnsi="Arial" w:cs="Arial"/>
          <w:sz w:val="20"/>
          <w:szCs w:val="20"/>
        </w:rPr>
        <w:t xml:space="preserve"> là chuẩn mực báo cáo tài chính quốc tế (IFRS) và các nguyên tắc kế toán được chấp nhận chung của Ô-xtrây-li-a, Bra-xin, Ca-na-đa, các quốc gia thành viên của Liên minh Châu Âu, các quốc gia thành viên của Khu vực Kinh tế Châu Âu, Hồng Kông (Trung</w:t>
      </w:r>
      <w:r>
        <w:rPr>
          <w:rFonts w:ascii="Arial" w:hAnsi="Arial" w:cs="Arial"/>
          <w:sz w:val="20"/>
          <w:szCs w:val="20"/>
          <w:lang w:val="en-US"/>
        </w:rPr>
        <w:t xml:space="preserve"> </w:t>
      </w:r>
      <w:r w:rsidR="008F2865" w:rsidRPr="00D20E1C">
        <w:rPr>
          <w:rFonts w:ascii="Arial" w:hAnsi="Arial" w:cs="Arial"/>
          <w:sz w:val="20"/>
          <w:szCs w:val="20"/>
        </w:rPr>
        <w:t>Quốc), Nhật Bản, Mê-hi-cô, Niu Di-lân, Trung Quốc, Ấn Độ, Hàn Quốc, Nga, Xinh-ga-po, Thụy Sĩ, Vương quốc Anh và Hoa Kỳ.</w:t>
      </w:r>
    </w:p>
    <w:p w:rsidR="005245CB" w:rsidRPr="00D20E1C" w:rsidRDefault="00745CD4" w:rsidP="007D45AE">
      <w:pPr>
        <w:pStyle w:val="Vnbnnidung0"/>
        <w:tabs>
          <w:tab w:val="left" w:pos="1244"/>
        </w:tabs>
        <w:spacing w:after="120" w:line="240" w:lineRule="auto"/>
        <w:ind w:firstLine="720"/>
        <w:jc w:val="both"/>
        <w:rPr>
          <w:rFonts w:ascii="Arial" w:hAnsi="Arial" w:cs="Arial"/>
          <w:sz w:val="20"/>
          <w:szCs w:val="20"/>
        </w:rPr>
      </w:pPr>
      <w:bookmarkStart w:id="31" w:name="bookmark30"/>
      <w:bookmarkEnd w:id="31"/>
      <w:r w:rsidRPr="00745CD4">
        <w:rPr>
          <w:rFonts w:ascii="Arial" w:hAnsi="Arial" w:cs="Arial"/>
          <w:iCs/>
          <w:sz w:val="20"/>
          <w:szCs w:val="20"/>
          <w:lang w:val="en-US"/>
        </w:rPr>
        <w:t>12.</w:t>
      </w:r>
      <w:r>
        <w:rPr>
          <w:rFonts w:ascii="Arial" w:hAnsi="Arial" w:cs="Arial"/>
          <w:i/>
          <w:iCs/>
          <w:sz w:val="20"/>
          <w:szCs w:val="20"/>
          <w:lang w:val="en-US"/>
        </w:rPr>
        <w:t xml:space="preserve"> </w:t>
      </w:r>
      <w:r>
        <w:rPr>
          <w:rFonts w:ascii="Arial" w:hAnsi="Arial" w:cs="Arial"/>
          <w:i/>
          <w:iCs/>
          <w:sz w:val="20"/>
          <w:szCs w:val="20"/>
        </w:rPr>
        <w:t>Chuẩn mực kế toán tài chí</w:t>
      </w:r>
      <w:r w:rsidR="008F2865" w:rsidRPr="00D20E1C">
        <w:rPr>
          <w:rFonts w:ascii="Arial" w:hAnsi="Arial" w:cs="Arial"/>
          <w:i/>
          <w:iCs/>
          <w:sz w:val="20"/>
          <w:szCs w:val="20"/>
        </w:rPr>
        <w:t>nh được phép áp dụng</w:t>
      </w:r>
      <w:r w:rsidR="008F2865" w:rsidRPr="00D20E1C">
        <w:rPr>
          <w:rFonts w:ascii="Arial" w:hAnsi="Arial" w:cs="Arial"/>
          <w:sz w:val="20"/>
          <w:szCs w:val="20"/>
        </w:rPr>
        <w:t xml:space="preserve"> là một tập hợp các nguyên tắc kế toán được chấp nhận chung và được cơ quan kế toán có thẩm quyền tại nước nơi đơn vị hợp thành đặt trụ sở cho phép áp dụng.</w:t>
      </w:r>
    </w:p>
    <w:p w:rsidR="005245CB" w:rsidRPr="00D20E1C" w:rsidRDefault="00E26740" w:rsidP="007D45AE">
      <w:pPr>
        <w:pStyle w:val="Vnbnnidung0"/>
        <w:tabs>
          <w:tab w:val="left" w:pos="1253"/>
        </w:tabs>
        <w:spacing w:after="120" w:line="240" w:lineRule="auto"/>
        <w:ind w:firstLine="720"/>
        <w:jc w:val="both"/>
        <w:rPr>
          <w:rFonts w:ascii="Arial" w:hAnsi="Arial" w:cs="Arial"/>
          <w:sz w:val="20"/>
          <w:szCs w:val="20"/>
        </w:rPr>
      </w:pPr>
      <w:bookmarkStart w:id="32" w:name="bookmark31"/>
      <w:bookmarkEnd w:id="32"/>
      <w:r w:rsidRPr="00E26740">
        <w:rPr>
          <w:rFonts w:ascii="Arial" w:hAnsi="Arial" w:cs="Arial"/>
          <w:iCs/>
          <w:sz w:val="20"/>
          <w:szCs w:val="20"/>
          <w:lang w:val="en-US"/>
        </w:rPr>
        <w:lastRenderedPageBreak/>
        <w:t>13.</w:t>
      </w:r>
      <w:r>
        <w:rPr>
          <w:rFonts w:ascii="Arial" w:hAnsi="Arial" w:cs="Arial"/>
          <w:i/>
          <w:iCs/>
          <w:sz w:val="20"/>
          <w:szCs w:val="20"/>
          <w:lang w:val="en-US"/>
        </w:rPr>
        <w:t xml:space="preserve"> </w:t>
      </w:r>
      <w:r w:rsidR="008F2865" w:rsidRPr="00D20E1C">
        <w:rPr>
          <w:rFonts w:ascii="Arial" w:hAnsi="Arial" w:cs="Arial"/>
          <w:i/>
          <w:iCs/>
          <w:sz w:val="20"/>
          <w:szCs w:val="20"/>
        </w:rPr>
        <w:t>Thu nhập hoặc lỗ của mỗi đơn vị hợp thành</w:t>
      </w:r>
      <w:r w:rsidR="008F2865" w:rsidRPr="00D20E1C">
        <w:rPr>
          <w:rFonts w:ascii="Arial" w:hAnsi="Arial" w:cs="Arial"/>
          <w:sz w:val="20"/>
          <w:szCs w:val="20"/>
        </w:rPr>
        <w:t xml:space="preserve"> là thu nhập hoặc lỗ ròng tại báo cáo tài chính được xác định cho đơn vị hợp thành đó trong năm tài chính theo Quy định về thuế tối thiểu toàn cầu.</w:t>
      </w:r>
    </w:p>
    <w:p w:rsidR="005245CB" w:rsidRPr="00D20E1C" w:rsidRDefault="00E26740" w:rsidP="007D45AE">
      <w:pPr>
        <w:pStyle w:val="Vnbnnidung0"/>
        <w:tabs>
          <w:tab w:val="left" w:pos="1253"/>
        </w:tabs>
        <w:spacing w:after="120" w:line="240" w:lineRule="auto"/>
        <w:ind w:firstLine="720"/>
        <w:jc w:val="both"/>
        <w:rPr>
          <w:rFonts w:ascii="Arial" w:hAnsi="Arial" w:cs="Arial"/>
          <w:sz w:val="20"/>
          <w:szCs w:val="20"/>
        </w:rPr>
      </w:pPr>
      <w:bookmarkStart w:id="33" w:name="bookmark32"/>
      <w:bookmarkEnd w:id="33"/>
      <w:r w:rsidRPr="00E26740">
        <w:rPr>
          <w:rFonts w:ascii="Arial" w:hAnsi="Arial" w:cs="Arial"/>
          <w:iCs/>
          <w:sz w:val="20"/>
          <w:szCs w:val="20"/>
          <w:lang w:val="en-US"/>
        </w:rPr>
        <w:t>14.</w:t>
      </w:r>
      <w:r>
        <w:rPr>
          <w:rFonts w:ascii="Arial" w:hAnsi="Arial" w:cs="Arial"/>
          <w:i/>
          <w:iCs/>
          <w:sz w:val="20"/>
          <w:szCs w:val="20"/>
          <w:lang w:val="en-US"/>
        </w:rPr>
        <w:t xml:space="preserve"> </w:t>
      </w:r>
      <w:r w:rsidR="008F2865" w:rsidRPr="00D20E1C">
        <w:rPr>
          <w:rFonts w:ascii="Arial" w:hAnsi="Arial" w:cs="Arial"/>
          <w:i/>
          <w:iCs/>
          <w:sz w:val="20"/>
          <w:szCs w:val="20"/>
        </w:rPr>
        <w:t>Doanh thu bình quân, thu nhập</w:t>
      </w:r>
      <w:r>
        <w:rPr>
          <w:rFonts w:ascii="Arial" w:hAnsi="Arial" w:cs="Arial"/>
          <w:i/>
          <w:iCs/>
          <w:sz w:val="20"/>
          <w:szCs w:val="20"/>
        </w:rPr>
        <w:t xml:space="preserve"> hoặc </w:t>
      </w:r>
      <w:r>
        <w:rPr>
          <w:rFonts w:ascii="Arial" w:hAnsi="Arial" w:cs="Arial"/>
          <w:i/>
          <w:iCs/>
          <w:sz w:val="20"/>
          <w:szCs w:val="20"/>
          <w:lang w:val="en-US"/>
        </w:rPr>
        <w:t>lỗ</w:t>
      </w:r>
      <w:r>
        <w:rPr>
          <w:rFonts w:ascii="Arial" w:hAnsi="Arial" w:cs="Arial"/>
          <w:i/>
          <w:iCs/>
          <w:sz w:val="20"/>
          <w:szCs w:val="20"/>
        </w:rPr>
        <w:t xml:space="preserve"> bình quâ</w:t>
      </w:r>
      <w:r w:rsidR="008F2865" w:rsidRPr="00D20E1C">
        <w:rPr>
          <w:rFonts w:ascii="Arial" w:hAnsi="Arial" w:cs="Arial"/>
          <w:i/>
          <w:iCs/>
          <w:sz w:val="20"/>
          <w:szCs w:val="20"/>
        </w:rPr>
        <w:t>n tại một nước</w:t>
      </w:r>
      <w:r w:rsidR="008F2865" w:rsidRPr="00D20E1C">
        <w:rPr>
          <w:rFonts w:ascii="Arial" w:hAnsi="Arial" w:cs="Arial"/>
          <w:sz w:val="20"/>
          <w:szCs w:val="20"/>
        </w:rPr>
        <w:t xml:space="preserve"> là giá trị trung bình 03 năm (gồm năm tài chính hiện tại và 02 năm trước liền kề) của doanh thu, thu nhập hoặc lỗ tại nước đó theo Qu</w:t>
      </w:r>
      <w:r w:rsidR="00057179">
        <w:rPr>
          <w:rFonts w:ascii="Arial" w:hAnsi="Arial" w:cs="Arial"/>
          <w:sz w:val="20"/>
          <w:szCs w:val="20"/>
        </w:rPr>
        <w:t>y định về thuế tối thiểu toàn cầ</w:t>
      </w:r>
      <w:r w:rsidR="008F2865" w:rsidRPr="00D20E1C">
        <w:rPr>
          <w:rFonts w:ascii="Arial" w:hAnsi="Arial" w:cs="Arial"/>
          <w:sz w:val="20"/>
          <w:szCs w:val="20"/>
        </w:rPr>
        <w:t>u.</w:t>
      </w:r>
    </w:p>
    <w:p w:rsidR="005245CB" w:rsidRPr="00D20E1C" w:rsidRDefault="00E26740" w:rsidP="007D45AE">
      <w:pPr>
        <w:pStyle w:val="Vnbnnidung0"/>
        <w:tabs>
          <w:tab w:val="left" w:pos="1253"/>
        </w:tabs>
        <w:spacing w:after="120" w:line="240" w:lineRule="auto"/>
        <w:ind w:firstLine="720"/>
        <w:jc w:val="both"/>
        <w:rPr>
          <w:rFonts w:ascii="Arial" w:hAnsi="Arial" w:cs="Arial"/>
          <w:sz w:val="20"/>
          <w:szCs w:val="20"/>
        </w:rPr>
      </w:pPr>
      <w:bookmarkStart w:id="34" w:name="bookmark33"/>
      <w:bookmarkEnd w:id="34"/>
      <w:r w:rsidRPr="00E26740">
        <w:rPr>
          <w:rFonts w:ascii="Arial" w:hAnsi="Arial" w:cs="Arial"/>
          <w:iCs/>
          <w:sz w:val="20"/>
          <w:szCs w:val="20"/>
          <w:lang w:val="en-US"/>
        </w:rPr>
        <w:t>15.</w:t>
      </w:r>
      <w:r>
        <w:rPr>
          <w:rFonts w:ascii="Arial" w:hAnsi="Arial" w:cs="Arial"/>
          <w:i/>
          <w:iCs/>
          <w:sz w:val="20"/>
          <w:szCs w:val="20"/>
          <w:lang w:val="en-US"/>
        </w:rPr>
        <w:t xml:space="preserve"> </w:t>
      </w:r>
      <w:r w:rsidR="008F2865" w:rsidRPr="00D20E1C">
        <w:rPr>
          <w:rFonts w:ascii="Arial" w:hAnsi="Arial" w:cs="Arial"/>
          <w:i/>
          <w:iCs/>
          <w:sz w:val="20"/>
          <w:szCs w:val="20"/>
        </w:rPr>
        <w:t>Doanh thu tại một nước trong năm tài chính</w:t>
      </w:r>
      <w:r w:rsidR="008F2865" w:rsidRPr="00D20E1C">
        <w:rPr>
          <w:rFonts w:ascii="Arial" w:hAnsi="Arial" w:cs="Arial"/>
          <w:sz w:val="20"/>
          <w:szCs w:val="20"/>
        </w:rPr>
        <w:t xml:space="preserve"> là tổng doanh thu của tất cả các đơn vị hợp thành tại nước đó trong năm tài chính theo Quy định về thuế tối thiểu toàn cầu.</w:t>
      </w:r>
    </w:p>
    <w:p w:rsidR="005245CB" w:rsidRPr="00D20E1C" w:rsidRDefault="00E26740" w:rsidP="007D45AE">
      <w:pPr>
        <w:pStyle w:val="Vnbnnidung0"/>
        <w:tabs>
          <w:tab w:val="left" w:pos="1253"/>
        </w:tabs>
        <w:spacing w:after="120" w:line="240" w:lineRule="auto"/>
        <w:ind w:firstLine="720"/>
        <w:jc w:val="both"/>
        <w:rPr>
          <w:rFonts w:ascii="Arial" w:hAnsi="Arial" w:cs="Arial"/>
          <w:sz w:val="20"/>
          <w:szCs w:val="20"/>
        </w:rPr>
      </w:pPr>
      <w:bookmarkStart w:id="35" w:name="bookmark34"/>
      <w:bookmarkEnd w:id="35"/>
      <w:r w:rsidRPr="00E26740">
        <w:rPr>
          <w:rFonts w:ascii="Arial" w:hAnsi="Arial" w:cs="Arial"/>
          <w:iCs/>
          <w:sz w:val="20"/>
          <w:szCs w:val="20"/>
          <w:lang w:val="en-US"/>
        </w:rPr>
        <w:t>16.</w:t>
      </w:r>
      <w:r>
        <w:rPr>
          <w:rFonts w:ascii="Arial" w:hAnsi="Arial" w:cs="Arial"/>
          <w:i/>
          <w:iCs/>
          <w:sz w:val="20"/>
          <w:szCs w:val="20"/>
          <w:lang w:val="en-US"/>
        </w:rPr>
        <w:t xml:space="preserve"> </w:t>
      </w:r>
      <w:r w:rsidR="008F2865" w:rsidRPr="00D20E1C">
        <w:rPr>
          <w:rFonts w:ascii="Arial" w:hAnsi="Arial" w:cs="Arial"/>
          <w:i/>
          <w:iCs/>
          <w:sz w:val="20"/>
          <w:szCs w:val="20"/>
        </w:rPr>
        <w:t xml:space="preserve">Thu nhập hoặc </w:t>
      </w:r>
      <w:r>
        <w:rPr>
          <w:rFonts w:ascii="Arial" w:hAnsi="Arial" w:cs="Arial"/>
          <w:i/>
          <w:iCs/>
          <w:sz w:val="20"/>
          <w:szCs w:val="20"/>
          <w:lang w:val="en-US"/>
        </w:rPr>
        <w:t>lỗ</w:t>
      </w:r>
      <w:r w:rsidR="008F2865" w:rsidRPr="00D20E1C">
        <w:rPr>
          <w:rFonts w:ascii="Arial" w:hAnsi="Arial" w:cs="Arial"/>
          <w:i/>
          <w:iCs/>
          <w:sz w:val="20"/>
          <w:szCs w:val="20"/>
        </w:rPr>
        <w:t xml:space="preserve"> tại một nước trong năm tài chính</w:t>
      </w:r>
      <w:r w:rsidR="008F2865" w:rsidRPr="00D20E1C">
        <w:rPr>
          <w:rFonts w:ascii="Arial" w:hAnsi="Arial" w:cs="Arial"/>
          <w:sz w:val="20"/>
          <w:szCs w:val="20"/>
        </w:rPr>
        <w:t xml:space="preserve"> là thu nhập ròng hoặc lỗ ròng tại nước đó theo Quy định về thuế tối thiểu toàn cầu.</w:t>
      </w:r>
    </w:p>
    <w:p w:rsidR="005245CB" w:rsidRPr="00D20E1C" w:rsidRDefault="00E26740" w:rsidP="007D45AE">
      <w:pPr>
        <w:pStyle w:val="Vnbnnidung0"/>
        <w:tabs>
          <w:tab w:val="left" w:pos="1392"/>
        </w:tabs>
        <w:spacing w:after="120" w:line="240" w:lineRule="auto"/>
        <w:ind w:firstLine="720"/>
        <w:jc w:val="both"/>
        <w:rPr>
          <w:rFonts w:ascii="Arial" w:hAnsi="Arial" w:cs="Arial"/>
          <w:sz w:val="20"/>
          <w:szCs w:val="20"/>
        </w:rPr>
      </w:pPr>
      <w:bookmarkStart w:id="36" w:name="bookmark35"/>
      <w:bookmarkEnd w:id="36"/>
      <w:r w:rsidRPr="00E26740">
        <w:rPr>
          <w:rFonts w:ascii="Arial" w:hAnsi="Arial" w:cs="Arial"/>
          <w:iCs/>
          <w:sz w:val="20"/>
          <w:szCs w:val="20"/>
          <w:lang w:val="en-US"/>
        </w:rPr>
        <w:t>17.</w:t>
      </w:r>
      <w:r>
        <w:rPr>
          <w:rFonts w:ascii="Arial" w:hAnsi="Arial" w:cs="Arial"/>
          <w:i/>
          <w:iCs/>
          <w:sz w:val="20"/>
          <w:szCs w:val="20"/>
          <w:lang w:val="en-US"/>
        </w:rPr>
        <w:t xml:space="preserve"> </w:t>
      </w:r>
      <w:r w:rsidR="008F2865" w:rsidRPr="00D20E1C">
        <w:rPr>
          <w:rFonts w:ascii="Arial" w:hAnsi="Arial" w:cs="Arial"/>
          <w:i/>
          <w:iCs/>
          <w:sz w:val="20"/>
          <w:szCs w:val="20"/>
        </w:rPr>
        <w:t>Nơi cư trú</w:t>
      </w:r>
      <w:r w:rsidR="008F2865" w:rsidRPr="00D20E1C">
        <w:rPr>
          <w:rFonts w:ascii="Arial" w:hAnsi="Arial" w:cs="Arial"/>
          <w:sz w:val="20"/>
          <w:szCs w:val="20"/>
        </w:rPr>
        <w:t xml:space="preserve"> của một đơn vị hợp thành được xác định như sau:</w:t>
      </w:r>
    </w:p>
    <w:p w:rsidR="005245CB" w:rsidRPr="00D20E1C" w:rsidRDefault="00E26740" w:rsidP="007D45AE">
      <w:pPr>
        <w:pStyle w:val="Vnbnnidung0"/>
        <w:tabs>
          <w:tab w:val="left" w:pos="1134"/>
        </w:tabs>
        <w:spacing w:after="120" w:line="240" w:lineRule="auto"/>
        <w:ind w:firstLine="720"/>
        <w:jc w:val="both"/>
        <w:rPr>
          <w:rFonts w:ascii="Arial" w:hAnsi="Arial" w:cs="Arial"/>
          <w:sz w:val="20"/>
          <w:szCs w:val="20"/>
        </w:rPr>
      </w:pPr>
      <w:bookmarkStart w:id="37" w:name="bookmark36"/>
      <w:bookmarkEnd w:id="37"/>
      <w:r>
        <w:rPr>
          <w:rFonts w:ascii="Arial" w:hAnsi="Arial" w:cs="Arial"/>
          <w:sz w:val="20"/>
          <w:szCs w:val="20"/>
          <w:lang w:val="en-US"/>
        </w:rPr>
        <w:t xml:space="preserve">a) </w:t>
      </w:r>
      <w:r w:rsidR="008F2865" w:rsidRPr="00D20E1C">
        <w:rPr>
          <w:rFonts w:ascii="Arial" w:hAnsi="Arial" w:cs="Arial"/>
          <w:sz w:val="20"/>
          <w:szCs w:val="20"/>
        </w:rPr>
        <w:t>Nếu đơn vị hợp thành là đối tượng cư trú về thuế tại một nước dựa trên nơi quản lý, nơi thành lập hoặc các tiêu chí tương tự thì đơn vị hợp thành đó được coi là cư trú tại nước đó;</w:t>
      </w:r>
    </w:p>
    <w:p w:rsidR="005245CB" w:rsidRPr="00D20E1C" w:rsidRDefault="00E26740" w:rsidP="007D45AE">
      <w:pPr>
        <w:pStyle w:val="Vnbnnidung0"/>
        <w:tabs>
          <w:tab w:val="left" w:pos="1134"/>
        </w:tabs>
        <w:spacing w:after="120" w:line="240" w:lineRule="auto"/>
        <w:ind w:firstLine="720"/>
        <w:jc w:val="both"/>
        <w:rPr>
          <w:rFonts w:ascii="Arial" w:hAnsi="Arial" w:cs="Arial"/>
          <w:sz w:val="20"/>
          <w:szCs w:val="20"/>
        </w:rPr>
      </w:pPr>
      <w:bookmarkStart w:id="38" w:name="bookmark37"/>
      <w:bookmarkEnd w:id="38"/>
      <w:r>
        <w:rPr>
          <w:rFonts w:ascii="Arial" w:hAnsi="Arial" w:cs="Arial"/>
          <w:sz w:val="20"/>
          <w:szCs w:val="20"/>
          <w:lang w:val="en-US"/>
        </w:rPr>
        <w:t xml:space="preserve">b) </w:t>
      </w:r>
      <w:r w:rsidR="008F2865" w:rsidRPr="00D20E1C">
        <w:rPr>
          <w:rFonts w:ascii="Arial" w:hAnsi="Arial" w:cs="Arial"/>
          <w:sz w:val="20"/>
          <w:szCs w:val="20"/>
        </w:rPr>
        <w:t>Trong các trường hợp khác, đơn vị hợp thành được coi là cư trú tại nước mà đơn vị đó được thành lập.</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b/>
          <w:bCs/>
          <w:sz w:val="20"/>
          <w:szCs w:val="20"/>
        </w:rPr>
        <w:t>Điều 4. Quy định về thuế thu nhập doanh nghiệp bổ sung tối thiểu nội địa đạt chuẩn (QDMTT)</w:t>
      </w:r>
    </w:p>
    <w:p w:rsidR="005245CB" w:rsidRPr="00D20E1C" w:rsidRDefault="00E26740" w:rsidP="007D45AE">
      <w:pPr>
        <w:pStyle w:val="Vnbnnidung0"/>
        <w:tabs>
          <w:tab w:val="left" w:pos="1134"/>
        </w:tabs>
        <w:spacing w:after="120" w:line="240" w:lineRule="auto"/>
        <w:ind w:firstLine="720"/>
        <w:jc w:val="both"/>
        <w:rPr>
          <w:rFonts w:ascii="Arial" w:hAnsi="Arial" w:cs="Arial"/>
          <w:sz w:val="20"/>
          <w:szCs w:val="20"/>
        </w:rPr>
      </w:pPr>
      <w:bookmarkStart w:id="39" w:name="bookmark38"/>
      <w:bookmarkEnd w:id="39"/>
      <w:r>
        <w:rPr>
          <w:rFonts w:ascii="Arial" w:hAnsi="Arial" w:cs="Arial"/>
          <w:sz w:val="20"/>
          <w:szCs w:val="20"/>
          <w:lang w:val="en-US"/>
        </w:rPr>
        <w:t>1. Đơn</w:t>
      </w:r>
      <w:r w:rsidR="008F2865" w:rsidRPr="00D20E1C">
        <w:rPr>
          <w:rFonts w:ascii="Arial" w:hAnsi="Arial" w:cs="Arial"/>
          <w:sz w:val="20"/>
          <w:szCs w:val="20"/>
        </w:rPr>
        <w:t xml:space="preserve"> vị hợp thành hoặc tập </w:t>
      </w:r>
      <w:r>
        <w:rPr>
          <w:rFonts w:ascii="Arial" w:hAnsi="Arial" w:cs="Arial"/>
          <w:sz w:val="20"/>
          <w:szCs w:val="20"/>
          <w:lang w:val="en-US"/>
        </w:rPr>
        <w:t>hợp</w:t>
      </w:r>
      <w:r w:rsidR="008F2865" w:rsidRPr="00D20E1C">
        <w:rPr>
          <w:rFonts w:ascii="Arial" w:hAnsi="Arial" w:cs="Arial"/>
          <w:sz w:val="20"/>
          <w:szCs w:val="20"/>
        </w:rPr>
        <w:t xml:space="preserve"> các đơn vị hợp thành của tập đoàn đa quốc gia theo quy định tại Điều 2 của Nghị quyết này có hoạt động sản xuất, kinh doanh tại Việt Nam trong năm tài chính phải áp dụng quy định về thuế thu nhập doanh nghiệp bổ sung tối thiểu nội địa đạt chuẩn.</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 xml:space="preserve">Trường hợp đơn vị hợp thành hoặc tập </w:t>
      </w:r>
      <w:r w:rsidR="00E26740">
        <w:rPr>
          <w:rFonts w:ascii="Arial" w:hAnsi="Arial" w:cs="Arial"/>
          <w:sz w:val="20"/>
          <w:szCs w:val="20"/>
          <w:lang w:val="en-US"/>
        </w:rPr>
        <w:t>hợp</w:t>
      </w:r>
      <w:r w:rsidRPr="00D20E1C">
        <w:rPr>
          <w:rFonts w:ascii="Arial" w:hAnsi="Arial" w:cs="Arial"/>
          <w:sz w:val="20"/>
          <w:szCs w:val="20"/>
        </w:rPr>
        <w:t xml:space="preserve"> các đơn vị </w:t>
      </w:r>
      <w:r w:rsidR="00E26740">
        <w:rPr>
          <w:rFonts w:ascii="Arial" w:hAnsi="Arial" w:cs="Arial"/>
          <w:sz w:val="20"/>
          <w:szCs w:val="20"/>
          <w:lang w:val="en-US"/>
        </w:rPr>
        <w:t>hợp</w:t>
      </w:r>
      <w:r w:rsidRPr="00D20E1C">
        <w:rPr>
          <w:rFonts w:ascii="Arial" w:hAnsi="Arial" w:cs="Arial"/>
          <w:sz w:val="20"/>
          <w:szCs w:val="20"/>
        </w:rPr>
        <w:t xml:space="preserve"> thành tại Việt Nam có thu nhập theo Quy định về thuế tối thiểu toàn cầu và thuế suất thực tế tại Việt Nam dưới mức thuế suất tối thiểu thì thuế thu nhập doanh nghiệp bổ sung tối thiểu nội địa đạt chuẩn tại Việt Nam được xác định theo quy định tại khoản 2 và khoản 9 Điều này.</w:t>
      </w:r>
    </w:p>
    <w:p w:rsidR="005245CB" w:rsidRPr="00D20E1C" w:rsidRDefault="00E26740" w:rsidP="007D45AE">
      <w:pPr>
        <w:pStyle w:val="Vnbnnidung0"/>
        <w:tabs>
          <w:tab w:val="left" w:pos="1134"/>
        </w:tabs>
        <w:spacing w:after="120" w:line="240" w:lineRule="auto"/>
        <w:ind w:firstLine="720"/>
        <w:jc w:val="both"/>
        <w:rPr>
          <w:rFonts w:ascii="Arial" w:hAnsi="Arial" w:cs="Arial"/>
          <w:sz w:val="20"/>
          <w:szCs w:val="20"/>
        </w:rPr>
      </w:pPr>
      <w:bookmarkStart w:id="40" w:name="bookmark39"/>
      <w:bookmarkEnd w:id="40"/>
      <w:r>
        <w:rPr>
          <w:rFonts w:ascii="Arial" w:hAnsi="Arial" w:cs="Arial"/>
          <w:sz w:val="20"/>
          <w:szCs w:val="20"/>
          <w:lang w:val="en-US"/>
        </w:rPr>
        <w:t xml:space="preserve">2. </w:t>
      </w:r>
      <w:r w:rsidR="008F2865" w:rsidRPr="00D20E1C">
        <w:rPr>
          <w:rFonts w:ascii="Arial" w:hAnsi="Arial" w:cs="Arial"/>
          <w:sz w:val="20"/>
          <w:szCs w:val="20"/>
        </w:rPr>
        <w:t>Số thuế thu nhập doanh nghiệp bổ sung tối thiểu nội địa đạt chuẩn được xác định theo công thức sau đây:</w:t>
      </w:r>
    </w:p>
    <w:p w:rsidR="005245CB" w:rsidRPr="006F15C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 xml:space="preserve">Số thuế thu nhập doanh nghiệp bổ sung tối thiểu nội địa đạt chuẩn = (Tỷ lệ thuế bổ sung </w:t>
      </w:r>
      <w:r w:rsidR="00E26740" w:rsidRPr="00D20E1C">
        <w:rPr>
          <w:rFonts w:ascii="Arial" w:hAnsi="Arial" w:cs="Arial"/>
          <w:sz w:val="20"/>
          <w:szCs w:val="20"/>
        </w:rPr>
        <w:t>x</w:t>
      </w:r>
      <w:r w:rsidRPr="00D20E1C">
        <w:rPr>
          <w:rFonts w:ascii="Arial" w:hAnsi="Arial" w:cs="Arial"/>
          <w:sz w:val="20"/>
          <w:szCs w:val="20"/>
        </w:rPr>
        <w:t xml:space="preserve"> </w:t>
      </w:r>
      <w:r w:rsidR="00E26740">
        <w:rPr>
          <w:rFonts w:ascii="Arial" w:hAnsi="Arial" w:cs="Arial"/>
          <w:sz w:val="20"/>
          <w:szCs w:val="20"/>
        </w:rPr>
        <w:t xml:space="preserve">Lợi nhuận tính thuế bổ </w:t>
      </w:r>
      <w:r w:rsidR="00E26740" w:rsidRPr="006F15CC">
        <w:rPr>
          <w:rFonts w:ascii="Arial" w:hAnsi="Arial" w:cs="Arial"/>
          <w:sz w:val="20"/>
          <w:szCs w:val="20"/>
        </w:rPr>
        <w:t xml:space="preserve">sung) + </w:t>
      </w:r>
      <w:r w:rsidR="00E26740" w:rsidRPr="006F15CC">
        <w:rPr>
          <w:rFonts w:ascii="Arial" w:hAnsi="Arial" w:cs="Arial"/>
          <w:sz w:val="20"/>
          <w:szCs w:val="20"/>
          <w:lang w:val="en-US"/>
        </w:rPr>
        <w:t>S</w:t>
      </w:r>
      <w:r w:rsidRPr="006F15CC">
        <w:rPr>
          <w:rFonts w:ascii="Arial" w:hAnsi="Arial" w:cs="Arial"/>
          <w:sz w:val="20"/>
          <w:szCs w:val="20"/>
        </w:rPr>
        <w:t>ố thuế bổ sung được điều chỉnh</w:t>
      </w:r>
      <w:r w:rsidR="00E26740" w:rsidRPr="006F15CC">
        <w:rPr>
          <w:rFonts w:ascii="Arial" w:hAnsi="Arial" w:cs="Arial"/>
          <w:sz w:val="20"/>
          <w:szCs w:val="20"/>
          <w:lang w:val="en-US"/>
        </w:rPr>
        <w:t xml:space="preserve"> </w:t>
      </w:r>
      <w:r w:rsidRPr="006F15CC">
        <w:rPr>
          <w:rFonts w:ascii="Arial" w:hAnsi="Arial" w:cs="Arial"/>
          <w:sz w:val="20"/>
          <w:szCs w:val="20"/>
        </w:rPr>
        <w:t>cho năm hiện hành (nếu có).</w:t>
      </w:r>
    </w:p>
    <w:p w:rsidR="005245CB" w:rsidRPr="00D20E1C" w:rsidRDefault="00E82F4A" w:rsidP="007D45AE">
      <w:pPr>
        <w:pStyle w:val="Vnbnnidung0"/>
        <w:tabs>
          <w:tab w:val="left" w:pos="1284"/>
        </w:tabs>
        <w:spacing w:after="120" w:line="240" w:lineRule="auto"/>
        <w:ind w:firstLine="720"/>
        <w:jc w:val="both"/>
        <w:rPr>
          <w:rFonts w:ascii="Arial" w:hAnsi="Arial" w:cs="Arial"/>
          <w:sz w:val="20"/>
          <w:szCs w:val="20"/>
        </w:rPr>
      </w:pPr>
      <w:bookmarkStart w:id="41" w:name="bookmark40"/>
      <w:bookmarkEnd w:id="41"/>
      <w:r w:rsidRPr="006F15CC">
        <w:rPr>
          <w:rFonts w:ascii="Arial" w:hAnsi="Arial" w:cs="Arial"/>
          <w:sz w:val="20"/>
          <w:szCs w:val="20"/>
          <w:lang w:val="en-US"/>
        </w:rPr>
        <w:t xml:space="preserve">3. </w:t>
      </w:r>
      <w:r w:rsidR="008F2865" w:rsidRPr="006F15CC">
        <w:rPr>
          <w:rFonts w:ascii="Arial" w:hAnsi="Arial" w:cs="Arial"/>
          <w:sz w:val="20"/>
          <w:szCs w:val="20"/>
        </w:rPr>
        <w:t>Tỷ lệ thu</w:t>
      </w:r>
      <w:r w:rsidR="008F2865" w:rsidRPr="00D20E1C">
        <w:rPr>
          <w:rFonts w:ascii="Arial" w:hAnsi="Arial" w:cs="Arial"/>
          <w:sz w:val="20"/>
          <w:szCs w:val="20"/>
        </w:rPr>
        <w:t>ế bổ sung được xác định theo công thức sau đây: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Tỷ lệ thuế bổ sung = Thuế suất tối thiểu - Thuế suất thực tế.</w:t>
      </w:r>
    </w:p>
    <w:p w:rsidR="005245CB" w:rsidRPr="00D20E1C" w:rsidRDefault="006F15CC" w:rsidP="007D45AE">
      <w:pPr>
        <w:pStyle w:val="Vnbnnidung0"/>
        <w:tabs>
          <w:tab w:val="left" w:pos="1287"/>
        </w:tabs>
        <w:spacing w:after="120" w:line="240" w:lineRule="auto"/>
        <w:ind w:firstLine="720"/>
        <w:jc w:val="both"/>
        <w:rPr>
          <w:rFonts w:ascii="Arial" w:hAnsi="Arial" w:cs="Arial"/>
          <w:sz w:val="20"/>
          <w:szCs w:val="20"/>
        </w:rPr>
      </w:pPr>
      <w:bookmarkStart w:id="42" w:name="bookmark41"/>
      <w:bookmarkEnd w:id="42"/>
      <w:r>
        <w:rPr>
          <w:rFonts w:ascii="Arial" w:hAnsi="Arial" w:cs="Arial"/>
          <w:sz w:val="20"/>
          <w:szCs w:val="20"/>
          <w:lang w:val="en-US"/>
        </w:rPr>
        <w:t xml:space="preserve">4. </w:t>
      </w:r>
      <w:r w:rsidR="008F2865" w:rsidRPr="00D20E1C">
        <w:rPr>
          <w:rFonts w:ascii="Arial" w:hAnsi="Arial" w:cs="Arial"/>
          <w:sz w:val="20"/>
          <w:szCs w:val="20"/>
        </w:rPr>
        <w:t>Thuế suất tối thiểu là 15%.</w:t>
      </w:r>
    </w:p>
    <w:p w:rsidR="005245CB" w:rsidRDefault="006F15CC" w:rsidP="007D45AE">
      <w:pPr>
        <w:pStyle w:val="Vnbnnidung0"/>
        <w:tabs>
          <w:tab w:val="left" w:pos="1264"/>
        </w:tabs>
        <w:spacing w:after="120" w:line="240" w:lineRule="auto"/>
        <w:ind w:firstLine="720"/>
        <w:jc w:val="both"/>
        <w:rPr>
          <w:rFonts w:ascii="Arial" w:hAnsi="Arial" w:cs="Arial"/>
          <w:sz w:val="20"/>
          <w:szCs w:val="20"/>
        </w:rPr>
      </w:pPr>
      <w:bookmarkStart w:id="43" w:name="bookmark42"/>
      <w:bookmarkEnd w:id="43"/>
      <w:r>
        <w:rPr>
          <w:rFonts w:ascii="Arial" w:hAnsi="Arial" w:cs="Arial"/>
          <w:sz w:val="20"/>
          <w:szCs w:val="20"/>
          <w:lang w:val="en-US"/>
        </w:rPr>
        <w:t xml:space="preserve">5. </w:t>
      </w:r>
      <w:r w:rsidR="008F2865" w:rsidRPr="00D20E1C">
        <w:rPr>
          <w:rFonts w:ascii="Arial" w:hAnsi="Arial" w:cs="Arial"/>
          <w:sz w:val="20"/>
          <w:szCs w:val="20"/>
        </w:rPr>
        <w:t>Thuế suất thực tế tại Việt Nam được tính cho mỗi năm tài chính và được xác định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703"/>
        <w:gridCol w:w="5477"/>
      </w:tblGrid>
      <w:tr w:rsidR="006F15CC" w:rsidTr="006F15CC">
        <w:tc>
          <w:tcPr>
            <w:tcW w:w="1020" w:type="pct"/>
            <w:vMerge w:val="restart"/>
            <w:vAlign w:val="center"/>
          </w:tcPr>
          <w:p w:rsidR="006F15CC" w:rsidRPr="006F15CC" w:rsidRDefault="006F15CC" w:rsidP="006F15CC">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Thuế suất thực tế tại Việt Nam</w:t>
            </w:r>
          </w:p>
        </w:tc>
        <w:tc>
          <w:tcPr>
            <w:tcW w:w="944" w:type="pct"/>
            <w:vMerge w:val="restart"/>
            <w:vAlign w:val="center"/>
          </w:tcPr>
          <w:p w:rsidR="006F15CC" w:rsidRPr="006F15CC" w:rsidRDefault="006F15CC" w:rsidP="006F15CC">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w:t>
            </w:r>
          </w:p>
        </w:tc>
        <w:tc>
          <w:tcPr>
            <w:tcW w:w="3036" w:type="pct"/>
            <w:tcBorders>
              <w:bottom w:val="single" w:sz="4" w:space="0" w:color="auto"/>
            </w:tcBorders>
            <w:vAlign w:val="center"/>
          </w:tcPr>
          <w:p w:rsidR="006F15CC" w:rsidRDefault="006F15CC" w:rsidP="006F15CC">
            <w:pPr>
              <w:pStyle w:val="Vnbnnidung0"/>
              <w:spacing w:after="0" w:line="240" w:lineRule="auto"/>
              <w:ind w:firstLine="0"/>
              <w:jc w:val="center"/>
              <w:rPr>
                <w:rFonts w:ascii="Arial" w:hAnsi="Arial" w:cs="Arial"/>
                <w:sz w:val="20"/>
                <w:szCs w:val="20"/>
              </w:rPr>
            </w:pPr>
            <w:r w:rsidRPr="00D20E1C">
              <w:rPr>
                <w:rFonts w:ascii="Arial" w:hAnsi="Arial" w:cs="Arial"/>
                <w:sz w:val="20"/>
                <w:szCs w:val="20"/>
              </w:rPr>
              <w:t xml:space="preserve">Tổng số thuế thu nhập doanh nghiệp tại Việt Nam thuộc phạm vi áp dụng đã được điều chỉnh trong năm Thuế suất </w:t>
            </w:r>
            <w:r>
              <w:rPr>
                <w:rFonts w:ascii="Arial" w:hAnsi="Arial" w:cs="Arial"/>
                <w:sz w:val="20"/>
                <w:szCs w:val="20"/>
                <w:lang w:val="en-US"/>
              </w:rPr>
              <w:t>thực</w:t>
            </w:r>
            <w:r w:rsidRPr="00D20E1C">
              <w:rPr>
                <w:rFonts w:ascii="Arial" w:hAnsi="Arial" w:cs="Arial"/>
                <w:sz w:val="20"/>
                <w:szCs w:val="20"/>
              </w:rPr>
              <w:t xml:space="preserve"> tế tài chính của các đơn vị hợp thành tại Việt Nam</w:t>
            </w:r>
          </w:p>
        </w:tc>
      </w:tr>
      <w:tr w:rsidR="006F15CC" w:rsidTr="006F15CC">
        <w:tc>
          <w:tcPr>
            <w:tcW w:w="1020" w:type="pct"/>
            <w:vMerge/>
            <w:vAlign w:val="center"/>
          </w:tcPr>
          <w:p w:rsidR="006F15CC" w:rsidRDefault="006F15CC" w:rsidP="006F15CC">
            <w:pPr>
              <w:pStyle w:val="Vnbnnidung0"/>
              <w:tabs>
                <w:tab w:val="left" w:pos="1264"/>
              </w:tabs>
              <w:spacing w:after="0" w:line="240" w:lineRule="auto"/>
              <w:ind w:firstLine="0"/>
              <w:jc w:val="center"/>
              <w:rPr>
                <w:rFonts w:ascii="Arial" w:hAnsi="Arial" w:cs="Arial"/>
                <w:sz w:val="20"/>
                <w:szCs w:val="20"/>
              </w:rPr>
            </w:pPr>
          </w:p>
        </w:tc>
        <w:tc>
          <w:tcPr>
            <w:tcW w:w="944" w:type="pct"/>
            <w:vMerge/>
            <w:vAlign w:val="center"/>
          </w:tcPr>
          <w:p w:rsidR="006F15CC" w:rsidRDefault="006F15CC" w:rsidP="006F15CC">
            <w:pPr>
              <w:pStyle w:val="Vnbnnidung0"/>
              <w:tabs>
                <w:tab w:val="left" w:pos="1264"/>
              </w:tabs>
              <w:spacing w:after="0" w:line="240" w:lineRule="auto"/>
              <w:ind w:firstLine="0"/>
              <w:jc w:val="center"/>
              <w:rPr>
                <w:rFonts w:ascii="Arial" w:hAnsi="Arial" w:cs="Arial"/>
                <w:sz w:val="20"/>
                <w:szCs w:val="20"/>
              </w:rPr>
            </w:pPr>
          </w:p>
        </w:tc>
        <w:tc>
          <w:tcPr>
            <w:tcW w:w="3036" w:type="pct"/>
            <w:tcBorders>
              <w:top w:val="single" w:sz="4" w:space="0" w:color="auto"/>
            </w:tcBorders>
            <w:vAlign w:val="center"/>
          </w:tcPr>
          <w:p w:rsidR="006F15CC" w:rsidRDefault="006F15CC" w:rsidP="006F15CC">
            <w:pPr>
              <w:pStyle w:val="Vnbnnidung0"/>
              <w:pBdr>
                <w:top w:val="single" w:sz="4" w:space="0" w:color="auto"/>
              </w:pBdr>
              <w:spacing w:after="0" w:line="240" w:lineRule="auto"/>
              <w:ind w:firstLine="0"/>
              <w:jc w:val="center"/>
              <w:rPr>
                <w:rFonts w:ascii="Arial" w:hAnsi="Arial" w:cs="Arial"/>
                <w:sz w:val="20"/>
                <w:szCs w:val="20"/>
              </w:rPr>
            </w:pPr>
            <w:r w:rsidRPr="00D20E1C">
              <w:rPr>
                <w:rFonts w:ascii="Arial" w:hAnsi="Arial" w:cs="Arial"/>
                <w:sz w:val="20"/>
                <w:szCs w:val="20"/>
              </w:rPr>
              <w:t xml:space="preserve">Thu nhập ròng tại Việt Nam trong năm tài chính </w:t>
            </w:r>
            <w:r>
              <w:rPr>
                <w:rFonts w:ascii="Arial" w:hAnsi="Arial" w:cs="Arial"/>
                <w:sz w:val="20"/>
                <w:szCs w:val="20"/>
              </w:rPr>
              <w:t>theo</w:t>
            </w:r>
          </w:p>
          <w:p w:rsidR="006F15CC" w:rsidRPr="00D20E1C" w:rsidRDefault="006F15CC" w:rsidP="006F15CC">
            <w:pPr>
              <w:pStyle w:val="Vnbnnidung0"/>
              <w:pBdr>
                <w:top w:val="single" w:sz="4" w:space="0" w:color="auto"/>
              </w:pBdr>
              <w:spacing w:after="0" w:line="240" w:lineRule="auto"/>
              <w:ind w:firstLine="0"/>
              <w:jc w:val="center"/>
              <w:rPr>
                <w:rFonts w:ascii="Arial" w:hAnsi="Arial" w:cs="Arial"/>
                <w:sz w:val="20"/>
                <w:szCs w:val="20"/>
              </w:rPr>
            </w:pPr>
            <w:r w:rsidRPr="00D20E1C">
              <w:rPr>
                <w:rFonts w:ascii="Arial" w:hAnsi="Arial" w:cs="Arial"/>
                <w:sz w:val="20"/>
                <w:szCs w:val="20"/>
              </w:rPr>
              <w:t>Quy định về thuế tối thiểu toàn cầu</w:t>
            </w:r>
          </w:p>
          <w:p w:rsidR="006F15CC" w:rsidRDefault="006F15CC" w:rsidP="006F15CC">
            <w:pPr>
              <w:pStyle w:val="Vnbnnidung0"/>
              <w:tabs>
                <w:tab w:val="left" w:pos="1264"/>
              </w:tabs>
              <w:spacing w:after="0" w:line="240" w:lineRule="auto"/>
              <w:ind w:firstLine="0"/>
              <w:jc w:val="center"/>
              <w:rPr>
                <w:rFonts w:ascii="Arial" w:hAnsi="Arial" w:cs="Arial"/>
                <w:sz w:val="20"/>
                <w:szCs w:val="20"/>
              </w:rPr>
            </w:pPr>
          </w:p>
        </w:tc>
      </w:tr>
    </w:tbl>
    <w:p w:rsidR="005245CB" w:rsidRPr="00E10BB4" w:rsidRDefault="00380470" w:rsidP="007D45AE">
      <w:pPr>
        <w:pStyle w:val="Vnbnnidung0"/>
        <w:tabs>
          <w:tab w:val="left" w:pos="1287"/>
        </w:tabs>
        <w:spacing w:after="120" w:line="240" w:lineRule="auto"/>
        <w:ind w:firstLine="720"/>
        <w:jc w:val="both"/>
        <w:rPr>
          <w:rFonts w:ascii="Arial" w:hAnsi="Arial" w:cs="Arial"/>
          <w:sz w:val="20"/>
          <w:szCs w:val="20"/>
        </w:rPr>
      </w:pPr>
      <w:bookmarkStart w:id="44" w:name="bookmark43"/>
      <w:bookmarkEnd w:id="44"/>
      <w:r>
        <w:rPr>
          <w:rFonts w:ascii="Arial" w:hAnsi="Arial" w:cs="Arial"/>
          <w:sz w:val="20"/>
          <w:szCs w:val="20"/>
          <w:lang w:val="en-US"/>
        </w:rPr>
        <w:t xml:space="preserve">6. </w:t>
      </w:r>
      <w:r w:rsidR="008F2865" w:rsidRPr="00E10BB4">
        <w:rPr>
          <w:rFonts w:ascii="Arial" w:hAnsi="Arial" w:cs="Arial"/>
          <w:sz w:val="20"/>
          <w:szCs w:val="20"/>
        </w:rPr>
        <w:t>Lợi nhuận tính thuế bổ sung được xác định theo công thức sau đây: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Lợi nhuận tính thuế bổ sung = Thu nhập ròng theo Quy định về thuế tối thiểu toàn cầu - Giá trị tài sản hữu hình và tiền lương được giảm trừ theo Quy định về thuế tối thiểu toàn cầu.</w:t>
      </w:r>
    </w:p>
    <w:p w:rsidR="005245CB" w:rsidRPr="00D20E1C" w:rsidRDefault="00380470" w:rsidP="007D45AE">
      <w:pPr>
        <w:pStyle w:val="Vnbnnidung0"/>
        <w:tabs>
          <w:tab w:val="left" w:pos="1281"/>
        </w:tabs>
        <w:spacing w:after="120" w:line="240" w:lineRule="auto"/>
        <w:ind w:firstLine="720"/>
        <w:jc w:val="both"/>
        <w:rPr>
          <w:rFonts w:ascii="Arial" w:hAnsi="Arial" w:cs="Arial"/>
          <w:sz w:val="20"/>
          <w:szCs w:val="20"/>
        </w:rPr>
      </w:pPr>
      <w:bookmarkStart w:id="45" w:name="bookmark44"/>
      <w:bookmarkEnd w:id="45"/>
      <w:r>
        <w:rPr>
          <w:rFonts w:ascii="Arial" w:hAnsi="Arial" w:cs="Arial"/>
          <w:sz w:val="20"/>
          <w:szCs w:val="20"/>
          <w:lang w:val="en-US"/>
        </w:rPr>
        <w:t xml:space="preserve">7. </w:t>
      </w:r>
      <w:r w:rsidR="008F2865" w:rsidRPr="00D20E1C">
        <w:rPr>
          <w:rFonts w:ascii="Arial" w:hAnsi="Arial" w:cs="Arial"/>
          <w:sz w:val="20"/>
          <w:szCs w:val="20"/>
        </w:rPr>
        <w:t>Thu nhập ròng theo Quy định về thuế tối thiểu toàn cầu được xác định theo công thức sau đây: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Thu nhập ròng theo Quy định về thuế tối thiểu toàn cầu = Thu nhập theo Quy định về thuế tối thiểu toàn cầu của tất cả các đơn vị hợp thành - Lỗ theo Quy định về thuế tối thiểu toàn cầu của tất cả các đơn vị hợp thành.</w:t>
      </w:r>
    </w:p>
    <w:p w:rsidR="005245CB" w:rsidRPr="00D20E1C" w:rsidRDefault="00380470" w:rsidP="007D45AE">
      <w:pPr>
        <w:pStyle w:val="Vnbnnidung0"/>
        <w:tabs>
          <w:tab w:val="left" w:pos="1264"/>
        </w:tabs>
        <w:spacing w:after="120" w:line="240" w:lineRule="auto"/>
        <w:ind w:firstLine="720"/>
        <w:jc w:val="both"/>
        <w:rPr>
          <w:rFonts w:ascii="Arial" w:hAnsi="Arial" w:cs="Arial"/>
          <w:sz w:val="20"/>
          <w:szCs w:val="20"/>
        </w:rPr>
      </w:pPr>
      <w:bookmarkStart w:id="46" w:name="bookmark45"/>
      <w:bookmarkEnd w:id="46"/>
      <w:r>
        <w:rPr>
          <w:rFonts w:ascii="Arial" w:hAnsi="Arial" w:cs="Arial"/>
          <w:sz w:val="20"/>
          <w:szCs w:val="20"/>
          <w:lang w:val="en-US"/>
        </w:rPr>
        <w:t xml:space="preserve">8. </w:t>
      </w:r>
      <w:r>
        <w:rPr>
          <w:rFonts w:ascii="Arial" w:hAnsi="Arial" w:cs="Arial"/>
          <w:sz w:val="20"/>
          <w:szCs w:val="20"/>
        </w:rPr>
        <w:t xml:space="preserve">Giá trị </w:t>
      </w:r>
      <w:r w:rsidR="008F2865" w:rsidRPr="00D20E1C">
        <w:rPr>
          <w:rFonts w:ascii="Arial" w:hAnsi="Arial" w:cs="Arial"/>
          <w:sz w:val="20"/>
          <w:szCs w:val="20"/>
        </w:rPr>
        <w:t xml:space="preserve">tài sản hữu hình và tiền lương được giảm trừ theo Quy định về thuế tối thiểu toàn cầu khi xác định lợi nhuận tính thuế bổ sung là giá trị bằng 5% tổng giá trị tài sản hữu hình trung bình hằng năm của tất cả các đơn vị hợp thành tại Việt Nam và 5% tổng tiền lương của tất cả các đơn vị </w:t>
      </w:r>
      <w:r>
        <w:rPr>
          <w:rFonts w:ascii="Arial" w:hAnsi="Arial" w:cs="Arial"/>
          <w:sz w:val="20"/>
          <w:szCs w:val="20"/>
        </w:rPr>
        <w:t>hợp thành</w:t>
      </w:r>
      <w:r w:rsidR="008F2865" w:rsidRPr="00D20E1C">
        <w:rPr>
          <w:rFonts w:ascii="Arial" w:hAnsi="Arial" w:cs="Arial"/>
          <w:sz w:val="20"/>
          <w:szCs w:val="20"/>
        </w:rPr>
        <w:t xml:space="preserve"> tại Việt Nam theo Quy định về thuế tối thiểu toàn cầu. Trong giai đoạn chuyển tiếp từ năm 2024, </w:t>
      </w:r>
      <w:r w:rsidR="008F2865" w:rsidRPr="00D20E1C">
        <w:rPr>
          <w:rFonts w:ascii="Arial" w:hAnsi="Arial" w:cs="Arial"/>
          <w:sz w:val="20"/>
          <w:szCs w:val="20"/>
        </w:rPr>
        <w:lastRenderedPageBreak/>
        <w:t>giá trị tài sản hữu hình và tiền lương được giảm trừ cho từng năm theo tỷ lệ quy định tại Phụ lục ban hành kèm theo Nghị quyết này.</w:t>
      </w:r>
    </w:p>
    <w:p w:rsidR="005245CB" w:rsidRPr="00D20E1C" w:rsidRDefault="00380470" w:rsidP="007D45AE">
      <w:pPr>
        <w:pStyle w:val="Vnbnnidung0"/>
        <w:tabs>
          <w:tab w:val="left" w:pos="1294"/>
        </w:tabs>
        <w:spacing w:after="120" w:line="240" w:lineRule="auto"/>
        <w:ind w:firstLine="720"/>
        <w:jc w:val="both"/>
        <w:rPr>
          <w:rFonts w:ascii="Arial" w:hAnsi="Arial" w:cs="Arial"/>
          <w:sz w:val="20"/>
          <w:szCs w:val="20"/>
        </w:rPr>
      </w:pPr>
      <w:bookmarkStart w:id="47" w:name="bookmark46"/>
      <w:bookmarkEnd w:id="47"/>
      <w:r>
        <w:rPr>
          <w:rFonts w:ascii="Arial" w:hAnsi="Arial" w:cs="Arial"/>
          <w:sz w:val="20"/>
          <w:szCs w:val="20"/>
          <w:lang w:val="en-US"/>
        </w:rPr>
        <w:t xml:space="preserve">9. </w:t>
      </w:r>
      <w:r w:rsidR="008F2865" w:rsidRPr="00D20E1C">
        <w:rPr>
          <w:rFonts w:ascii="Arial" w:hAnsi="Arial" w:cs="Arial"/>
          <w:sz w:val="20"/>
          <w:szCs w:val="20"/>
        </w:rPr>
        <w:t>Số thuế thu nhập doanh nghiệp bổ sung tối thiểu nội địa đạt chuẩn sẽ được xác định bằng 0 (không) trong một năm tài chính nếu đơn vị hợp thành hoặc tập hợp các đơn vị hợp thành trong năm tài chính liên quan đáp ứng đồng thời các điều kiện sau đây:</w:t>
      </w:r>
    </w:p>
    <w:p w:rsidR="005245CB" w:rsidRPr="00D20E1C" w:rsidRDefault="00380470" w:rsidP="007D45AE">
      <w:pPr>
        <w:pStyle w:val="Vnbnnidung0"/>
        <w:tabs>
          <w:tab w:val="left" w:pos="1313"/>
        </w:tabs>
        <w:spacing w:after="120" w:line="240" w:lineRule="auto"/>
        <w:ind w:firstLine="720"/>
        <w:jc w:val="both"/>
        <w:rPr>
          <w:rFonts w:ascii="Arial" w:hAnsi="Arial" w:cs="Arial"/>
          <w:sz w:val="20"/>
          <w:szCs w:val="20"/>
        </w:rPr>
      </w:pPr>
      <w:bookmarkStart w:id="48" w:name="bookmark47"/>
      <w:bookmarkEnd w:id="48"/>
      <w:r>
        <w:rPr>
          <w:rFonts w:ascii="Arial" w:hAnsi="Arial" w:cs="Arial"/>
          <w:sz w:val="20"/>
          <w:szCs w:val="20"/>
          <w:lang w:val="en-US"/>
        </w:rPr>
        <w:t xml:space="preserve">a) </w:t>
      </w:r>
      <w:r w:rsidR="008F2865" w:rsidRPr="00D20E1C">
        <w:rPr>
          <w:rFonts w:ascii="Arial" w:hAnsi="Arial" w:cs="Arial"/>
          <w:sz w:val="20"/>
          <w:szCs w:val="20"/>
        </w:rPr>
        <w:t>Doanh thu bình quân theo Quy định về thuế tối thiểu toàn cầu tại Việt Nam dưới 10 triệu EUR;</w:t>
      </w:r>
    </w:p>
    <w:p w:rsidR="005245CB" w:rsidRPr="00D20E1C" w:rsidRDefault="00380470" w:rsidP="007D45AE">
      <w:pPr>
        <w:pStyle w:val="Vnbnnidung0"/>
        <w:tabs>
          <w:tab w:val="left" w:pos="1327"/>
        </w:tabs>
        <w:spacing w:after="120" w:line="240" w:lineRule="auto"/>
        <w:ind w:firstLine="720"/>
        <w:jc w:val="both"/>
        <w:rPr>
          <w:rFonts w:ascii="Arial" w:hAnsi="Arial" w:cs="Arial"/>
          <w:sz w:val="20"/>
          <w:szCs w:val="20"/>
        </w:rPr>
      </w:pPr>
      <w:bookmarkStart w:id="49" w:name="bookmark48"/>
      <w:bookmarkEnd w:id="49"/>
      <w:r>
        <w:rPr>
          <w:rFonts w:ascii="Arial" w:hAnsi="Arial" w:cs="Arial"/>
          <w:sz w:val="20"/>
          <w:szCs w:val="20"/>
          <w:lang w:val="en-US"/>
        </w:rPr>
        <w:t xml:space="preserve">b) </w:t>
      </w:r>
      <w:r w:rsidR="008F2865" w:rsidRPr="00D20E1C">
        <w:rPr>
          <w:rFonts w:ascii="Arial" w:hAnsi="Arial" w:cs="Arial"/>
          <w:sz w:val="20"/>
          <w:szCs w:val="20"/>
        </w:rPr>
        <w:t>Thu nhập bình quân theo Quy định về thuế tối thiểu toàn cầu tại Việt Nam dưới 01 triệu EUR hoặc lỗ.</w:t>
      </w:r>
    </w:p>
    <w:p w:rsidR="005245CB" w:rsidRPr="00D20E1C" w:rsidRDefault="00380470" w:rsidP="007D45AE">
      <w:pPr>
        <w:pStyle w:val="Vnbnnidung0"/>
        <w:spacing w:after="120" w:line="240" w:lineRule="auto"/>
        <w:ind w:firstLine="720"/>
        <w:jc w:val="both"/>
        <w:rPr>
          <w:rFonts w:ascii="Arial" w:hAnsi="Arial" w:cs="Arial"/>
          <w:sz w:val="20"/>
          <w:szCs w:val="20"/>
        </w:rPr>
      </w:pPr>
      <w:r>
        <w:rPr>
          <w:rFonts w:ascii="Arial" w:hAnsi="Arial" w:cs="Arial"/>
          <w:sz w:val="20"/>
          <w:szCs w:val="20"/>
        </w:rPr>
        <w:t>Hằ</w:t>
      </w:r>
      <w:r w:rsidR="008F2865" w:rsidRPr="00D20E1C">
        <w:rPr>
          <w:rFonts w:ascii="Arial" w:hAnsi="Arial" w:cs="Arial"/>
          <w:sz w:val="20"/>
          <w:szCs w:val="20"/>
        </w:rPr>
        <w:t xml:space="preserve">ng năm, nếu đáp ứng điều kiện quy định tại khoản này, </w:t>
      </w:r>
      <w:r w:rsidR="00792E7E">
        <w:rPr>
          <w:rFonts w:ascii="Arial" w:hAnsi="Arial" w:cs="Arial"/>
          <w:sz w:val="20"/>
          <w:szCs w:val="20"/>
        </w:rPr>
        <w:t>đơn</w:t>
      </w:r>
      <w:r w:rsidR="008F2865" w:rsidRPr="00D20E1C">
        <w:rPr>
          <w:rFonts w:ascii="Arial" w:hAnsi="Arial" w:cs="Arial"/>
          <w:sz w:val="20"/>
          <w:szCs w:val="20"/>
        </w:rPr>
        <w:t xml:space="preserve"> vị hợp thành được lựa chọn áp dụng hoặc không áp dụng mức thuế thu nhập doanh nghiệp bổ sung tối thiểu nội địa đạt chuẩn bằng 0 (không).</w:t>
      </w:r>
    </w:p>
    <w:p w:rsidR="005245CB" w:rsidRPr="00D20E1C" w:rsidRDefault="00E623B0" w:rsidP="007D45AE">
      <w:pPr>
        <w:pStyle w:val="Vnbnnidung0"/>
        <w:tabs>
          <w:tab w:val="left" w:pos="1203"/>
        </w:tabs>
        <w:spacing w:after="120" w:line="240" w:lineRule="auto"/>
        <w:ind w:firstLine="720"/>
        <w:jc w:val="both"/>
        <w:rPr>
          <w:rFonts w:ascii="Arial" w:hAnsi="Arial" w:cs="Arial"/>
          <w:sz w:val="20"/>
          <w:szCs w:val="20"/>
        </w:rPr>
      </w:pPr>
      <w:bookmarkStart w:id="50" w:name="bookmark49"/>
      <w:bookmarkEnd w:id="50"/>
      <w:r>
        <w:rPr>
          <w:rFonts w:ascii="Arial" w:hAnsi="Arial" w:cs="Arial"/>
          <w:sz w:val="20"/>
          <w:szCs w:val="20"/>
          <w:lang w:val="en-US"/>
        </w:rPr>
        <w:t xml:space="preserve">10. </w:t>
      </w:r>
      <w:r w:rsidR="008F2865" w:rsidRPr="00D20E1C">
        <w:rPr>
          <w:rFonts w:ascii="Arial" w:hAnsi="Arial" w:cs="Arial"/>
          <w:sz w:val="20"/>
          <w:szCs w:val="20"/>
        </w:rPr>
        <w:t>Chính phủ quy định chi tiết Điều này.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b/>
          <w:bCs/>
          <w:sz w:val="20"/>
          <w:szCs w:val="20"/>
        </w:rPr>
        <w:t xml:space="preserve">Điều 5. Quy định về tổng </w:t>
      </w:r>
      <w:r w:rsidR="000A7D98">
        <w:rPr>
          <w:rFonts w:ascii="Arial" w:hAnsi="Arial" w:cs="Arial"/>
          <w:b/>
          <w:bCs/>
          <w:sz w:val="20"/>
          <w:szCs w:val="20"/>
          <w:lang w:val="en-US"/>
        </w:rPr>
        <w:t>hợp</w:t>
      </w:r>
      <w:r w:rsidRPr="00D20E1C">
        <w:rPr>
          <w:rFonts w:ascii="Arial" w:hAnsi="Arial" w:cs="Arial"/>
          <w:b/>
          <w:bCs/>
          <w:sz w:val="20"/>
          <w:szCs w:val="20"/>
        </w:rPr>
        <w:t xml:space="preserve"> thu nhập chịu thuế tối thiểu (IIR)</w:t>
      </w:r>
    </w:p>
    <w:p w:rsidR="005245CB" w:rsidRPr="00D20E1C" w:rsidRDefault="000A7D98" w:rsidP="007D45AE">
      <w:pPr>
        <w:pStyle w:val="Vnbnnidung0"/>
        <w:tabs>
          <w:tab w:val="left" w:pos="1127"/>
        </w:tabs>
        <w:spacing w:after="120" w:line="240" w:lineRule="auto"/>
        <w:ind w:firstLine="720"/>
        <w:jc w:val="both"/>
        <w:rPr>
          <w:rFonts w:ascii="Arial" w:hAnsi="Arial" w:cs="Arial"/>
          <w:sz w:val="20"/>
          <w:szCs w:val="20"/>
        </w:rPr>
      </w:pPr>
      <w:bookmarkStart w:id="51" w:name="bookmark50"/>
      <w:bookmarkEnd w:id="51"/>
      <w:r>
        <w:rPr>
          <w:rFonts w:ascii="Arial" w:hAnsi="Arial" w:cs="Arial"/>
          <w:sz w:val="20"/>
          <w:szCs w:val="20"/>
          <w:lang w:val="en-US"/>
        </w:rPr>
        <w:t xml:space="preserve">1. </w:t>
      </w:r>
      <w:r w:rsidR="008F2865" w:rsidRPr="00D20E1C">
        <w:rPr>
          <w:rFonts w:ascii="Arial" w:hAnsi="Arial" w:cs="Arial"/>
          <w:sz w:val="20"/>
          <w:szCs w:val="20"/>
        </w:rPr>
        <w:t xml:space="preserve">Công ty mẹ tối cao, công ty mẹ bị sở hữu một phần, công ty mẹ trung gian tại Việt Nam là </w:t>
      </w:r>
      <w:r>
        <w:rPr>
          <w:rFonts w:ascii="Arial" w:hAnsi="Arial" w:cs="Arial"/>
          <w:sz w:val="20"/>
          <w:szCs w:val="20"/>
          <w:lang w:val="en-US"/>
        </w:rPr>
        <w:t>đơn</w:t>
      </w:r>
      <w:r w:rsidR="008F2865" w:rsidRPr="00D20E1C">
        <w:rPr>
          <w:rFonts w:ascii="Arial" w:hAnsi="Arial" w:cs="Arial"/>
          <w:sz w:val="20"/>
          <w:szCs w:val="20"/>
        </w:rPr>
        <w:t xml:space="preserve"> vị hợp thành theo quy định tại Điều 2 của Nghị quyết này, nắm giữ trực tiếp hoặc gián tiếp quyền sở hữu </w:t>
      </w:r>
      <w:r w:rsidR="00792E7E">
        <w:rPr>
          <w:rFonts w:ascii="Arial" w:hAnsi="Arial" w:cs="Arial"/>
          <w:sz w:val="20"/>
          <w:szCs w:val="20"/>
        </w:rPr>
        <w:t>đơn</w:t>
      </w:r>
      <w:r w:rsidR="008F2865" w:rsidRPr="00D20E1C">
        <w:rPr>
          <w:rFonts w:ascii="Arial" w:hAnsi="Arial" w:cs="Arial"/>
          <w:sz w:val="20"/>
          <w:szCs w:val="20"/>
        </w:rPr>
        <w:t xml:space="preserve"> vị hợp thành chịu thuế suất thấp tại nước ngoài theo Quy định về thuế tối thiểu toàn cầu tại bất kỳ thời điểm nào trong năm tài chính phải khai và nộp thuế theo quy định về tổng hợp thu nhập chịu thuế tối thiểu bằng phần thuế phân bổ từ thuế bổ sung theo Quy định về thuế tối thiểu toàn cầu của các đơn vị </w:t>
      </w:r>
      <w:r w:rsidR="00380470">
        <w:rPr>
          <w:rFonts w:ascii="Arial" w:hAnsi="Arial" w:cs="Arial"/>
          <w:sz w:val="20"/>
          <w:szCs w:val="20"/>
        </w:rPr>
        <w:t>hợp thành</w:t>
      </w:r>
      <w:r w:rsidR="008F2865" w:rsidRPr="00D20E1C">
        <w:rPr>
          <w:rFonts w:ascii="Arial" w:hAnsi="Arial" w:cs="Arial"/>
          <w:sz w:val="20"/>
          <w:szCs w:val="20"/>
        </w:rPr>
        <w:t xml:space="preserve"> chịu thuế suất thấp ở nước ngoài trong năm tài chính, trừ trường </w:t>
      </w:r>
      <w:r>
        <w:rPr>
          <w:rFonts w:ascii="Arial" w:hAnsi="Arial" w:cs="Arial"/>
          <w:sz w:val="20"/>
          <w:szCs w:val="20"/>
          <w:lang w:val="en-US"/>
        </w:rPr>
        <w:t>hợp</w:t>
      </w:r>
      <w:r w:rsidR="008F2865" w:rsidRPr="00D20E1C">
        <w:rPr>
          <w:rFonts w:ascii="Arial" w:hAnsi="Arial" w:cs="Arial"/>
          <w:sz w:val="20"/>
          <w:szCs w:val="20"/>
        </w:rPr>
        <w:t xml:space="preserve"> số thuế bổ sung này được nộp ở nước khác, nơi có quy định về </w:t>
      </w:r>
      <w:r>
        <w:rPr>
          <w:rFonts w:ascii="Arial" w:hAnsi="Arial" w:cs="Arial"/>
          <w:sz w:val="20"/>
          <w:szCs w:val="20"/>
        </w:rPr>
        <w:t>tổng hợp</w:t>
      </w:r>
      <w:r w:rsidR="008F2865" w:rsidRPr="00D20E1C">
        <w:rPr>
          <w:rFonts w:ascii="Arial" w:hAnsi="Arial" w:cs="Arial"/>
          <w:sz w:val="20"/>
          <w:szCs w:val="20"/>
        </w:rPr>
        <w:t xml:space="preserve"> thu nhập chịu thuế tối thiểu đạt chuẩn được ưu tiên áp dụng theo Quy định về thuế tối thiểu toàn cầu về thứ tự ưu tiên đánh thuế.</w:t>
      </w:r>
    </w:p>
    <w:p w:rsidR="005245CB" w:rsidRPr="00D20E1C" w:rsidRDefault="000A7D98" w:rsidP="007D45AE">
      <w:pPr>
        <w:pStyle w:val="Vnbnnidung0"/>
        <w:tabs>
          <w:tab w:val="left" w:pos="1091"/>
        </w:tabs>
        <w:spacing w:after="120" w:line="240" w:lineRule="auto"/>
        <w:ind w:firstLine="720"/>
        <w:jc w:val="both"/>
        <w:rPr>
          <w:rFonts w:ascii="Arial" w:hAnsi="Arial" w:cs="Arial"/>
          <w:sz w:val="20"/>
          <w:szCs w:val="20"/>
        </w:rPr>
      </w:pPr>
      <w:bookmarkStart w:id="52" w:name="bookmark51"/>
      <w:bookmarkEnd w:id="52"/>
      <w:r>
        <w:rPr>
          <w:rFonts w:ascii="Arial" w:hAnsi="Arial" w:cs="Arial"/>
          <w:sz w:val="20"/>
          <w:szCs w:val="20"/>
          <w:lang w:val="en-US"/>
        </w:rPr>
        <w:t xml:space="preserve">2. </w:t>
      </w:r>
      <w:r w:rsidR="008F2865" w:rsidRPr="00D20E1C">
        <w:rPr>
          <w:rFonts w:ascii="Arial" w:hAnsi="Arial" w:cs="Arial"/>
          <w:sz w:val="20"/>
          <w:szCs w:val="20"/>
        </w:rPr>
        <w:t>Tổng số thuế bổ sung tại một nước được xác định theo công thức sau đây: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 xml:space="preserve">Tổng số thuế bổ sung tại một nước = (Tỷ lệ thuế </w:t>
      </w:r>
      <w:r w:rsidR="000A7D98">
        <w:rPr>
          <w:rFonts w:ascii="Arial" w:hAnsi="Arial" w:cs="Arial"/>
          <w:sz w:val="20"/>
          <w:szCs w:val="20"/>
          <w:lang w:val="en-US"/>
        </w:rPr>
        <w:t>bổ</w:t>
      </w:r>
      <w:r w:rsidRPr="00D20E1C">
        <w:rPr>
          <w:rFonts w:ascii="Arial" w:hAnsi="Arial" w:cs="Arial"/>
          <w:sz w:val="20"/>
          <w:szCs w:val="20"/>
        </w:rPr>
        <w:t xml:space="preserve"> sung </w:t>
      </w:r>
      <w:r w:rsidR="000A7D98">
        <w:rPr>
          <w:rFonts w:ascii="Arial" w:hAnsi="Arial" w:cs="Arial"/>
          <w:sz w:val="20"/>
          <w:szCs w:val="20"/>
          <w:lang w:val="en-US"/>
        </w:rPr>
        <w:t>x</w:t>
      </w:r>
      <w:r w:rsidRPr="00D20E1C">
        <w:rPr>
          <w:rFonts w:ascii="Arial" w:hAnsi="Arial" w:cs="Arial"/>
          <w:sz w:val="20"/>
          <w:szCs w:val="20"/>
        </w:rPr>
        <w:t xml:space="preserve"> Lợi nhuận tính thuế bổ sung) + Số thuế bổ sung được điều chỉnh cho năm hiện hành (nếu có) - Số thuế bổ sung tối thiểu nội địa đạt chuẩn (nếu có).</w:t>
      </w:r>
    </w:p>
    <w:p w:rsidR="005245CB" w:rsidRPr="00D20E1C" w:rsidRDefault="000A7D98" w:rsidP="007D45AE">
      <w:pPr>
        <w:pStyle w:val="Vnbnnidung0"/>
        <w:tabs>
          <w:tab w:val="left" w:pos="1091"/>
        </w:tabs>
        <w:spacing w:after="120" w:line="240" w:lineRule="auto"/>
        <w:ind w:firstLine="720"/>
        <w:jc w:val="both"/>
        <w:rPr>
          <w:rFonts w:ascii="Arial" w:hAnsi="Arial" w:cs="Arial"/>
          <w:sz w:val="20"/>
          <w:szCs w:val="20"/>
        </w:rPr>
      </w:pPr>
      <w:bookmarkStart w:id="53" w:name="bookmark52"/>
      <w:bookmarkEnd w:id="53"/>
      <w:r>
        <w:rPr>
          <w:rFonts w:ascii="Arial" w:hAnsi="Arial" w:cs="Arial"/>
          <w:sz w:val="20"/>
          <w:szCs w:val="20"/>
          <w:lang w:val="en-US"/>
        </w:rPr>
        <w:t xml:space="preserve">3. </w:t>
      </w:r>
      <w:r w:rsidR="008F2865" w:rsidRPr="00D20E1C">
        <w:rPr>
          <w:rFonts w:ascii="Arial" w:hAnsi="Arial" w:cs="Arial"/>
          <w:sz w:val="20"/>
          <w:szCs w:val="20"/>
        </w:rPr>
        <w:t>Tỷ lệ thuế bổ sung được xác định theo công thức sau đây:</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Tỷ lệ thuế bổ sung = Thuế suấ</w:t>
      </w:r>
      <w:r w:rsidR="00115804">
        <w:rPr>
          <w:rFonts w:ascii="Arial" w:hAnsi="Arial" w:cs="Arial"/>
          <w:sz w:val="20"/>
          <w:szCs w:val="20"/>
        </w:rPr>
        <w:t>t tối thiểu - Thuế suất thực tế.</w:t>
      </w:r>
    </w:p>
    <w:p w:rsidR="005245CB" w:rsidRPr="00D20E1C" w:rsidRDefault="000A7D98" w:rsidP="007D45AE">
      <w:pPr>
        <w:pStyle w:val="Vnbnnidung0"/>
        <w:tabs>
          <w:tab w:val="left" w:pos="1091"/>
        </w:tabs>
        <w:spacing w:after="120" w:line="240" w:lineRule="auto"/>
        <w:ind w:firstLine="720"/>
        <w:jc w:val="both"/>
        <w:rPr>
          <w:rFonts w:ascii="Arial" w:hAnsi="Arial" w:cs="Arial"/>
          <w:sz w:val="20"/>
          <w:szCs w:val="20"/>
        </w:rPr>
      </w:pPr>
      <w:bookmarkStart w:id="54" w:name="bookmark53"/>
      <w:bookmarkEnd w:id="54"/>
      <w:r>
        <w:rPr>
          <w:rFonts w:ascii="Arial" w:hAnsi="Arial" w:cs="Arial"/>
          <w:sz w:val="20"/>
          <w:szCs w:val="20"/>
          <w:lang w:val="en-US"/>
        </w:rPr>
        <w:t xml:space="preserve">4. </w:t>
      </w:r>
      <w:r w:rsidR="008F2865" w:rsidRPr="00D20E1C">
        <w:rPr>
          <w:rFonts w:ascii="Arial" w:hAnsi="Arial" w:cs="Arial"/>
          <w:sz w:val="20"/>
          <w:szCs w:val="20"/>
        </w:rPr>
        <w:t>Thuế suất tối thiểu là 15%.</w:t>
      </w:r>
    </w:p>
    <w:p w:rsidR="005245CB" w:rsidRDefault="000A7D98" w:rsidP="007D45AE">
      <w:pPr>
        <w:pStyle w:val="Vnbnnidung0"/>
        <w:tabs>
          <w:tab w:val="left" w:pos="1118"/>
        </w:tabs>
        <w:spacing w:after="120" w:line="240" w:lineRule="auto"/>
        <w:ind w:firstLine="720"/>
        <w:jc w:val="both"/>
        <w:rPr>
          <w:rFonts w:ascii="Arial" w:hAnsi="Arial" w:cs="Arial"/>
          <w:sz w:val="20"/>
          <w:szCs w:val="20"/>
        </w:rPr>
      </w:pPr>
      <w:bookmarkStart w:id="55" w:name="bookmark54"/>
      <w:bookmarkEnd w:id="55"/>
      <w:r>
        <w:rPr>
          <w:rFonts w:ascii="Arial" w:hAnsi="Arial" w:cs="Arial"/>
          <w:sz w:val="20"/>
          <w:szCs w:val="20"/>
          <w:lang w:val="en-US"/>
        </w:rPr>
        <w:t xml:space="preserve">5. </w:t>
      </w:r>
      <w:r w:rsidR="008F2865" w:rsidRPr="00D20E1C">
        <w:rPr>
          <w:rFonts w:ascii="Arial" w:hAnsi="Arial" w:cs="Arial"/>
          <w:sz w:val="20"/>
          <w:szCs w:val="20"/>
        </w:rPr>
        <w:t>Thuế suất thực tế tại một nước được tính cho mỗi năm tài chính và được xác định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703"/>
        <w:gridCol w:w="5477"/>
      </w:tblGrid>
      <w:tr w:rsidR="00FB070D" w:rsidTr="0069270A">
        <w:tc>
          <w:tcPr>
            <w:tcW w:w="1020" w:type="pct"/>
            <w:vMerge w:val="restart"/>
            <w:vAlign w:val="center"/>
          </w:tcPr>
          <w:p w:rsidR="00FB070D" w:rsidRPr="006F15CC" w:rsidRDefault="00FB070D" w:rsidP="00FB070D">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Thuế suất thực tế tại một nước</w:t>
            </w:r>
          </w:p>
        </w:tc>
        <w:tc>
          <w:tcPr>
            <w:tcW w:w="944" w:type="pct"/>
            <w:vMerge w:val="restart"/>
            <w:vAlign w:val="center"/>
          </w:tcPr>
          <w:p w:rsidR="00FB070D" w:rsidRPr="006F15CC" w:rsidRDefault="00FB070D" w:rsidP="0069270A">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w:t>
            </w:r>
          </w:p>
        </w:tc>
        <w:tc>
          <w:tcPr>
            <w:tcW w:w="3036" w:type="pct"/>
            <w:tcBorders>
              <w:bottom w:val="single" w:sz="4" w:space="0" w:color="auto"/>
            </w:tcBorders>
            <w:vAlign w:val="center"/>
          </w:tcPr>
          <w:p w:rsidR="00FB070D" w:rsidRDefault="00FB070D" w:rsidP="00FB070D">
            <w:pPr>
              <w:pStyle w:val="Vnbnnidung0"/>
              <w:spacing w:after="120" w:line="240" w:lineRule="auto"/>
              <w:ind w:firstLine="0"/>
              <w:jc w:val="center"/>
              <w:rPr>
                <w:rFonts w:ascii="Arial" w:hAnsi="Arial" w:cs="Arial"/>
                <w:sz w:val="20"/>
                <w:szCs w:val="20"/>
              </w:rPr>
            </w:pPr>
            <w:r w:rsidRPr="00D20E1C">
              <w:rPr>
                <w:rFonts w:ascii="Arial" w:hAnsi="Arial" w:cs="Arial"/>
                <w:sz w:val="20"/>
                <w:szCs w:val="20"/>
              </w:rPr>
              <w:t>Tổng số thuế thu nhập doanh nghiệp tại nước đó thuộc phạm vi áp dụng đã đượ</w:t>
            </w:r>
            <w:r w:rsidR="002A4FC1">
              <w:rPr>
                <w:rFonts w:ascii="Arial" w:hAnsi="Arial" w:cs="Arial"/>
                <w:sz w:val="20"/>
                <w:szCs w:val="20"/>
              </w:rPr>
              <w:t>c điều chỉnh trong Thuế suất thự</w:t>
            </w:r>
            <w:r w:rsidRPr="00D20E1C">
              <w:rPr>
                <w:rFonts w:ascii="Arial" w:hAnsi="Arial" w:cs="Arial"/>
                <w:sz w:val="20"/>
                <w:szCs w:val="20"/>
              </w:rPr>
              <w:t xml:space="preserve">c tế năm tài chính của các đơn vị hợp </w:t>
            </w:r>
            <w:r>
              <w:rPr>
                <w:rFonts w:ascii="Arial" w:hAnsi="Arial" w:cs="Arial"/>
                <w:sz w:val="20"/>
                <w:szCs w:val="20"/>
              </w:rPr>
              <w:t>thành tại nước đó</w:t>
            </w:r>
          </w:p>
        </w:tc>
      </w:tr>
      <w:tr w:rsidR="00FB070D" w:rsidTr="0069270A">
        <w:tc>
          <w:tcPr>
            <w:tcW w:w="1020" w:type="pct"/>
            <w:vMerge/>
            <w:vAlign w:val="center"/>
          </w:tcPr>
          <w:p w:rsidR="00FB070D" w:rsidRDefault="00FB070D" w:rsidP="0069270A">
            <w:pPr>
              <w:pStyle w:val="Vnbnnidung0"/>
              <w:tabs>
                <w:tab w:val="left" w:pos="1264"/>
              </w:tabs>
              <w:spacing w:after="0" w:line="240" w:lineRule="auto"/>
              <w:ind w:firstLine="0"/>
              <w:jc w:val="center"/>
              <w:rPr>
                <w:rFonts w:ascii="Arial" w:hAnsi="Arial" w:cs="Arial"/>
                <w:sz w:val="20"/>
                <w:szCs w:val="20"/>
              </w:rPr>
            </w:pPr>
          </w:p>
        </w:tc>
        <w:tc>
          <w:tcPr>
            <w:tcW w:w="944" w:type="pct"/>
            <w:vMerge/>
            <w:vAlign w:val="center"/>
          </w:tcPr>
          <w:p w:rsidR="00FB070D" w:rsidRDefault="00FB070D" w:rsidP="0069270A">
            <w:pPr>
              <w:pStyle w:val="Vnbnnidung0"/>
              <w:tabs>
                <w:tab w:val="left" w:pos="1264"/>
              </w:tabs>
              <w:spacing w:after="0" w:line="240" w:lineRule="auto"/>
              <w:ind w:firstLine="0"/>
              <w:jc w:val="center"/>
              <w:rPr>
                <w:rFonts w:ascii="Arial" w:hAnsi="Arial" w:cs="Arial"/>
                <w:sz w:val="20"/>
                <w:szCs w:val="20"/>
              </w:rPr>
            </w:pPr>
          </w:p>
        </w:tc>
        <w:tc>
          <w:tcPr>
            <w:tcW w:w="3036" w:type="pct"/>
            <w:tcBorders>
              <w:top w:val="single" w:sz="4" w:space="0" w:color="auto"/>
            </w:tcBorders>
            <w:vAlign w:val="center"/>
          </w:tcPr>
          <w:p w:rsidR="00FB070D" w:rsidRDefault="00FB070D" w:rsidP="00FB070D">
            <w:pPr>
              <w:pStyle w:val="Vnbnnidung0"/>
              <w:spacing w:after="120" w:line="240" w:lineRule="auto"/>
              <w:ind w:firstLine="0"/>
              <w:jc w:val="center"/>
              <w:rPr>
                <w:rFonts w:ascii="Arial" w:hAnsi="Arial" w:cs="Arial"/>
                <w:sz w:val="20"/>
                <w:szCs w:val="20"/>
              </w:rPr>
            </w:pPr>
            <w:r w:rsidRPr="00D20E1C">
              <w:rPr>
                <w:rFonts w:ascii="Arial" w:hAnsi="Arial" w:cs="Arial"/>
                <w:sz w:val="20"/>
                <w:szCs w:val="20"/>
              </w:rPr>
              <w:t>Thu nhập ròng tại nước đó trong năm tài chính theo</w:t>
            </w:r>
            <w:r w:rsidRPr="00D20E1C">
              <w:rPr>
                <w:rFonts w:ascii="Arial" w:hAnsi="Arial" w:cs="Arial"/>
                <w:sz w:val="20"/>
                <w:szCs w:val="20"/>
              </w:rPr>
              <w:br/>
              <w:t>Quy định về thuế tối thiểu toàn cầu</w:t>
            </w:r>
          </w:p>
        </w:tc>
      </w:tr>
    </w:tbl>
    <w:p w:rsidR="005245CB" w:rsidRPr="00D20E1C" w:rsidRDefault="00FB070D" w:rsidP="007D45AE">
      <w:pPr>
        <w:pStyle w:val="Vnbnnidung0"/>
        <w:tabs>
          <w:tab w:val="left" w:pos="1118"/>
        </w:tabs>
        <w:spacing w:after="120" w:line="240" w:lineRule="auto"/>
        <w:ind w:firstLine="720"/>
        <w:jc w:val="both"/>
        <w:rPr>
          <w:rFonts w:ascii="Arial" w:hAnsi="Arial" w:cs="Arial"/>
          <w:sz w:val="20"/>
          <w:szCs w:val="20"/>
        </w:rPr>
      </w:pPr>
      <w:bookmarkStart w:id="56" w:name="bookmark55"/>
      <w:bookmarkEnd w:id="56"/>
      <w:r>
        <w:rPr>
          <w:rFonts w:ascii="Arial" w:hAnsi="Arial" w:cs="Arial"/>
          <w:sz w:val="20"/>
          <w:szCs w:val="20"/>
        </w:rPr>
        <w:t xml:space="preserve">6. </w:t>
      </w:r>
      <w:r w:rsidR="008F2865" w:rsidRPr="00D20E1C">
        <w:rPr>
          <w:rFonts w:ascii="Arial" w:hAnsi="Arial" w:cs="Arial"/>
          <w:sz w:val="20"/>
          <w:szCs w:val="20"/>
        </w:rPr>
        <w:t>Lợi nhuận tính thuế bổ sung được xác định theo quy định tại khoản 6 Điều 4 của Nghị quyết này.</w:t>
      </w:r>
    </w:p>
    <w:p w:rsidR="005245CB" w:rsidRPr="00D20E1C" w:rsidRDefault="00FB070D" w:rsidP="007D45AE">
      <w:pPr>
        <w:pStyle w:val="Vnbnnidung0"/>
        <w:tabs>
          <w:tab w:val="left" w:pos="1111"/>
        </w:tabs>
        <w:spacing w:after="120" w:line="240" w:lineRule="auto"/>
        <w:ind w:firstLine="720"/>
        <w:jc w:val="both"/>
        <w:rPr>
          <w:rFonts w:ascii="Arial" w:hAnsi="Arial" w:cs="Arial"/>
          <w:sz w:val="20"/>
          <w:szCs w:val="20"/>
        </w:rPr>
      </w:pPr>
      <w:bookmarkStart w:id="57" w:name="bookmark56"/>
      <w:bookmarkEnd w:id="57"/>
      <w:r>
        <w:rPr>
          <w:rFonts w:ascii="Arial" w:hAnsi="Arial" w:cs="Arial"/>
          <w:sz w:val="20"/>
          <w:szCs w:val="20"/>
          <w:lang w:val="en-US"/>
        </w:rPr>
        <w:t xml:space="preserve">7. </w:t>
      </w:r>
      <w:r w:rsidR="008F2865" w:rsidRPr="00D20E1C">
        <w:rPr>
          <w:rFonts w:ascii="Arial" w:hAnsi="Arial" w:cs="Arial"/>
          <w:sz w:val="20"/>
          <w:szCs w:val="20"/>
        </w:rPr>
        <w:t>Thu nhập ròng theo Quy định về thuế tối thiểu toàn cầu tại một nước được xác định theo quy định tại khoản 7 Điều 4 của Nghị quyết này.</w:t>
      </w:r>
    </w:p>
    <w:p w:rsidR="005245CB" w:rsidRPr="00D20E1C" w:rsidRDefault="00FB070D" w:rsidP="007D45AE">
      <w:pPr>
        <w:pStyle w:val="Vnbnnidung0"/>
        <w:tabs>
          <w:tab w:val="left" w:pos="1102"/>
        </w:tabs>
        <w:spacing w:after="120" w:line="240" w:lineRule="auto"/>
        <w:ind w:firstLine="720"/>
        <w:jc w:val="both"/>
        <w:rPr>
          <w:rFonts w:ascii="Arial" w:hAnsi="Arial" w:cs="Arial"/>
          <w:sz w:val="20"/>
          <w:szCs w:val="20"/>
        </w:rPr>
      </w:pPr>
      <w:bookmarkStart w:id="58" w:name="bookmark57"/>
      <w:bookmarkEnd w:id="58"/>
      <w:r>
        <w:rPr>
          <w:rFonts w:ascii="Arial" w:hAnsi="Arial" w:cs="Arial"/>
          <w:sz w:val="20"/>
          <w:szCs w:val="20"/>
          <w:lang w:val="en-US"/>
        </w:rPr>
        <w:t xml:space="preserve">8. </w:t>
      </w:r>
      <w:r w:rsidR="008F2865" w:rsidRPr="00D20E1C">
        <w:rPr>
          <w:rFonts w:ascii="Arial" w:hAnsi="Arial" w:cs="Arial"/>
          <w:sz w:val="20"/>
          <w:szCs w:val="20"/>
        </w:rPr>
        <w:t>Giá trị tài sản hữu hình và tiền lương được giảm trừ theo Quy định về thuế tối thiểu toàn cầu khi xác định lợi nhuận tính thuế bổ sung là giá trị bằng 5% tổng giá trị tài sản hữu hình trung bình hằng năm của tất cả các đơn vị hợp thành tại một nước và 5% tổng tiền lương của tất cả các đơn vị hợp thành tại một nước theo Quy định về thuế tối thiểu toàn cầu. Trong giai đoạn chuyển tiếp từ năm 2024, giá trị tài sản hữu hình và tiền lương được giảm trừ cho từng năm theo tỷ lệ quy định tại Phụ lục ban hành kèm theo Nghị quyết này.</w:t>
      </w:r>
    </w:p>
    <w:p w:rsidR="005245CB" w:rsidRPr="00D20E1C" w:rsidRDefault="00FB070D" w:rsidP="007D45AE">
      <w:pPr>
        <w:pStyle w:val="Vnbnnidung0"/>
        <w:tabs>
          <w:tab w:val="left" w:pos="1123"/>
        </w:tabs>
        <w:spacing w:after="120" w:line="240" w:lineRule="auto"/>
        <w:ind w:firstLine="720"/>
        <w:jc w:val="both"/>
        <w:rPr>
          <w:rFonts w:ascii="Arial" w:hAnsi="Arial" w:cs="Arial"/>
          <w:sz w:val="20"/>
          <w:szCs w:val="20"/>
        </w:rPr>
      </w:pPr>
      <w:bookmarkStart w:id="59" w:name="bookmark58"/>
      <w:bookmarkEnd w:id="59"/>
      <w:r>
        <w:rPr>
          <w:rFonts w:ascii="Arial" w:hAnsi="Arial" w:cs="Arial"/>
          <w:sz w:val="20"/>
          <w:szCs w:val="20"/>
          <w:lang w:val="en-US"/>
        </w:rPr>
        <w:t xml:space="preserve">9. </w:t>
      </w:r>
      <w:r w:rsidR="008F2865" w:rsidRPr="00D20E1C">
        <w:rPr>
          <w:rFonts w:ascii="Arial" w:hAnsi="Arial" w:cs="Arial"/>
          <w:sz w:val="20"/>
          <w:szCs w:val="20"/>
        </w:rPr>
        <w:t>Số thuế bổ sung tối thiểu nội địa đạt chuẩn là số tiền phải trả theo Quy định về thuế bổ sung tối thiểu nội địa đạt chuẩn tại một nước khác trong năm tài chính.</w:t>
      </w:r>
    </w:p>
    <w:p w:rsidR="005245CB" w:rsidRDefault="00FB070D" w:rsidP="007D45AE">
      <w:pPr>
        <w:pStyle w:val="Vnbnnidung0"/>
        <w:tabs>
          <w:tab w:val="left" w:pos="1220"/>
        </w:tabs>
        <w:spacing w:after="120" w:line="240" w:lineRule="auto"/>
        <w:ind w:firstLine="720"/>
        <w:jc w:val="both"/>
        <w:rPr>
          <w:rFonts w:ascii="Arial" w:hAnsi="Arial" w:cs="Arial"/>
          <w:sz w:val="20"/>
          <w:szCs w:val="20"/>
        </w:rPr>
      </w:pPr>
      <w:bookmarkStart w:id="60" w:name="bookmark59"/>
      <w:bookmarkEnd w:id="60"/>
      <w:r>
        <w:rPr>
          <w:rFonts w:ascii="Arial" w:hAnsi="Arial" w:cs="Arial"/>
          <w:sz w:val="20"/>
          <w:szCs w:val="20"/>
          <w:lang w:val="en-US"/>
        </w:rPr>
        <w:t xml:space="preserve">10. </w:t>
      </w:r>
      <w:r w:rsidR="008F2865" w:rsidRPr="00D20E1C">
        <w:rPr>
          <w:rFonts w:ascii="Arial" w:hAnsi="Arial" w:cs="Arial"/>
          <w:sz w:val="20"/>
          <w:szCs w:val="20"/>
        </w:rPr>
        <w:t xml:space="preserve">Số thuế bổ sung của mỗi đơn vị </w:t>
      </w:r>
      <w:r w:rsidR="00380470">
        <w:rPr>
          <w:rFonts w:ascii="Arial" w:hAnsi="Arial" w:cs="Arial"/>
          <w:sz w:val="20"/>
          <w:szCs w:val="20"/>
        </w:rPr>
        <w:t>hợp thành</w:t>
      </w:r>
      <w:r w:rsidR="008F2865" w:rsidRPr="00D20E1C">
        <w:rPr>
          <w:rFonts w:ascii="Arial" w:hAnsi="Arial" w:cs="Arial"/>
          <w:sz w:val="20"/>
          <w:szCs w:val="20"/>
        </w:rPr>
        <w:t xml:space="preserve"> tại một nước có thu nhập theo Quy định về thuế tối thiểu toàn cầu trong năm tài chính đã được đưa vào khi tính thu nhập ròng theo Quy định về thuế </w:t>
      </w:r>
      <w:r w:rsidR="008F2865" w:rsidRPr="00D20E1C">
        <w:rPr>
          <w:rFonts w:ascii="Arial" w:hAnsi="Arial" w:cs="Arial"/>
          <w:sz w:val="20"/>
          <w:szCs w:val="20"/>
        </w:rPr>
        <w:lastRenderedPageBreak/>
        <w:t>tối thiểu toàn cầu tại nước đó được xác định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850"/>
        <w:gridCol w:w="1701"/>
        <w:gridCol w:w="851"/>
        <w:gridCol w:w="3774"/>
      </w:tblGrid>
      <w:tr w:rsidR="00FB070D" w:rsidTr="00FB070D">
        <w:tc>
          <w:tcPr>
            <w:tcW w:w="1022" w:type="pct"/>
            <w:vMerge w:val="restart"/>
            <w:vAlign w:val="center"/>
          </w:tcPr>
          <w:p w:rsidR="00FB070D" w:rsidRPr="006F15CC" w:rsidRDefault="00FB070D" w:rsidP="0069270A">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Số thuế bổ sung của đơn vị hợp thành</w:t>
            </w:r>
          </w:p>
        </w:tc>
        <w:tc>
          <w:tcPr>
            <w:tcW w:w="471" w:type="pct"/>
            <w:vMerge w:val="restart"/>
            <w:vAlign w:val="center"/>
          </w:tcPr>
          <w:p w:rsidR="00FB070D" w:rsidRDefault="00FB070D" w:rsidP="00FB070D">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w:t>
            </w:r>
          </w:p>
        </w:tc>
        <w:tc>
          <w:tcPr>
            <w:tcW w:w="943" w:type="pct"/>
            <w:vMerge w:val="restart"/>
            <w:vAlign w:val="center"/>
          </w:tcPr>
          <w:p w:rsidR="00FB070D" w:rsidRPr="006F15CC" w:rsidRDefault="00FB070D" w:rsidP="0069270A">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Tổng số thuế bổ sung tại một nước</w:t>
            </w:r>
          </w:p>
        </w:tc>
        <w:tc>
          <w:tcPr>
            <w:tcW w:w="472" w:type="pct"/>
            <w:vMerge w:val="restart"/>
            <w:vAlign w:val="center"/>
          </w:tcPr>
          <w:p w:rsidR="00FB070D" w:rsidRPr="00FB070D" w:rsidRDefault="00FB070D" w:rsidP="00FB070D">
            <w:pPr>
              <w:pStyle w:val="Vnbnnidung0"/>
              <w:spacing w:after="120" w:line="240" w:lineRule="auto"/>
              <w:ind w:firstLine="0"/>
              <w:jc w:val="center"/>
              <w:rPr>
                <w:rFonts w:ascii="Arial" w:hAnsi="Arial" w:cs="Arial"/>
                <w:sz w:val="20"/>
                <w:szCs w:val="20"/>
                <w:lang w:val="en-US"/>
              </w:rPr>
            </w:pPr>
            <w:r>
              <w:rPr>
                <w:rFonts w:ascii="Arial" w:hAnsi="Arial" w:cs="Arial"/>
                <w:sz w:val="20"/>
                <w:szCs w:val="20"/>
                <w:lang w:val="en-US"/>
              </w:rPr>
              <w:t>x</w:t>
            </w:r>
          </w:p>
        </w:tc>
        <w:tc>
          <w:tcPr>
            <w:tcW w:w="2092" w:type="pct"/>
            <w:tcBorders>
              <w:bottom w:val="single" w:sz="4" w:space="0" w:color="auto"/>
            </w:tcBorders>
            <w:vAlign w:val="center"/>
          </w:tcPr>
          <w:p w:rsidR="00FB070D" w:rsidRDefault="002D4FCE" w:rsidP="0069270A">
            <w:pPr>
              <w:pStyle w:val="Vnbnnidung0"/>
              <w:spacing w:after="120" w:line="240" w:lineRule="auto"/>
              <w:ind w:firstLine="0"/>
              <w:jc w:val="center"/>
              <w:rPr>
                <w:rFonts w:ascii="Arial" w:hAnsi="Arial" w:cs="Arial"/>
                <w:sz w:val="20"/>
                <w:szCs w:val="20"/>
              </w:rPr>
            </w:pPr>
            <w:r>
              <w:rPr>
                <w:rFonts w:ascii="Arial" w:hAnsi="Arial" w:cs="Arial"/>
                <w:sz w:val="20"/>
                <w:szCs w:val="20"/>
                <w:lang w:val="en-US"/>
              </w:rPr>
              <w:t>Thu nhập theo Quy định về thuế tối thiểu toàn cầu của đơn vị hợp thành đó</w:t>
            </w:r>
          </w:p>
        </w:tc>
      </w:tr>
      <w:tr w:rsidR="00FB070D" w:rsidTr="00FB070D">
        <w:tc>
          <w:tcPr>
            <w:tcW w:w="1022" w:type="pct"/>
            <w:vMerge/>
            <w:vAlign w:val="center"/>
          </w:tcPr>
          <w:p w:rsidR="00FB070D" w:rsidRDefault="00FB070D" w:rsidP="0069270A">
            <w:pPr>
              <w:pStyle w:val="Vnbnnidung0"/>
              <w:tabs>
                <w:tab w:val="left" w:pos="1264"/>
              </w:tabs>
              <w:spacing w:after="0" w:line="240" w:lineRule="auto"/>
              <w:ind w:firstLine="0"/>
              <w:jc w:val="center"/>
              <w:rPr>
                <w:rFonts w:ascii="Arial" w:hAnsi="Arial" w:cs="Arial"/>
                <w:sz w:val="20"/>
                <w:szCs w:val="20"/>
              </w:rPr>
            </w:pPr>
          </w:p>
        </w:tc>
        <w:tc>
          <w:tcPr>
            <w:tcW w:w="471" w:type="pct"/>
            <w:vMerge/>
          </w:tcPr>
          <w:p w:rsidR="00FB070D" w:rsidRDefault="00FB070D" w:rsidP="0069270A">
            <w:pPr>
              <w:pStyle w:val="Vnbnnidung0"/>
              <w:tabs>
                <w:tab w:val="left" w:pos="1264"/>
              </w:tabs>
              <w:spacing w:after="0" w:line="240" w:lineRule="auto"/>
              <w:ind w:firstLine="0"/>
              <w:jc w:val="center"/>
              <w:rPr>
                <w:rFonts w:ascii="Arial" w:hAnsi="Arial" w:cs="Arial"/>
                <w:sz w:val="20"/>
                <w:szCs w:val="20"/>
              </w:rPr>
            </w:pPr>
          </w:p>
        </w:tc>
        <w:tc>
          <w:tcPr>
            <w:tcW w:w="943" w:type="pct"/>
            <w:vMerge/>
            <w:vAlign w:val="center"/>
          </w:tcPr>
          <w:p w:rsidR="00FB070D" w:rsidRDefault="00FB070D" w:rsidP="0069270A">
            <w:pPr>
              <w:pStyle w:val="Vnbnnidung0"/>
              <w:tabs>
                <w:tab w:val="left" w:pos="1264"/>
              </w:tabs>
              <w:spacing w:after="0" w:line="240" w:lineRule="auto"/>
              <w:ind w:firstLine="0"/>
              <w:jc w:val="center"/>
              <w:rPr>
                <w:rFonts w:ascii="Arial" w:hAnsi="Arial" w:cs="Arial"/>
                <w:sz w:val="20"/>
                <w:szCs w:val="20"/>
              </w:rPr>
            </w:pPr>
          </w:p>
        </w:tc>
        <w:tc>
          <w:tcPr>
            <w:tcW w:w="472" w:type="pct"/>
            <w:vMerge/>
          </w:tcPr>
          <w:p w:rsidR="00FB070D" w:rsidRPr="00D20E1C" w:rsidRDefault="00FB070D" w:rsidP="0069270A">
            <w:pPr>
              <w:pStyle w:val="Vnbnnidung0"/>
              <w:spacing w:after="120" w:line="240" w:lineRule="auto"/>
              <w:ind w:firstLine="0"/>
              <w:jc w:val="center"/>
              <w:rPr>
                <w:rFonts w:ascii="Arial" w:hAnsi="Arial" w:cs="Arial"/>
                <w:sz w:val="20"/>
                <w:szCs w:val="20"/>
              </w:rPr>
            </w:pPr>
          </w:p>
        </w:tc>
        <w:tc>
          <w:tcPr>
            <w:tcW w:w="2092" w:type="pct"/>
            <w:tcBorders>
              <w:top w:val="single" w:sz="4" w:space="0" w:color="auto"/>
            </w:tcBorders>
            <w:vAlign w:val="center"/>
          </w:tcPr>
          <w:p w:rsidR="00FB070D" w:rsidRDefault="002D4FCE" w:rsidP="002D4FCE">
            <w:pPr>
              <w:pStyle w:val="Vnbnnidung0"/>
              <w:spacing w:after="120" w:line="240" w:lineRule="auto"/>
              <w:ind w:firstLine="0"/>
              <w:jc w:val="center"/>
              <w:rPr>
                <w:rFonts w:ascii="Arial" w:hAnsi="Arial" w:cs="Arial"/>
                <w:sz w:val="20"/>
                <w:szCs w:val="20"/>
              </w:rPr>
            </w:pPr>
            <w:r>
              <w:rPr>
                <w:rFonts w:ascii="Arial" w:hAnsi="Arial" w:cs="Arial"/>
                <w:sz w:val="20"/>
                <w:szCs w:val="20"/>
                <w:lang w:val="en-US"/>
              </w:rPr>
              <w:t>Tổng thu nhập theo Quy định về thuế tối thiểu toàn cầu của tất cả các đơn vị hợp thành tại nước đó</w:t>
            </w:r>
          </w:p>
        </w:tc>
      </w:tr>
    </w:tbl>
    <w:p w:rsidR="005245CB" w:rsidRDefault="002D4FCE" w:rsidP="007D45AE">
      <w:pPr>
        <w:pStyle w:val="Vnbnnidung0"/>
        <w:tabs>
          <w:tab w:val="left" w:pos="1233"/>
        </w:tabs>
        <w:spacing w:after="120" w:line="240" w:lineRule="auto"/>
        <w:ind w:firstLine="720"/>
        <w:jc w:val="both"/>
        <w:rPr>
          <w:rFonts w:ascii="Arial" w:hAnsi="Arial" w:cs="Arial"/>
          <w:sz w:val="20"/>
          <w:szCs w:val="20"/>
        </w:rPr>
      </w:pPr>
      <w:bookmarkStart w:id="61" w:name="bookmark60"/>
      <w:bookmarkEnd w:id="61"/>
      <w:r>
        <w:rPr>
          <w:rFonts w:ascii="Arial" w:hAnsi="Arial" w:cs="Arial"/>
          <w:sz w:val="20"/>
          <w:szCs w:val="20"/>
        </w:rPr>
        <w:t xml:space="preserve">11. </w:t>
      </w:r>
      <w:r w:rsidR="008F2865" w:rsidRPr="00D20E1C">
        <w:rPr>
          <w:rFonts w:ascii="Arial" w:hAnsi="Arial" w:cs="Arial"/>
          <w:sz w:val="20"/>
          <w:szCs w:val="20"/>
        </w:rPr>
        <w:t xml:space="preserve">Số thuế phân bổ cho công ty mẹ từ số thuế bổ sung của đơn vị </w:t>
      </w:r>
      <w:r w:rsidR="00380470">
        <w:rPr>
          <w:rFonts w:ascii="Arial" w:hAnsi="Arial" w:cs="Arial"/>
          <w:sz w:val="20"/>
          <w:szCs w:val="20"/>
        </w:rPr>
        <w:t>hợp thành</w:t>
      </w:r>
      <w:r w:rsidR="008F2865" w:rsidRPr="00D20E1C">
        <w:rPr>
          <w:rFonts w:ascii="Arial" w:hAnsi="Arial" w:cs="Arial"/>
          <w:sz w:val="20"/>
          <w:szCs w:val="20"/>
        </w:rPr>
        <w:t xml:space="preserve"> chịu thuế suất thấp bằng số thuế bổ sung của đơn vị hợp thành chịu thuế suất thấp theo Quy định về thuế tối thiểu toàn cầu nhân với tỷ lệ phân bổ cho công ty mẹ đối với đơn vị </w:t>
      </w:r>
      <w:r w:rsidR="00380470">
        <w:rPr>
          <w:rFonts w:ascii="Arial" w:hAnsi="Arial" w:cs="Arial"/>
          <w:sz w:val="20"/>
          <w:szCs w:val="20"/>
        </w:rPr>
        <w:t>hợp thành</w:t>
      </w:r>
      <w:r w:rsidR="008F2865" w:rsidRPr="00D20E1C">
        <w:rPr>
          <w:rFonts w:ascii="Arial" w:hAnsi="Arial" w:cs="Arial"/>
          <w:sz w:val="20"/>
          <w:szCs w:val="20"/>
        </w:rPr>
        <w:t xml:space="preserve"> chịu thuế suất thấp trong năm tài chính. Tỷ lệ phân bổ cho công ty mẹ đối với đơn vị hợp thành được xác định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703"/>
        <w:gridCol w:w="5477"/>
      </w:tblGrid>
      <w:tr w:rsidR="002D4FCE" w:rsidTr="002D4FCE">
        <w:tc>
          <w:tcPr>
            <w:tcW w:w="1020" w:type="pct"/>
            <w:vMerge w:val="restart"/>
            <w:vAlign w:val="center"/>
          </w:tcPr>
          <w:p w:rsidR="002D4FCE" w:rsidRPr="006F15CC" w:rsidRDefault="002D4FCE" w:rsidP="0069270A">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Tỷ lệ phân bổ cho công ty mẹ đối với đơn vị hợp thành chịu thuế suất thấp trong năm tài chính</w:t>
            </w:r>
          </w:p>
        </w:tc>
        <w:tc>
          <w:tcPr>
            <w:tcW w:w="944" w:type="pct"/>
            <w:vMerge w:val="restart"/>
            <w:vAlign w:val="center"/>
          </w:tcPr>
          <w:p w:rsidR="00450BAE" w:rsidRDefault="00450BAE" w:rsidP="0069270A">
            <w:pPr>
              <w:pStyle w:val="Vnbnnidung0"/>
              <w:tabs>
                <w:tab w:val="left" w:pos="1264"/>
              </w:tabs>
              <w:spacing w:after="0" w:line="240" w:lineRule="auto"/>
              <w:ind w:firstLine="0"/>
              <w:jc w:val="center"/>
              <w:rPr>
                <w:rFonts w:ascii="Arial" w:hAnsi="Arial" w:cs="Arial"/>
                <w:sz w:val="20"/>
                <w:szCs w:val="20"/>
                <w:lang w:val="en-US"/>
              </w:rPr>
            </w:pPr>
          </w:p>
          <w:p w:rsidR="00450BAE" w:rsidRDefault="00450BAE" w:rsidP="0069270A">
            <w:pPr>
              <w:pStyle w:val="Vnbnnidung0"/>
              <w:tabs>
                <w:tab w:val="left" w:pos="1264"/>
              </w:tabs>
              <w:spacing w:after="0" w:line="240" w:lineRule="auto"/>
              <w:ind w:firstLine="0"/>
              <w:jc w:val="center"/>
              <w:rPr>
                <w:rFonts w:ascii="Arial" w:hAnsi="Arial" w:cs="Arial"/>
                <w:sz w:val="20"/>
                <w:szCs w:val="20"/>
                <w:lang w:val="en-US"/>
              </w:rPr>
            </w:pPr>
          </w:p>
          <w:p w:rsidR="002D4FCE" w:rsidRPr="006F15CC" w:rsidRDefault="002D4FCE" w:rsidP="0069270A">
            <w:pPr>
              <w:pStyle w:val="Vnbnnidung0"/>
              <w:tabs>
                <w:tab w:val="left" w:pos="1264"/>
              </w:tabs>
              <w:spacing w:after="0" w:line="240" w:lineRule="auto"/>
              <w:ind w:firstLine="0"/>
              <w:jc w:val="center"/>
              <w:rPr>
                <w:rFonts w:ascii="Arial" w:hAnsi="Arial" w:cs="Arial"/>
                <w:sz w:val="20"/>
                <w:szCs w:val="20"/>
                <w:lang w:val="en-US"/>
              </w:rPr>
            </w:pPr>
            <w:r>
              <w:rPr>
                <w:rFonts w:ascii="Arial" w:hAnsi="Arial" w:cs="Arial"/>
                <w:sz w:val="20"/>
                <w:szCs w:val="20"/>
                <w:lang w:val="en-US"/>
              </w:rPr>
              <w:t>=</w:t>
            </w:r>
          </w:p>
        </w:tc>
        <w:tc>
          <w:tcPr>
            <w:tcW w:w="3036" w:type="pct"/>
            <w:tcBorders>
              <w:bottom w:val="single" w:sz="4" w:space="0" w:color="auto"/>
            </w:tcBorders>
            <w:vAlign w:val="center"/>
          </w:tcPr>
          <w:p w:rsidR="002D4FCE" w:rsidRDefault="002D4FCE" w:rsidP="002D4FCE">
            <w:pPr>
              <w:pStyle w:val="Vnbnnidung0"/>
              <w:tabs>
                <w:tab w:val="left" w:pos="4516"/>
              </w:tabs>
              <w:spacing w:after="0" w:line="240" w:lineRule="auto"/>
              <w:ind w:firstLine="0"/>
              <w:jc w:val="center"/>
              <w:rPr>
                <w:rFonts w:ascii="Arial" w:hAnsi="Arial" w:cs="Arial"/>
                <w:sz w:val="20"/>
                <w:szCs w:val="20"/>
              </w:rPr>
            </w:pPr>
            <w:r w:rsidRPr="00D20E1C">
              <w:rPr>
                <w:rFonts w:ascii="Arial" w:hAnsi="Arial" w:cs="Arial"/>
                <w:sz w:val="20"/>
                <w:szCs w:val="20"/>
              </w:rPr>
              <w:t xml:space="preserve">Thu nhập theo Quy định về thuế tối thiểu toàn cầu của đơn vị hợp thành chịu thuế suất thấp trong năm </w:t>
            </w:r>
            <w:r>
              <w:rPr>
                <w:rFonts w:ascii="Arial" w:hAnsi="Arial" w:cs="Arial"/>
                <w:sz w:val="20"/>
                <w:szCs w:val="20"/>
                <w:lang w:val="en-US"/>
              </w:rPr>
              <w:t xml:space="preserve">- </w:t>
            </w:r>
            <w:r w:rsidRPr="00D20E1C">
              <w:rPr>
                <w:rFonts w:ascii="Arial" w:hAnsi="Arial" w:cs="Arial"/>
                <w:sz w:val="20"/>
                <w:szCs w:val="20"/>
              </w:rPr>
              <w:t>Thu nhập phân bổ theo quy</w:t>
            </w:r>
            <w:r>
              <w:rPr>
                <w:rFonts w:ascii="Arial" w:hAnsi="Arial" w:cs="Arial"/>
                <w:sz w:val="20"/>
                <w:szCs w:val="20"/>
              </w:rPr>
              <w:t xml:space="preserve">ền sở hữu do công ty mẹ đối với </w:t>
            </w:r>
            <w:r w:rsidRPr="00D20E1C">
              <w:rPr>
                <w:rFonts w:ascii="Arial" w:hAnsi="Arial" w:cs="Arial"/>
                <w:sz w:val="20"/>
                <w:szCs w:val="20"/>
              </w:rPr>
              <w:t>các chủ sở hữu khác nắm giữ</w:t>
            </w:r>
          </w:p>
        </w:tc>
      </w:tr>
      <w:tr w:rsidR="002D4FCE" w:rsidTr="0069270A">
        <w:tc>
          <w:tcPr>
            <w:tcW w:w="1020" w:type="pct"/>
            <w:vMerge/>
            <w:vAlign w:val="center"/>
          </w:tcPr>
          <w:p w:rsidR="002D4FCE" w:rsidRDefault="002D4FCE" w:rsidP="0069270A">
            <w:pPr>
              <w:pStyle w:val="Vnbnnidung0"/>
              <w:tabs>
                <w:tab w:val="left" w:pos="1264"/>
              </w:tabs>
              <w:spacing w:after="0" w:line="240" w:lineRule="auto"/>
              <w:ind w:firstLine="0"/>
              <w:jc w:val="center"/>
              <w:rPr>
                <w:rFonts w:ascii="Arial" w:hAnsi="Arial" w:cs="Arial"/>
                <w:sz w:val="20"/>
                <w:szCs w:val="20"/>
              </w:rPr>
            </w:pPr>
          </w:p>
        </w:tc>
        <w:tc>
          <w:tcPr>
            <w:tcW w:w="944" w:type="pct"/>
            <w:vMerge/>
            <w:vAlign w:val="center"/>
          </w:tcPr>
          <w:p w:rsidR="002D4FCE" w:rsidRDefault="002D4FCE" w:rsidP="0069270A">
            <w:pPr>
              <w:pStyle w:val="Vnbnnidung0"/>
              <w:tabs>
                <w:tab w:val="left" w:pos="1264"/>
              </w:tabs>
              <w:spacing w:after="0" w:line="240" w:lineRule="auto"/>
              <w:ind w:firstLine="0"/>
              <w:jc w:val="center"/>
              <w:rPr>
                <w:rFonts w:ascii="Arial" w:hAnsi="Arial" w:cs="Arial"/>
                <w:sz w:val="20"/>
                <w:szCs w:val="20"/>
              </w:rPr>
            </w:pPr>
          </w:p>
        </w:tc>
        <w:tc>
          <w:tcPr>
            <w:tcW w:w="3036" w:type="pct"/>
            <w:tcBorders>
              <w:top w:val="single" w:sz="4" w:space="0" w:color="auto"/>
            </w:tcBorders>
            <w:vAlign w:val="center"/>
          </w:tcPr>
          <w:p w:rsidR="009E4F1D" w:rsidRDefault="002D4FCE" w:rsidP="009E4F1D">
            <w:pPr>
              <w:pStyle w:val="Vnbnnidung0"/>
              <w:tabs>
                <w:tab w:val="left" w:pos="3149"/>
              </w:tabs>
              <w:spacing w:after="0" w:line="240" w:lineRule="auto"/>
              <w:ind w:firstLine="0"/>
              <w:jc w:val="center"/>
              <w:rPr>
                <w:rFonts w:ascii="Arial" w:hAnsi="Arial" w:cs="Arial"/>
                <w:sz w:val="20"/>
                <w:szCs w:val="20"/>
              </w:rPr>
            </w:pPr>
            <w:r w:rsidRPr="00D20E1C">
              <w:rPr>
                <w:rFonts w:ascii="Arial" w:hAnsi="Arial" w:cs="Arial"/>
                <w:sz w:val="20"/>
                <w:szCs w:val="20"/>
              </w:rPr>
              <w:t>Thu nhập theo Quy định về thuế tối thiểu toàn cầu</w:t>
            </w:r>
            <w:r>
              <w:rPr>
                <w:rFonts w:ascii="Arial" w:hAnsi="Arial" w:cs="Arial"/>
                <w:sz w:val="20"/>
                <w:szCs w:val="20"/>
                <w:lang w:val="en-US"/>
              </w:rPr>
              <w:t xml:space="preserve"> </w:t>
            </w:r>
            <w:r w:rsidRPr="00D20E1C">
              <w:rPr>
                <w:rFonts w:ascii="Arial" w:hAnsi="Arial" w:cs="Arial"/>
                <w:sz w:val="20"/>
                <w:szCs w:val="20"/>
              </w:rPr>
              <w:t xml:space="preserve">của đơn vị </w:t>
            </w:r>
            <w:r>
              <w:rPr>
                <w:rFonts w:ascii="Arial" w:hAnsi="Arial" w:cs="Arial"/>
                <w:sz w:val="20"/>
                <w:szCs w:val="20"/>
              </w:rPr>
              <w:t>hợp thành</w:t>
            </w:r>
            <w:r w:rsidRPr="00D20E1C">
              <w:rPr>
                <w:rFonts w:ascii="Arial" w:hAnsi="Arial" w:cs="Arial"/>
                <w:sz w:val="20"/>
                <w:szCs w:val="20"/>
              </w:rPr>
              <w:t xml:space="preserve"> chịu thuế suất thấp trong năm</w:t>
            </w:r>
            <w:r>
              <w:rPr>
                <w:rFonts w:ascii="Arial" w:hAnsi="Arial" w:cs="Arial"/>
                <w:sz w:val="20"/>
                <w:szCs w:val="20"/>
                <w:lang w:val="en-US"/>
              </w:rPr>
              <w:t xml:space="preserve"> </w:t>
            </w:r>
            <w:r w:rsidRPr="00D20E1C">
              <w:rPr>
                <w:rFonts w:ascii="Arial" w:hAnsi="Arial" w:cs="Arial"/>
                <w:sz w:val="20"/>
                <w:szCs w:val="20"/>
              </w:rPr>
              <w:t>tài chính</w:t>
            </w:r>
          </w:p>
        </w:tc>
      </w:tr>
    </w:tbl>
    <w:p w:rsidR="005245CB" w:rsidRPr="00D20E1C" w:rsidRDefault="00454739" w:rsidP="007D45AE">
      <w:pPr>
        <w:pStyle w:val="Vnbnnidung0"/>
        <w:tabs>
          <w:tab w:val="left" w:pos="1217"/>
        </w:tabs>
        <w:spacing w:after="120" w:line="240" w:lineRule="auto"/>
        <w:ind w:firstLine="720"/>
        <w:jc w:val="both"/>
        <w:rPr>
          <w:rFonts w:ascii="Arial" w:hAnsi="Arial" w:cs="Arial"/>
          <w:sz w:val="20"/>
          <w:szCs w:val="20"/>
        </w:rPr>
      </w:pPr>
      <w:bookmarkStart w:id="62" w:name="bookmark61"/>
      <w:bookmarkEnd w:id="62"/>
      <w:r>
        <w:rPr>
          <w:rFonts w:ascii="Arial" w:hAnsi="Arial" w:cs="Arial"/>
          <w:sz w:val="20"/>
          <w:szCs w:val="20"/>
        </w:rPr>
        <w:t xml:space="preserve">12. </w:t>
      </w:r>
      <w:r w:rsidR="008F2865" w:rsidRPr="00D20E1C">
        <w:rPr>
          <w:rFonts w:ascii="Arial" w:hAnsi="Arial" w:cs="Arial"/>
          <w:sz w:val="20"/>
          <w:szCs w:val="20"/>
        </w:rPr>
        <w:t xml:space="preserve">Số thuế bổ sung tại một nước sẽ được xác định bằng 0 (không) trong một năm tài chính nếu đơn vị hợp thành hoặc tập </w:t>
      </w:r>
      <w:r w:rsidR="00745FB0">
        <w:rPr>
          <w:rFonts w:ascii="Arial" w:hAnsi="Arial" w:cs="Arial"/>
          <w:sz w:val="20"/>
          <w:szCs w:val="20"/>
          <w:lang w:val="en-US"/>
        </w:rPr>
        <w:t>hợp</w:t>
      </w:r>
      <w:r w:rsidR="008F2865" w:rsidRPr="00D20E1C">
        <w:rPr>
          <w:rFonts w:ascii="Arial" w:hAnsi="Arial" w:cs="Arial"/>
          <w:sz w:val="20"/>
          <w:szCs w:val="20"/>
        </w:rPr>
        <w:t xml:space="preserve"> các đơn vị hợp thành trong năm tài chính liên quan đáp ứng đồng thời các điều kiện sau đây:</w:t>
      </w:r>
    </w:p>
    <w:p w:rsidR="005245CB" w:rsidRPr="00D20E1C" w:rsidRDefault="00454739" w:rsidP="007D45AE">
      <w:pPr>
        <w:pStyle w:val="Vnbnnidung0"/>
        <w:tabs>
          <w:tab w:val="left" w:pos="1075"/>
        </w:tabs>
        <w:spacing w:after="120" w:line="240" w:lineRule="auto"/>
        <w:ind w:firstLine="720"/>
        <w:jc w:val="both"/>
        <w:rPr>
          <w:rFonts w:ascii="Arial" w:hAnsi="Arial" w:cs="Arial"/>
          <w:sz w:val="20"/>
          <w:szCs w:val="20"/>
        </w:rPr>
      </w:pPr>
      <w:bookmarkStart w:id="63" w:name="bookmark62"/>
      <w:bookmarkEnd w:id="63"/>
      <w:r>
        <w:rPr>
          <w:rFonts w:ascii="Arial" w:hAnsi="Arial" w:cs="Arial"/>
          <w:sz w:val="20"/>
          <w:szCs w:val="20"/>
          <w:lang w:val="en-US"/>
        </w:rPr>
        <w:t xml:space="preserve">a) </w:t>
      </w:r>
      <w:r w:rsidR="008F2865" w:rsidRPr="00D20E1C">
        <w:rPr>
          <w:rFonts w:ascii="Arial" w:hAnsi="Arial" w:cs="Arial"/>
          <w:sz w:val="20"/>
          <w:szCs w:val="20"/>
        </w:rPr>
        <w:t>Doanh thu bình quân theo Quy định về thuế tối thiểu toàn cầu tại nước đó dưới 10 triệu EUR;</w:t>
      </w:r>
    </w:p>
    <w:p w:rsidR="005245CB" w:rsidRPr="00D20E1C" w:rsidRDefault="00454739" w:rsidP="007D45AE">
      <w:pPr>
        <w:pStyle w:val="Vnbnnidung0"/>
        <w:tabs>
          <w:tab w:val="left" w:pos="1101"/>
        </w:tabs>
        <w:spacing w:after="120" w:line="240" w:lineRule="auto"/>
        <w:ind w:firstLine="720"/>
        <w:jc w:val="both"/>
        <w:rPr>
          <w:rFonts w:ascii="Arial" w:hAnsi="Arial" w:cs="Arial"/>
          <w:sz w:val="20"/>
          <w:szCs w:val="20"/>
        </w:rPr>
      </w:pPr>
      <w:bookmarkStart w:id="64" w:name="bookmark63"/>
      <w:bookmarkEnd w:id="64"/>
      <w:r>
        <w:rPr>
          <w:rFonts w:ascii="Arial" w:hAnsi="Arial" w:cs="Arial"/>
          <w:sz w:val="20"/>
          <w:szCs w:val="20"/>
          <w:lang w:val="en-US"/>
        </w:rPr>
        <w:t xml:space="preserve">b) </w:t>
      </w:r>
      <w:r w:rsidR="008F2865" w:rsidRPr="00D20E1C">
        <w:rPr>
          <w:rFonts w:ascii="Arial" w:hAnsi="Arial" w:cs="Arial"/>
          <w:sz w:val="20"/>
          <w:szCs w:val="20"/>
        </w:rPr>
        <w:t>Thu nhập bình quân theo Quy định về thuế tối thiểu toàn cầu tại nước đó dưới 01 triệu EUR hoặc lỗ.</w:t>
      </w:r>
    </w:p>
    <w:p w:rsidR="005245CB" w:rsidRPr="00D20E1C" w:rsidRDefault="008F2865" w:rsidP="007D45AE">
      <w:pPr>
        <w:pStyle w:val="Vnbnnidung0"/>
        <w:spacing w:after="120" w:line="240" w:lineRule="auto"/>
        <w:ind w:firstLine="720"/>
        <w:jc w:val="both"/>
        <w:rPr>
          <w:rFonts w:ascii="Arial" w:hAnsi="Arial" w:cs="Arial"/>
          <w:sz w:val="20"/>
          <w:szCs w:val="20"/>
        </w:rPr>
      </w:pPr>
      <w:r w:rsidRPr="00D20E1C">
        <w:rPr>
          <w:rFonts w:ascii="Arial" w:hAnsi="Arial" w:cs="Arial"/>
          <w:sz w:val="20"/>
          <w:szCs w:val="20"/>
        </w:rPr>
        <w:t>Hằng năm, nếu đáp ứng điều kiện quy định tại khoản này, đơn vị hợp thành được lựa chọn áp dụng hoặc không áp dụng mức thuế thu nhập doanh nghiệp bổ sung tối thiểu nội địa đạt chuẩn bằng 0 (không).</w:t>
      </w:r>
    </w:p>
    <w:p w:rsidR="005245CB" w:rsidRDefault="00454739" w:rsidP="007D45AE">
      <w:pPr>
        <w:pStyle w:val="Vnbnnidung0"/>
        <w:tabs>
          <w:tab w:val="left" w:pos="1200"/>
        </w:tabs>
        <w:spacing w:after="120" w:line="240" w:lineRule="auto"/>
        <w:ind w:firstLine="720"/>
        <w:jc w:val="both"/>
        <w:rPr>
          <w:rFonts w:ascii="Arial" w:hAnsi="Arial" w:cs="Arial"/>
          <w:sz w:val="20"/>
          <w:szCs w:val="20"/>
        </w:rPr>
      </w:pPr>
      <w:bookmarkStart w:id="65" w:name="bookmark64"/>
      <w:bookmarkEnd w:id="65"/>
      <w:r>
        <w:rPr>
          <w:rFonts w:ascii="Arial" w:hAnsi="Arial" w:cs="Arial"/>
          <w:sz w:val="20"/>
          <w:szCs w:val="20"/>
          <w:lang w:val="en-US"/>
        </w:rPr>
        <w:t xml:space="preserve">13. </w:t>
      </w:r>
      <w:r w:rsidR="008F2865" w:rsidRPr="00D20E1C">
        <w:rPr>
          <w:rFonts w:ascii="Arial" w:hAnsi="Arial" w:cs="Arial"/>
          <w:sz w:val="20"/>
          <w:szCs w:val="20"/>
        </w:rPr>
        <w:t>Chính phủ quy định chi tiết Điều này.</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b/>
          <w:bCs/>
          <w:sz w:val="20"/>
          <w:szCs w:val="20"/>
        </w:rPr>
        <w:t>Điều 6. Kê khai, nộp thuế và quản lý thuế</w:t>
      </w:r>
    </w:p>
    <w:p w:rsidR="00DA6E64" w:rsidRPr="00176C3A" w:rsidRDefault="00DA6E64" w:rsidP="00DA6E64">
      <w:pPr>
        <w:pStyle w:val="BodyText"/>
        <w:tabs>
          <w:tab w:val="left" w:pos="1085"/>
        </w:tabs>
        <w:spacing w:after="120" w:line="240" w:lineRule="auto"/>
        <w:ind w:firstLine="720"/>
        <w:jc w:val="both"/>
        <w:rPr>
          <w:rFonts w:ascii="Arial" w:hAnsi="Arial" w:cs="Arial"/>
          <w:sz w:val="20"/>
          <w:szCs w:val="20"/>
        </w:rPr>
      </w:pPr>
      <w:bookmarkStart w:id="66" w:name="bookmark65"/>
      <w:bookmarkEnd w:id="66"/>
      <w:r w:rsidRPr="00176C3A">
        <w:rPr>
          <w:rFonts w:ascii="Arial" w:hAnsi="Arial" w:cs="Arial"/>
          <w:sz w:val="20"/>
          <w:szCs w:val="20"/>
          <w:lang w:val="en-SG"/>
        </w:rPr>
        <w:t xml:space="preserve">1. </w:t>
      </w:r>
      <w:r w:rsidRPr="00176C3A">
        <w:rPr>
          <w:rFonts w:ascii="Arial" w:hAnsi="Arial" w:cs="Arial"/>
          <w:sz w:val="20"/>
          <w:szCs w:val="20"/>
        </w:rPr>
        <w:t>Đối với quy định về thuế thu nhập doanh nghiệp bổ sung tối thiểu nội địa đạt chuẩn, thời hạn nộp Tờ khai thông tin theo Quy định về thuế tối thiểu toàn cầu, Tờ khai thuế thu nhập doanh nghiệp bổ sung kèm theo Bản thuyết minh giải trình chênh lệch do khác biệt giữa các chuẩn mực kế toán tài chính và thời hạn nộp thuế thu nhập doanh nghiệp bổ sung chậm nhất là 12 tháng sau ngày kết thúc năm tài chính.</w:t>
      </w:r>
    </w:p>
    <w:p w:rsidR="00DA6E64" w:rsidRPr="00176C3A" w:rsidRDefault="00DA6E64" w:rsidP="00DA6E64">
      <w:pPr>
        <w:pStyle w:val="BodyText"/>
        <w:tabs>
          <w:tab w:val="left" w:pos="1091"/>
        </w:tabs>
        <w:spacing w:after="120" w:line="240" w:lineRule="auto"/>
        <w:ind w:firstLine="720"/>
        <w:jc w:val="both"/>
        <w:rPr>
          <w:rFonts w:ascii="Arial" w:hAnsi="Arial" w:cs="Arial"/>
          <w:sz w:val="20"/>
          <w:szCs w:val="20"/>
        </w:rPr>
      </w:pPr>
      <w:bookmarkStart w:id="67" w:name="bookmark66"/>
      <w:bookmarkEnd w:id="67"/>
      <w:r w:rsidRPr="00176C3A">
        <w:rPr>
          <w:rFonts w:ascii="Arial" w:hAnsi="Arial" w:cs="Arial"/>
          <w:sz w:val="20"/>
          <w:szCs w:val="20"/>
          <w:lang w:val="en-SG"/>
        </w:rPr>
        <w:t xml:space="preserve">2. </w:t>
      </w:r>
      <w:r w:rsidRPr="00176C3A">
        <w:rPr>
          <w:rFonts w:ascii="Arial" w:hAnsi="Arial" w:cs="Arial"/>
          <w:sz w:val="20"/>
          <w:szCs w:val="20"/>
        </w:rPr>
        <w:t>Đối với quy định về tổng h</w:t>
      </w:r>
      <w:r w:rsidRPr="00176C3A">
        <w:rPr>
          <w:rFonts w:ascii="Arial" w:hAnsi="Arial" w:cs="Arial"/>
          <w:sz w:val="20"/>
          <w:szCs w:val="20"/>
          <w:lang w:val="en-SG"/>
        </w:rPr>
        <w:t>ợ</w:t>
      </w:r>
      <w:r w:rsidRPr="00176C3A">
        <w:rPr>
          <w:rFonts w:ascii="Arial" w:hAnsi="Arial" w:cs="Arial"/>
          <w:sz w:val="20"/>
          <w:szCs w:val="20"/>
        </w:rPr>
        <w:t>p thu nhập chịu thuế tối thiểu, thời hạn nộp Tờ khai thông tin theo Quy định về thuế tối thiểu toàn cầu, Tờ khai thuế thu nhập doanh nghiệp bổ sung kèm theo Bản thuyết minh giải trình chênh lệch do khác biệt giữa các chuẩn mực kế toán tài chính và thời hạn nộp thuế thu nhập doanh nghiệp bổ sung chậm nhất là 18 tháng sau ngày kết thúc năm tài chính đối với năm đ</w:t>
      </w:r>
      <w:r w:rsidRPr="00176C3A">
        <w:rPr>
          <w:rFonts w:ascii="Arial" w:hAnsi="Arial" w:cs="Arial"/>
          <w:sz w:val="20"/>
          <w:szCs w:val="20"/>
          <w:lang w:val="en-SG"/>
        </w:rPr>
        <w:t>ầ</w:t>
      </w:r>
      <w:r w:rsidRPr="00176C3A">
        <w:rPr>
          <w:rFonts w:ascii="Arial" w:hAnsi="Arial" w:cs="Arial"/>
          <w:sz w:val="20"/>
          <w:szCs w:val="20"/>
        </w:rPr>
        <w:t>u tiên tập đoàn đa quốc gia thuộc đối tượng áp dụng; thời hạn chậm nhất là 15 tháng sau ngày kết thúc năm tài chính đối với các năm tiếp theo.</w:t>
      </w:r>
    </w:p>
    <w:p w:rsidR="00DA6E64" w:rsidRPr="00176C3A" w:rsidRDefault="00DA6E64" w:rsidP="00DA6E64">
      <w:pPr>
        <w:pStyle w:val="BodyText"/>
        <w:tabs>
          <w:tab w:val="left" w:pos="1106"/>
        </w:tabs>
        <w:spacing w:after="120" w:line="240" w:lineRule="auto"/>
        <w:ind w:firstLine="720"/>
        <w:jc w:val="both"/>
        <w:rPr>
          <w:rFonts w:ascii="Arial" w:hAnsi="Arial" w:cs="Arial"/>
          <w:sz w:val="20"/>
          <w:szCs w:val="20"/>
        </w:rPr>
      </w:pPr>
      <w:bookmarkStart w:id="68" w:name="bookmark67"/>
      <w:bookmarkEnd w:id="68"/>
      <w:r w:rsidRPr="00176C3A">
        <w:rPr>
          <w:rFonts w:ascii="Arial" w:hAnsi="Arial" w:cs="Arial"/>
          <w:sz w:val="20"/>
          <w:szCs w:val="20"/>
          <w:lang w:val="en-SG"/>
        </w:rPr>
        <w:t xml:space="preserve">3. </w:t>
      </w:r>
      <w:r w:rsidRPr="00176C3A">
        <w:rPr>
          <w:rFonts w:ascii="Arial" w:hAnsi="Arial" w:cs="Arial"/>
          <w:sz w:val="20"/>
          <w:szCs w:val="20"/>
        </w:rPr>
        <w:t>Việc xác định đơn vị hợp thành kê khai, nộp thuế được quy định như sau:</w:t>
      </w:r>
    </w:p>
    <w:p w:rsidR="00DA6E64" w:rsidRPr="00176C3A" w:rsidRDefault="00DA6E64" w:rsidP="00DA6E64">
      <w:pPr>
        <w:pStyle w:val="BodyText"/>
        <w:tabs>
          <w:tab w:val="left" w:pos="1107"/>
        </w:tabs>
        <w:spacing w:after="120" w:line="240" w:lineRule="auto"/>
        <w:ind w:firstLine="720"/>
        <w:jc w:val="both"/>
        <w:rPr>
          <w:rFonts w:ascii="Arial" w:hAnsi="Arial" w:cs="Arial"/>
          <w:sz w:val="20"/>
          <w:szCs w:val="20"/>
        </w:rPr>
      </w:pPr>
      <w:bookmarkStart w:id="69" w:name="bookmark68"/>
      <w:bookmarkEnd w:id="69"/>
      <w:r w:rsidRPr="00176C3A">
        <w:rPr>
          <w:rFonts w:ascii="Arial" w:hAnsi="Arial" w:cs="Arial"/>
          <w:sz w:val="20"/>
          <w:szCs w:val="20"/>
          <w:lang w:val="en-SG"/>
        </w:rPr>
        <w:t xml:space="preserve">a) </w:t>
      </w:r>
      <w:r w:rsidRPr="00176C3A">
        <w:rPr>
          <w:rFonts w:ascii="Arial" w:hAnsi="Arial" w:cs="Arial"/>
          <w:sz w:val="20"/>
          <w:szCs w:val="20"/>
        </w:rPr>
        <w:t>Tập đoàn đa quốc gia có 01 đơn vị hợp thành tại Việt Nam thì đơn vị hợp thành đó thực hiện nộp tờ khai và nộp thuế thu nhập doanh nghiệp bổ sung theo Quy định về thuế tối thiểu toàn cầu;</w:t>
      </w:r>
    </w:p>
    <w:p w:rsidR="00DA6E64" w:rsidRPr="00176C3A" w:rsidRDefault="00DA6E64" w:rsidP="00DA6E64">
      <w:pPr>
        <w:pStyle w:val="BodyText"/>
        <w:tabs>
          <w:tab w:val="left" w:pos="1117"/>
        </w:tabs>
        <w:spacing w:after="120" w:line="240" w:lineRule="auto"/>
        <w:ind w:firstLine="720"/>
        <w:jc w:val="both"/>
        <w:rPr>
          <w:rFonts w:ascii="Arial" w:hAnsi="Arial" w:cs="Arial"/>
          <w:sz w:val="20"/>
          <w:szCs w:val="20"/>
        </w:rPr>
      </w:pPr>
      <w:bookmarkStart w:id="70" w:name="bookmark69"/>
      <w:bookmarkEnd w:id="70"/>
      <w:r w:rsidRPr="00176C3A">
        <w:rPr>
          <w:rFonts w:ascii="Arial" w:hAnsi="Arial" w:cs="Arial"/>
          <w:sz w:val="20"/>
          <w:szCs w:val="20"/>
          <w:lang w:val="en-SG"/>
        </w:rPr>
        <w:t xml:space="preserve">b) </w:t>
      </w:r>
      <w:r w:rsidRPr="00176C3A">
        <w:rPr>
          <w:rFonts w:ascii="Arial" w:hAnsi="Arial" w:cs="Arial"/>
          <w:sz w:val="20"/>
          <w:szCs w:val="20"/>
        </w:rPr>
        <w:t>Tập đoàn đa quốc gia có nhiều hơn 01 đơn vị hợp thành tại Việt Nam thì trong thời hạn 30 ngày kể từ ngày kết thúc năm tài chính, tập đoàn đa quốc gia có văn bản thông báo chỉ định một trong những đơn vị hợp thành tại Việt Nam nộp tờ khai và nộp thuế thu nhập doanh nghiệp bổ sung của tập đoàn theo Quy định về thuế tối thiểu toàn cầu.</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sz w:val="20"/>
          <w:szCs w:val="20"/>
        </w:rPr>
        <w:t>Trường hợp hết thời hạn 30 ngày kể từ ngày kết thúc năm tài chính, tập đoàn đa quốc gia không thông báo chỉ định đơn vị hợp thành tại Việt Nam nộp tờ khai và nộp thuế thì trong thời hạn 30 ngày kể từ ngày hết thời hạn phải thông báo, cơ quan thuế chỉ định đơn vị hợp thành tại Việt Nam nộp tờ khai và nộp thuế;</w:t>
      </w:r>
    </w:p>
    <w:p w:rsidR="00DA6E64" w:rsidRPr="00176C3A" w:rsidRDefault="00DA6E64" w:rsidP="00DA6E64">
      <w:pPr>
        <w:pStyle w:val="BodyText"/>
        <w:tabs>
          <w:tab w:val="left" w:pos="1074"/>
        </w:tabs>
        <w:spacing w:after="120" w:line="240" w:lineRule="auto"/>
        <w:ind w:firstLine="720"/>
        <w:jc w:val="both"/>
        <w:rPr>
          <w:rFonts w:ascii="Arial" w:hAnsi="Arial" w:cs="Arial"/>
          <w:sz w:val="20"/>
          <w:szCs w:val="20"/>
        </w:rPr>
      </w:pPr>
      <w:bookmarkStart w:id="71" w:name="bookmark70"/>
      <w:bookmarkEnd w:id="71"/>
      <w:r w:rsidRPr="00176C3A">
        <w:rPr>
          <w:rFonts w:ascii="Arial" w:hAnsi="Arial" w:cs="Arial"/>
          <w:sz w:val="20"/>
          <w:szCs w:val="20"/>
          <w:lang w:val="en-SG"/>
        </w:rPr>
        <w:t xml:space="preserve">c) </w:t>
      </w:r>
      <w:r w:rsidRPr="00176C3A">
        <w:rPr>
          <w:rFonts w:ascii="Arial" w:hAnsi="Arial" w:cs="Arial"/>
          <w:sz w:val="20"/>
          <w:szCs w:val="20"/>
        </w:rPr>
        <w:t xml:space="preserve">Khi có sự kiện dẫn đến việc thay đổi đơn vị hợp thành nộp tờ khai và nộp thuế thì trong thời </w:t>
      </w:r>
      <w:r w:rsidRPr="00176C3A">
        <w:rPr>
          <w:rFonts w:ascii="Arial" w:hAnsi="Arial" w:cs="Arial"/>
          <w:sz w:val="20"/>
          <w:szCs w:val="20"/>
        </w:rPr>
        <w:lastRenderedPageBreak/>
        <w:t>hạn 10 ngày kể từ ngày phát sinh sự kiện, tập đoàn đa quốc gia có trách nhiệm thông báo cho cơ quan thuế. Quá thời hạn nêu trên mà tập đoàn đa quốc gia không thông báo thì trong thời hạn 10 ngày kể từ ngày có thông tin, cơ quan thuế thông báo chỉ định đơn vị hợp thành phải nộp tờ khai và nộp thuế;</w:t>
      </w:r>
    </w:p>
    <w:p w:rsidR="00DA6E64" w:rsidRPr="00176C3A" w:rsidRDefault="00DA6E64" w:rsidP="00DA6E64">
      <w:pPr>
        <w:pStyle w:val="BodyText"/>
        <w:tabs>
          <w:tab w:val="left" w:pos="1101"/>
        </w:tabs>
        <w:spacing w:after="120" w:line="240" w:lineRule="auto"/>
        <w:ind w:firstLine="720"/>
        <w:jc w:val="both"/>
        <w:rPr>
          <w:rFonts w:ascii="Arial" w:hAnsi="Arial" w:cs="Arial"/>
          <w:sz w:val="20"/>
          <w:szCs w:val="20"/>
        </w:rPr>
      </w:pPr>
      <w:bookmarkStart w:id="72" w:name="bookmark71"/>
      <w:bookmarkEnd w:id="72"/>
      <w:r w:rsidRPr="00176C3A">
        <w:rPr>
          <w:rFonts w:ascii="Arial" w:hAnsi="Arial" w:cs="Arial"/>
          <w:sz w:val="20"/>
          <w:szCs w:val="20"/>
          <w:lang w:val="en-SG"/>
        </w:rPr>
        <w:t xml:space="preserve">d) </w:t>
      </w:r>
      <w:r w:rsidRPr="00176C3A">
        <w:rPr>
          <w:rFonts w:ascii="Arial" w:hAnsi="Arial" w:cs="Arial"/>
          <w:sz w:val="20"/>
          <w:szCs w:val="20"/>
        </w:rPr>
        <w:t>Trường hợp cơ quan thuế đã thông báo chỉ định đơn vị hợp thành phải nộp tờ khai và nộp thuế theo quy định tại điểm b hoặc điểm c khoản này mà cơ quan thuế có thông tin về sự kiện dẫn đến việc thay đổi đơn vị hợp thành nộp tờ khai và nộp thuế thì trong thời hạn 10 ngày kể từ ngày có thông tin, cơ quan thuế thông báo chỉ định đơn vị hợp thành khác phải nộp tờ khai và nộp thuế.</w:t>
      </w:r>
    </w:p>
    <w:p w:rsidR="00DA6E64" w:rsidRPr="00176C3A" w:rsidRDefault="00DA6E64" w:rsidP="00DA6E64">
      <w:pPr>
        <w:pStyle w:val="BodyText"/>
        <w:tabs>
          <w:tab w:val="left" w:pos="1064"/>
        </w:tabs>
        <w:spacing w:after="120" w:line="240" w:lineRule="auto"/>
        <w:ind w:firstLine="720"/>
        <w:jc w:val="both"/>
        <w:rPr>
          <w:rFonts w:ascii="Arial" w:hAnsi="Arial" w:cs="Arial"/>
          <w:sz w:val="20"/>
          <w:szCs w:val="20"/>
        </w:rPr>
      </w:pPr>
      <w:bookmarkStart w:id="73" w:name="bookmark72"/>
      <w:bookmarkEnd w:id="73"/>
      <w:r w:rsidRPr="00176C3A">
        <w:rPr>
          <w:rFonts w:ascii="Arial" w:hAnsi="Arial" w:cs="Arial"/>
          <w:sz w:val="20"/>
          <w:szCs w:val="20"/>
          <w:lang w:val="en-SG"/>
        </w:rPr>
        <w:t xml:space="preserve">4. </w:t>
      </w:r>
      <w:r w:rsidRPr="00176C3A">
        <w:rPr>
          <w:rFonts w:ascii="Arial" w:hAnsi="Arial" w:cs="Arial"/>
          <w:sz w:val="20"/>
          <w:szCs w:val="20"/>
        </w:rPr>
        <w:t>Số thuế thu nhập doanh nghiệp bổ sung theo quy định về thuế tối thiểu toàn cầu được nộp vào ngân sách trung ương.</w:t>
      </w:r>
    </w:p>
    <w:p w:rsidR="00DA6E64" w:rsidRPr="00176C3A" w:rsidRDefault="00DA6E64" w:rsidP="00DA6E64">
      <w:pPr>
        <w:pStyle w:val="BodyText"/>
        <w:tabs>
          <w:tab w:val="left" w:pos="1074"/>
        </w:tabs>
        <w:spacing w:after="120" w:line="240" w:lineRule="auto"/>
        <w:ind w:firstLine="720"/>
        <w:jc w:val="both"/>
        <w:rPr>
          <w:rFonts w:ascii="Arial" w:hAnsi="Arial" w:cs="Arial"/>
          <w:sz w:val="20"/>
          <w:szCs w:val="20"/>
        </w:rPr>
      </w:pPr>
      <w:bookmarkStart w:id="74" w:name="bookmark73"/>
      <w:bookmarkEnd w:id="74"/>
      <w:r w:rsidRPr="00176C3A">
        <w:rPr>
          <w:rFonts w:ascii="Arial" w:hAnsi="Arial" w:cs="Arial"/>
          <w:sz w:val="20"/>
          <w:szCs w:val="20"/>
          <w:lang w:val="en-SG"/>
        </w:rPr>
        <w:t xml:space="preserve">5. </w:t>
      </w:r>
      <w:r w:rsidRPr="00176C3A">
        <w:rPr>
          <w:rFonts w:ascii="Arial" w:hAnsi="Arial" w:cs="Arial"/>
          <w:sz w:val="20"/>
          <w:szCs w:val="20"/>
        </w:rPr>
        <w:t>Tỷ giá ngoại tệ để xác định ngưỡng doanh thu, thu nhập quy định tại các điều 2, 4, 5 và 6 của Nghị quyết này là trung bình tỷ giá trung tâm của tháng 12 năm liền kề trước năm phát sinh doanh thu, thu nhập được tham chiếu do Ngân hàng Nhà nước Việt Nam công bố.</w:t>
      </w:r>
    </w:p>
    <w:p w:rsidR="00DA6E64" w:rsidRPr="00176C3A" w:rsidRDefault="00DA6E64" w:rsidP="00DA6E64">
      <w:pPr>
        <w:pStyle w:val="BodyText"/>
        <w:tabs>
          <w:tab w:val="left" w:pos="1077"/>
        </w:tabs>
        <w:spacing w:after="120" w:line="240" w:lineRule="auto"/>
        <w:ind w:firstLine="720"/>
        <w:jc w:val="both"/>
        <w:rPr>
          <w:rFonts w:ascii="Arial" w:hAnsi="Arial" w:cs="Arial"/>
          <w:sz w:val="20"/>
          <w:szCs w:val="20"/>
        </w:rPr>
      </w:pPr>
      <w:bookmarkStart w:id="75" w:name="bookmark74"/>
      <w:bookmarkEnd w:id="75"/>
      <w:r w:rsidRPr="00176C3A">
        <w:rPr>
          <w:rFonts w:ascii="Arial" w:hAnsi="Arial" w:cs="Arial"/>
          <w:sz w:val="20"/>
          <w:szCs w:val="20"/>
          <w:lang w:val="en-SG"/>
        </w:rPr>
        <w:t xml:space="preserve">6. </w:t>
      </w:r>
      <w:r w:rsidRPr="00176C3A">
        <w:rPr>
          <w:rFonts w:ascii="Arial" w:hAnsi="Arial" w:cs="Arial"/>
          <w:sz w:val="20"/>
          <w:szCs w:val="20"/>
        </w:rPr>
        <w:t>Giảm trừ trách nhiệm trong giai đoạn chuyển tiếp cho các năm tài chính từ ngày 31 tháng 12 năm 2026 trở về trước nhưng không bao gồm năm tài chính kết thúc sau ngày 30 tháng 6 năm 2028 được quy định như sau:</w:t>
      </w:r>
    </w:p>
    <w:p w:rsidR="00DA6E64" w:rsidRPr="00176C3A" w:rsidRDefault="00DA6E64" w:rsidP="00DA6E64">
      <w:pPr>
        <w:pStyle w:val="BodyText"/>
        <w:tabs>
          <w:tab w:val="left" w:pos="1077"/>
        </w:tabs>
        <w:spacing w:after="120" w:line="240" w:lineRule="auto"/>
        <w:ind w:firstLine="720"/>
        <w:jc w:val="both"/>
        <w:rPr>
          <w:rFonts w:ascii="Arial" w:hAnsi="Arial" w:cs="Arial"/>
          <w:sz w:val="20"/>
          <w:szCs w:val="20"/>
        </w:rPr>
      </w:pPr>
      <w:bookmarkStart w:id="76" w:name="bookmark75"/>
      <w:bookmarkEnd w:id="76"/>
      <w:r w:rsidRPr="00176C3A">
        <w:rPr>
          <w:rFonts w:ascii="Arial" w:hAnsi="Arial" w:cs="Arial"/>
          <w:sz w:val="20"/>
          <w:szCs w:val="20"/>
          <w:lang w:val="en-SG"/>
        </w:rPr>
        <w:t xml:space="preserve">a) </w:t>
      </w:r>
      <w:r w:rsidRPr="00176C3A">
        <w:rPr>
          <w:rFonts w:ascii="Arial" w:hAnsi="Arial" w:cs="Arial"/>
          <w:sz w:val="20"/>
          <w:szCs w:val="20"/>
        </w:rPr>
        <w:t>Trong giai đoạn chuyển tiếp, số thuế bổ sung tại một quốc gia cho năm tài chính sẽ được coi là bằng 0 (không) khi đáp ứng một trong các tiêu chí sau đây:</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sz w:val="20"/>
          <w:szCs w:val="20"/>
        </w:rPr>
        <w:t>a.</w:t>
      </w:r>
      <w:r w:rsidRPr="00176C3A">
        <w:rPr>
          <w:rFonts w:ascii="Arial" w:hAnsi="Arial" w:cs="Arial"/>
          <w:sz w:val="20"/>
          <w:szCs w:val="20"/>
          <w:lang w:val="en-SG"/>
        </w:rPr>
        <w:t>1</w:t>
      </w:r>
      <w:r w:rsidRPr="00176C3A">
        <w:rPr>
          <w:rFonts w:ascii="Arial" w:hAnsi="Arial" w:cs="Arial"/>
          <w:sz w:val="20"/>
          <w:szCs w:val="20"/>
        </w:rPr>
        <w:t>) Trong năm tài chính, tập đoàn đa quốc gia có Báo cáo lợi nhuận liên quốc gia đạt chuẩn mà tổng doanh thu dưới 10 triệu EUR và lợi nhuận trước thuế thu nhập dưới 01 triệu EUR hoặc lỗ tại quốc gia đó;</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sz w:val="20"/>
          <w:szCs w:val="20"/>
        </w:rPr>
        <w:t>a.2) Trong năm tài chính, tập đoàn đa quốc gia có thuế suất thực tế đơn giản trong quốc gia đó tối thiểu bằng 15% cho năm 2023 và năm 2024; 16% cho năm 2025 và 17% cho năm 2026;</w:t>
      </w:r>
    </w:p>
    <w:p w:rsidR="00DA6E64" w:rsidRPr="00176C3A" w:rsidRDefault="00DA6E64" w:rsidP="00DA6E64">
      <w:pPr>
        <w:pStyle w:val="BodyText"/>
        <w:spacing w:after="120" w:line="240" w:lineRule="auto"/>
        <w:ind w:firstLine="720"/>
        <w:jc w:val="both"/>
        <w:rPr>
          <w:rFonts w:ascii="Arial" w:hAnsi="Arial" w:cs="Arial"/>
          <w:sz w:val="20"/>
          <w:szCs w:val="20"/>
          <w:lang w:val="en-SG"/>
        </w:rPr>
      </w:pPr>
      <w:r w:rsidRPr="00176C3A">
        <w:rPr>
          <w:rFonts w:ascii="Arial" w:hAnsi="Arial" w:cs="Arial"/>
          <w:sz w:val="20"/>
          <w:szCs w:val="20"/>
        </w:rPr>
        <w:t>a.3) Lợi nhuận (hoặc lỗ) trước thuế thu nhập của tập đoàn đa quốc gia tại quốc gia đó bằng hoặc thấp hơn khoản giảm trừ thu nhập gắn với tài sản hữu hình và lao động được tính theo Quy định về thuế tối thiểu toàn cầu đối với các đơn vị hợp thành cư trú tại quốc gia đó theo Báo cáo lợi nhuận liên quốc gia;</w:t>
      </w:r>
      <w:r w:rsidRPr="00176C3A">
        <w:rPr>
          <w:rFonts w:ascii="Arial" w:hAnsi="Arial" w:cs="Arial"/>
          <w:sz w:val="20"/>
          <w:szCs w:val="20"/>
          <w:lang w:val="en-SG"/>
        </w:rPr>
        <w:t xml:space="preserve"> </w:t>
      </w:r>
    </w:p>
    <w:p w:rsidR="00DA6E64" w:rsidRPr="00176C3A" w:rsidRDefault="00DA6E64" w:rsidP="00DA6E64">
      <w:pPr>
        <w:pStyle w:val="BodyText"/>
        <w:tabs>
          <w:tab w:val="left" w:pos="1128"/>
        </w:tabs>
        <w:spacing w:after="120" w:line="240" w:lineRule="auto"/>
        <w:ind w:firstLine="720"/>
        <w:jc w:val="both"/>
        <w:rPr>
          <w:rFonts w:ascii="Arial" w:hAnsi="Arial" w:cs="Arial"/>
          <w:sz w:val="20"/>
          <w:szCs w:val="20"/>
        </w:rPr>
      </w:pPr>
      <w:bookmarkStart w:id="77" w:name="bookmark76"/>
      <w:bookmarkEnd w:id="77"/>
      <w:r w:rsidRPr="00176C3A">
        <w:rPr>
          <w:rFonts w:ascii="Arial" w:hAnsi="Arial" w:cs="Arial"/>
          <w:sz w:val="20"/>
          <w:szCs w:val="20"/>
          <w:lang w:val="en-SG"/>
        </w:rPr>
        <w:t xml:space="preserve">b) </w:t>
      </w:r>
      <w:r w:rsidRPr="00176C3A">
        <w:rPr>
          <w:rFonts w:ascii="Arial" w:hAnsi="Arial" w:cs="Arial"/>
          <w:sz w:val="20"/>
          <w:szCs w:val="20"/>
        </w:rPr>
        <w:t>Trong giai đoạn chuyển tiếp, không xử phạt vi phạm hành chính về thuế đối với hành vi vi phạm về khai và nộp Tờ khai thông tin theo Quy định về thuế tối thiểu toàn cầu và Tờ khai thuế thu nhập doanh nghiệp bổ sung kèm theo Bản thuyết minh giải trình chênh lệch do khác biệt giữa các chuẩn mực kế toán tài chính.</w:t>
      </w:r>
    </w:p>
    <w:p w:rsidR="00DA6E64" w:rsidRPr="00176C3A" w:rsidRDefault="00DA6E64" w:rsidP="00DA6E64">
      <w:pPr>
        <w:pStyle w:val="BodyText"/>
        <w:tabs>
          <w:tab w:val="left" w:pos="1076"/>
        </w:tabs>
        <w:spacing w:after="120" w:line="240" w:lineRule="auto"/>
        <w:ind w:firstLine="720"/>
        <w:jc w:val="both"/>
        <w:rPr>
          <w:rFonts w:ascii="Arial" w:hAnsi="Arial" w:cs="Arial"/>
          <w:sz w:val="20"/>
          <w:szCs w:val="20"/>
        </w:rPr>
      </w:pPr>
      <w:bookmarkStart w:id="78" w:name="bookmark77"/>
      <w:bookmarkEnd w:id="78"/>
      <w:r w:rsidRPr="00176C3A">
        <w:rPr>
          <w:rFonts w:ascii="Arial" w:hAnsi="Arial" w:cs="Arial"/>
          <w:sz w:val="20"/>
          <w:szCs w:val="20"/>
          <w:lang w:val="en-SG"/>
        </w:rPr>
        <w:t xml:space="preserve">7. </w:t>
      </w:r>
      <w:r w:rsidRPr="00176C3A">
        <w:rPr>
          <w:rFonts w:ascii="Arial" w:hAnsi="Arial" w:cs="Arial"/>
          <w:sz w:val="20"/>
          <w:szCs w:val="20"/>
        </w:rPr>
        <w:t>Đơn vị hợp thành được lựa chọn sử dụng phương pháp tính toán đơn giản để xác định việc đáp ứng các tiêu chí giảm trừ trách nhiệm đối với lợi nhuận tính thuế bổ sung, doanh thu và thu nhập bình quân, thuế suất thực tế.</w:t>
      </w:r>
    </w:p>
    <w:p w:rsidR="00DA6E64" w:rsidRPr="00176C3A" w:rsidRDefault="00DA6E64" w:rsidP="00DA6E64">
      <w:pPr>
        <w:pStyle w:val="BodyText"/>
        <w:tabs>
          <w:tab w:val="left" w:pos="1087"/>
        </w:tabs>
        <w:spacing w:after="120" w:line="240" w:lineRule="auto"/>
        <w:ind w:firstLine="720"/>
        <w:jc w:val="both"/>
        <w:rPr>
          <w:rFonts w:ascii="Arial" w:hAnsi="Arial" w:cs="Arial"/>
          <w:sz w:val="20"/>
          <w:szCs w:val="20"/>
        </w:rPr>
      </w:pPr>
      <w:bookmarkStart w:id="79" w:name="bookmark78"/>
      <w:bookmarkEnd w:id="79"/>
      <w:r w:rsidRPr="00176C3A">
        <w:rPr>
          <w:rFonts w:ascii="Arial" w:hAnsi="Arial" w:cs="Arial"/>
          <w:sz w:val="20"/>
          <w:szCs w:val="20"/>
          <w:lang w:val="en-SG"/>
        </w:rPr>
        <w:t xml:space="preserve">8. </w:t>
      </w:r>
      <w:r w:rsidRPr="00176C3A">
        <w:rPr>
          <w:rFonts w:ascii="Arial" w:hAnsi="Arial" w:cs="Arial"/>
          <w:sz w:val="20"/>
          <w:szCs w:val="20"/>
        </w:rPr>
        <w:t>Số thuế thu nhập doanh nghiệp bổ sung đã nộp theo quy định tại Nghị quyết này được bù trừ khi xác định thuế thu nhập doanh nghiệp phải nộp tại Việt Nam tương ứng đối với phần thu nhập nhận được do đầu tư ở nước ngoài.</w:t>
      </w:r>
    </w:p>
    <w:p w:rsidR="00DA6E64" w:rsidRPr="00176C3A" w:rsidRDefault="00DA6E64" w:rsidP="00DA6E64">
      <w:pPr>
        <w:pStyle w:val="BodyText"/>
        <w:tabs>
          <w:tab w:val="left" w:pos="1083"/>
        </w:tabs>
        <w:spacing w:after="120" w:line="240" w:lineRule="auto"/>
        <w:ind w:firstLine="720"/>
        <w:jc w:val="both"/>
        <w:rPr>
          <w:rFonts w:ascii="Arial" w:hAnsi="Arial" w:cs="Arial"/>
          <w:sz w:val="20"/>
          <w:szCs w:val="20"/>
        </w:rPr>
      </w:pPr>
      <w:bookmarkStart w:id="80" w:name="bookmark79"/>
      <w:bookmarkEnd w:id="80"/>
      <w:r w:rsidRPr="00176C3A">
        <w:rPr>
          <w:rFonts w:ascii="Arial" w:hAnsi="Arial" w:cs="Arial"/>
          <w:sz w:val="20"/>
          <w:szCs w:val="20"/>
          <w:lang w:val="en-SG"/>
        </w:rPr>
        <w:t xml:space="preserve">9. </w:t>
      </w:r>
      <w:r w:rsidRPr="00176C3A">
        <w:rPr>
          <w:rFonts w:ascii="Arial" w:hAnsi="Arial" w:cs="Arial"/>
          <w:sz w:val="20"/>
          <w:szCs w:val="20"/>
        </w:rPr>
        <w:t>Căn cứ quy định tại Điều này, Luật Quản lý thuế và các quy định của pháp luật có liên quan, Chính phủ quy định các nội dung về quản lý thuế đối với thuế thu nhập doanh nghiệp bổ sung theo quy định chống xói mòn cơ sở thuế toàn cầu.</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b/>
          <w:bCs/>
          <w:sz w:val="20"/>
          <w:szCs w:val="20"/>
        </w:rPr>
        <w:t>Điều 7. Tổ chức thực hiện</w:t>
      </w:r>
    </w:p>
    <w:p w:rsidR="00DA6E64" w:rsidRPr="00176C3A" w:rsidRDefault="00DA6E64" w:rsidP="00DA6E64">
      <w:pPr>
        <w:pStyle w:val="BodyText"/>
        <w:tabs>
          <w:tab w:val="left" w:pos="1090"/>
        </w:tabs>
        <w:spacing w:after="120" w:line="240" w:lineRule="auto"/>
        <w:ind w:firstLine="720"/>
        <w:jc w:val="both"/>
        <w:rPr>
          <w:rFonts w:ascii="Arial" w:hAnsi="Arial" w:cs="Arial"/>
          <w:sz w:val="20"/>
          <w:szCs w:val="20"/>
        </w:rPr>
      </w:pPr>
      <w:bookmarkStart w:id="81" w:name="bookmark80"/>
      <w:bookmarkEnd w:id="81"/>
      <w:r w:rsidRPr="00176C3A">
        <w:rPr>
          <w:rFonts w:ascii="Arial" w:hAnsi="Arial" w:cs="Arial"/>
          <w:sz w:val="20"/>
          <w:szCs w:val="20"/>
          <w:lang w:val="en-SG"/>
        </w:rPr>
        <w:t xml:space="preserve">1. </w:t>
      </w:r>
      <w:r w:rsidRPr="00176C3A">
        <w:rPr>
          <w:rFonts w:ascii="Arial" w:hAnsi="Arial" w:cs="Arial"/>
          <w:sz w:val="20"/>
          <w:szCs w:val="20"/>
        </w:rPr>
        <w:t>Giao Chính phủ, các Bộ, trong phạm vi nhiệm vụ, quyền hạn của mình, chịu trách nhiệm tổ chức, triển khai thực hiện các nội dung, chính sách quy định tại Nghị quyết này; khẩn trương chuẩn bị các điều kiện cần thiết để bảo đảm cho việc thực hiện Nghị quyết; chú trọng tổ chức thực hiện các hoạt động hợp tác đa phương về trao đổi thông tin tự động phục vụ việc thu thuế tối thiểu toàn cầu; xây dựng kế hoạch, lộ trình triển khai chính thức, phân công trách nhiệm, tổ chức bộ máy, nguồn lực để kịp thời đáp ứng năng lực thực hiện cho cơ quan thuế, có biện pháp nâng cao tuân thủ tự nguyện cho người nộp thuế.</w:t>
      </w:r>
    </w:p>
    <w:p w:rsidR="00DA6E64" w:rsidRPr="00176C3A" w:rsidRDefault="00DA6E64" w:rsidP="00DA6E64">
      <w:pPr>
        <w:pStyle w:val="BodyText"/>
        <w:tabs>
          <w:tab w:val="left" w:pos="1083"/>
        </w:tabs>
        <w:spacing w:after="120" w:line="240" w:lineRule="auto"/>
        <w:ind w:firstLine="720"/>
        <w:jc w:val="both"/>
        <w:rPr>
          <w:rFonts w:ascii="Arial" w:hAnsi="Arial" w:cs="Arial"/>
          <w:sz w:val="20"/>
          <w:szCs w:val="20"/>
        </w:rPr>
      </w:pPr>
      <w:bookmarkStart w:id="82" w:name="bookmark81"/>
      <w:bookmarkEnd w:id="82"/>
      <w:r w:rsidRPr="00176C3A">
        <w:rPr>
          <w:rFonts w:ascii="Arial" w:hAnsi="Arial" w:cs="Arial"/>
          <w:sz w:val="20"/>
          <w:szCs w:val="20"/>
          <w:lang w:val="en-SG"/>
        </w:rPr>
        <w:t xml:space="preserve">2. </w:t>
      </w:r>
      <w:r w:rsidRPr="00176C3A">
        <w:rPr>
          <w:rFonts w:ascii="Arial" w:hAnsi="Arial" w:cs="Arial"/>
          <w:sz w:val="20"/>
          <w:szCs w:val="20"/>
        </w:rPr>
        <w:t>Ủy ban Thường vụ Quốc hội, Hội đồng Dân tộc và các Ủy ban của Quốc hội, các Đoàn đại biểu Quốc hội, đại biểu Quốc hội, Hội đồng nhân dân các tỉnh, thành phố trực thuộc trung ương, Mặt trận Tổ quốc Việt Nam và các tổ chức thành viên của Mặt trận, trong phạm vi nhiệm vụ, quyền hạn của mình, giám sát việc thực hiện Nghị quyết này.</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b/>
          <w:bCs/>
          <w:sz w:val="20"/>
          <w:szCs w:val="20"/>
        </w:rPr>
        <w:t>Điều 8. Điều khoản thi hành</w:t>
      </w:r>
    </w:p>
    <w:p w:rsidR="00DA6E64" w:rsidRPr="00176C3A" w:rsidRDefault="00DA6E64" w:rsidP="00DA6E64">
      <w:pPr>
        <w:pStyle w:val="BodyText"/>
        <w:tabs>
          <w:tab w:val="left" w:pos="1073"/>
        </w:tabs>
        <w:spacing w:after="120" w:line="240" w:lineRule="auto"/>
        <w:ind w:firstLine="720"/>
        <w:jc w:val="both"/>
        <w:rPr>
          <w:rFonts w:ascii="Arial" w:hAnsi="Arial" w:cs="Arial"/>
          <w:sz w:val="20"/>
          <w:szCs w:val="20"/>
        </w:rPr>
      </w:pPr>
      <w:bookmarkStart w:id="83" w:name="bookmark82"/>
      <w:bookmarkEnd w:id="83"/>
      <w:r w:rsidRPr="00176C3A">
        <w:rPr>
          <w:rFonts w:ascii="Arial" w:hAnsi="Arial" w:cs="Arial"/>
          <w:sz w:val="20"/>
          <w:szCs w:val="20"/>
          <w:lang w:val="en-SG"/>
        </w:rPr>
        <w:lastRenderedPageBreak/>
        <w:t xml:space="preserve">1. </w:t>
      </w:r>
      <w:r w:rsidRPr="00176C3A">
        <w:rPr>
          <w:rFonts w:ascii="Arial" w:hAnsi="Arial" w:cs="Arial"/>
          <w:sz w:val="20"/>
          <w:szCs w:val="20"/>
        </w:rPr>
        <w:t>Nghị quyết này có hiệu lực thi hành từ ngày 01 tháng 01 năm 2024, áp dụng từ năm tài chính 2024.</w:t>
      </w:r>
    </w:p>
    <w:p w:rsidR="00DA6E64" w:rsidRPr="00176C3A" w:rsidRDefault="00DA6E64" w:rsidP="00DA6E64">
      <w:pPr>
        <w:pStyle w:val="BodyText"/>
        <w:spacing w:after="120" w:line="240" w:lineRule="auto"/>
        <w:ind w:firstLine="720"/>
        <w:jc w:val="both"/>
        <w:rPr>
          <w:rFonts w:ascii="Arial" w:hAnsi="Arial" w:cs="Arial"/>
          <w:sz w:val="20"/>
          <w:szCs w:val="20"/>
        </w:rPr>
      </w:pPr>
      <w:r w:rsidRPr="00176C3A">
        <w:rPr>
          <w:rFonts w:ascii="Arial" w:hAnsi="Arial" w:cs="Arial"/>
          <w:sz w:val="20"/>
          <w:szCs w:val="20"/>
        </w:rPr>
        <w:t>Chính phủ khẩn trương hoàn thiện hồ sơ dự án Luật Thuế thu nhập doanh nghiệp (sửa đổi) theo quy định của Luật Ban hành văn bản quy phạm pháp luật, trình Ủy ban Thường vụ Quốc hội, Quốc hội xem xét bổ sung vào Chương trình xây dựng luật, pháp lệnh năm 2024.</w:t>
      </w:r>
    </w:p>
    <w:p w:rsidR="00DA6E64" w:rsidRPr="00176C3A" w:rsidRDefault="00DA6E64" w:rsidP="00DA6E64">
      <w:pPr>
        <w:pStyle w:val="BodyText"/>
        <w:tabs>
          <w:tab w:val="left" w:pos="1090"/>
        </w:tabs>
        <w:spacing w:after="120" w:line="240" w:lineRule="auto"/>
        <w:ind w:firstLine="720"/>
        <w:jc w:val="both"/>
        <w:rPr>
          <w:rFonts w:ascii="Arial" w:hAnsi="Arial" w:cs="Arial"/>
          <w:sz w:val="20"/>
          <w:szCs w:val="20"/>
        </w:rPr>
      </w:pPr>
      <w:bookmarkStart w:id="84" w:name="bookmark83"/>
      <w:bookmarkEnd w:id="84"/>
      <w:r w:rsidRPr="00176C3A">
        <w:rPr>
          <w:rFonts w:ascii="Arial" w:hAnsi="Arial" w:cs="Arial"/>
          <w:sz w:val="20"/>
          <w:szCs w:val="20"/>
          <w:lang w:val="en-SG"/>
        </w:rPr>
        <w:t xml:space="preserve">2. </w:t>
      </w:r>
      <w:r w:rsidRPr="00176C3A">
        <w:rPr>
          <w:rFonts w:ascii="Arial" w:hAnsi="Arial" w:cs="Arial"/>
          <w:sz w:val="20"/>
          <w:szCs w:val="20"/>
        </w:rPr>
        <w:t>Trường hợp có quy định khác nhau về cùng một vấn đề giữa Nghị quyết này với luật, nghị quyết khác của Quốc hội thì áp dụng quy định của Nghị quyết này.</w:t>
      </w:r>
    </w:p>
    <w:p w:rsidR="00DA6E64" w:rsidRPr="00176C3A" w:rsidRDefault="00DA6E64" w:rsidP="00DA6E64">
      <w:pPr>
        <w:pStyle w:val="BodyText"/>
        <w:tabs>
          <w:tab w:val="left" w:pos="1090"/>
        </w:tabs>
        <w:spacing w:after="120" w:line="240" w:lineRule="auto"/>
        <w:ind w:firstLine="720"/>
        <w:jc w:val="both"/>
        <w:rPr>
          <w:rFonts w:ascii="Arial" w:hAnsi="Arial" w:cs="Arial"/>
          <w:sz w:val="20"/>
          <w:szCs w:val="20"/>
        </w:rPr>
      </w:pPr>
      <w:bookmarkStart w:id="85" w:name="bookmark84"/>
      <w:bookmarkEnd w:id="85"/>
      <w:r w:rsidRPr="00176C3A">
        <w:rPr>
          <w:rFonts w:ascii="Arial" w:hAnsi="Arial" w:cs="Arial"/>
          <w:sz w:val="20"/>
          <w:szCs w:val="20"/>
          <w:lang w:val="en-SG"/>
        </w:rPr>
        <w:t xml:space="preserve">3. </w:t>
      </w:r>
      <w:r w:rsidRPr="00176C3A">
        <w:rPr>
          <w:rFonts w:ascii="Arial" w:hAnsi="Arial" w:cs="Arial"/>
          <w:sz w:val="20"/>
          <w:szCs w:val="20"/>
        </w:rPr>
        <w:t>Trường hợp sau ngày Nghị quyết này có hiệu lực thi hành, Diễn đàn hợp tác chung về chống xói mòn cơ sở thuế và chuyển lợi nhuận toàn cầu có hướng dẫn, sửa đổi, bổ sung Quy định về thuế tối thiểu toàn cầu thì Chính phủ quy định nội dung cụ thể để thực hiện; trường hợp có nội dung trái với quy định của Nghị quyết này thì báo cáo Quốc hội xem xét, quyết định; trường h</w:t>
      </w:r>
      <w:r w:rsidRPr="00176C3A">
        <w:rPr>
          <w:rFonts w:ascii="Arial" w:hAnsi="Arial" w:cs="Arial"/>
          <w:sz w:val="20"/>
          <w:szCs w:val="20"/>
          <w:lang w:val="en-SG"/>
        </w:rPr>
        <w:t>ợ</w:t>
      </w:r>
      <w:r w:rsidRPr="00176C3A">
        <w:rPr>
          <w:rFonts w:ascii="Arial" w:hAnsi="Arial" w:cs="Arial"/>
          <w:sz w:val="20"/>
          <w:szCs w:val="20"/>
        </w:rPr>
        <w:t>p cấp bách trong thời gian Quốc hội không họp thì trình Ủy ban Thường vụ Quốc hội xem xét, quyết định và báo cáo Quốc hội tại kỳ họp gần nhất./.</w:t>
      </w:r>
    </w:p>
    <w:p w:rsidR="00DA6E64" w:rsidRPr="00176C3A" w:rsidRDefault="00DA6E64" w:rsidP="00DA6E64">
      <w:pPr>
        <w:pStyle w:val="BodyText"/>
        <w:spacing w:after="0" w:line="240" w:lineRule="auto"/>
        <w:ind w:firstLine="720"/>
        <w:jc w:val="both"/>
        <w:rPr>
          <w:rFonts w:ascii="Arial" w:hAnsi="Arial" w:cs="Arial"/>
          <w:i/>
          <w:iCs/>
          <w:sz w:val="20"/>
          <w:szCs w:val="20"/>
        </w:rPr>
      </w:pPr>
      <w:r w:rsidRPr="00176C3A">
        <w:rPr>
          <w:rFonts w:ascii="Arial" w:hAnsi="Arial" w:cs="Arial"/>
          <w:i/>
          <w:iCs/>
          <w:sz w:val="20"/>
          <w:szCs w:val="20"/>
        </w:rPr>
        <w:t>Nghị quyết này được Quốc hội nước Cộng hòa xã hội chủ nghĩa Việt Nam khóa XV, kỳ họp thứ 6 thông qua ngày 29 tháng 11 năm 2023.</w:t>
      </w:r>
    </w:p>
    <w:p w:rsidR="00DA6E64" w:rsidRPr="00176C3A" w:rsidRDefault="00DA6E64" w:rsidP="00DA6E64">
      <w:pPr>
        <w:pStyle w:val="BodyText"/>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DA6E64" w:rsidRPr="00176C3A" w:rsidTr="006834DD">
        <w:tc>
          <w:tcPr>
            <w:tcW w:w="2200" w:type="pct"/>
          </w:tcPr>
          <w:p w:rsidR="00DA6E64" w:rsidRPr="00176C3A" w:rsidRDefault="00DA6E64" w:rsidP="0069270A">
            <w:pPr>
              <w:jc w:val="center"/>
              <w:rPr>
                <w:rFonts w:ascii="Arial" w:hAnsi="Arial" w:cs="Arial"/>
                <w:noProof/>
                <w:color w:val="auto"/>
                <w:sz w:val="20"/>
                <w:szCs w:val="20"/>
                <w:lang w:val="en-SG" w:eastAsia="en-SG" w:bidi="ar-SA"/>
              </w:rPr>
            </w:pPr>
          </w:p>
        </w:tc>
        <w:tc>
          <w:tcPr>
            <w:tcW w:w="2800" w:type="pct"/>
          </w:tcPr>
          <w:p w:rsidR="00DA6E64" w:rsidRPr="00176C3A" w:rsidRDefault="00DA6E64" w:rsidP="0069270A">
            <w:pPr>
              <w:jc w:val="center"/>
              <w:rPr>
                <w:rFonts w:ascii="Arial" w:hAnsi="Arial" w:cs="Arial"/>
                <w:b/>
                <w:noProof/>
                <w:color w:val="auto"/>
                <w:sz w:val="20"/>
                <w:szCs w:val="20"/>
                <w:lang w:val="en-SG" w:eastAsia="en-SG" w:bidi="ar-SA"/>
              </w:rPr>
            </w:pPr>
            <w:r w:rsidRPr="00176C3A">
              <w:rPr>
                <w:rFonts w:ascii="Arial" w:hAnsi="Arial" w:cs="Arial"/>
                <w:b/>
                <w:noProof/>
                <w:color w:val="auto"/>
                <w:sz w:val="20"/>
                <w:szCs w:val="20"/>
                <w:lang w:val="en-SG" w:eastAsia="en-SG" w:bidi="ar-SA"/>
              </w:rPr>
              <w:t>CHỦ TỊCH QUỐC HỘI</w:t>
            </w:r>
          </w:p>
          <w:p w:rsidR="00DA6E64" w:rsidRPr="00176C3A" w:rsidRDefault="00DA6E64" w:rsidP="0069270A">
            <w:pPr>
              <w:jc w:val="center"/>
              <w:rPr>
                <w:rFonts w:ascii="Arial" w:hAnsi="Arial" w:cs="Arial"/>
                <w:b/>
                <w:noProof/>
                <w:color w:val="auto"/>
                <w:sz w:val="20"/>
                <w:szCs w:val="20"/>
                <w:lang w:val="en-SG" w:eastAsia="en-SG" w:bidi="ar-SA"/>
              </w:rPr>
            </w:pPr>
          </w:p>
          <w:p w:rsidR="00DA6E64" w:rsidRPr="00176C3A" w:rsidRDefault="00DA6E64" w:rsidP="0069270A">
            <w:pPr>
              <w:jc w:val="center"/>
              <w:rPr>
                <w:rFonts w:ascii="Arial" w:hAnsi="Arial" w:cs="Arial"/>
                <w:b/>
                <w:noProof/>
                <w:color w:val="auto"/>
                <w:sz w:val="20"/>
                <w:szCs w:val="20"/>
                <w:lang w:val="en-SG" w:eastAsia="en-SG" w:bidi="ar-SA"/>
              </w:rPr>
            </w:pPr>
          </w:p>
          <w:p w:rsidR="00DA6E64" w:rsidRPr="00176C3A" w:rsidRDefault="00DA6E64" w:rsidP="0069270A">
            <w:pPr>
              <w:jc w:val="center"/>
              <w:rPr>
                <w:rFonts w:ascii="Arial" w:hAnsi="Arial" w:cs="Arial"/>
                <w:b/>
                <w:noProof/>
                <w:color w:val="auto"/>
                <w:sz w:val="20"/>
                <w:szCs w:val="20"/>
                <w:lang w:val="en-SG" w:eastAsia="en-SG" w:bidi="ar-SA"/>
              </w:rPr>
            </w:pPr>
          </w:p>
          <w:p w:rsidR="00DA6E64" w:rsidRPr="00176C3A" w:rsidRDefault="00DA6E64" w:rsidP="0069270A">
            <w:pPr>
              <w:jc w:val="center"/>
              <w:rPr>
                <w:rFonts w:ascii="Arial" w:hAnsi="Arial" w:cs="Arial"/>
                <w:b/>
                <w:noProof/>
                <w:color w:val="auto"/>
                <w:sz w:val="20"/>
                <w:szCs w:val="20"/>
                <w:lang w:val="en-SG" w:eastAsia="en-SG" w:bidi="ar-SA"/>
              </w:rPr>
            </w:pPr>
          </w:p>
          <w:p w:rsidR="00DA6E64" w:rsidRPr="00176C3A" w:rsidRDefault="00DA6E64" w:rsidP="0069270A">
            <w:pPr>
              <w:jc w:val="center"/>
              <w:rPr>
                <w:rFonts w:ascii="Arial" w:hAnsi="Arial" w:cs="Arial"/>
                <w:noProof/>
                <w:color w:val="auto"/>
                <w:sz w:val="20"/>
                <w:szCs w:val="20"/>
                <w:lang w:val="en-SG" w:eastAsia="en-SG" w:bidi="ar-SA"/>
              </w:rPr>
            </w:pPr>
            <w:r w:rsidRPr="00176C3A">
              <w:rPr>
                <w:rFonts w:ascii="Arial" w:hAnsi="Arial" w:cs="Arial"/>
                <w:b/>
                <w:noProof/>
                <w:color w:val="auto"/>
                <w:sz w:val="20"/>
                <w:szCs w:val="20"/>
                <w:lang w:val="en-SG" w:eastAsia="en-SG" w:bidi="ar-SA"/>
              </w:rPr>
              <w:t>Vương Đình Huệ</w:t>
            </w:r>
          </w:p>
        </w:tc>
      </w:tr>
    </w:tbl>
    <w:p w:rsidR="00DA6E64" w:rsidRPr="00176C3A" w:rsidRDefault="00DA6E64" w:rsidP="00DA6E64">
      <w:pPr>
        <w:jc w:val="center"/>
        <w:rPr>
          <w:rFonts w:ascii="Arial" w:hAnsi="Arial" w:cs="Arial"/>
          <w:noProof/>
          <w:color w:val="auto"/>
          <w:sz w:val="20"/>
          <w:szCs w:val="20"/>
          <w:lang w:val="en-SG" w:eastAsia="en-SG" w:bidi="ar-SA"/>
        </w:rPr>
      </w:pPr>
    </w:p>
    <w:p w:rsidR="00DA6E64" w:rsidRPr="00176C3A" w:rsidRDefault="00DA6E64" w:rsidP="00DA6E64">
      <w:pPr>
        <w:spacing w:after="120"/>
        <w:ind w:firstLine="720"/>
        <w:jc w:val="both"/>
        <w:rPr>
          <w:rFonts w:ascii="Arial" w:hAnsi="Arial" w:cs="Arial"/>
          <w:color w:val="auto"/>
          <w:sz w:val="20"/>
          <w:szCs w:val="20"/>
        </w:rPr>
        <w:sectPr w:rsidR="00DA6E64" w:rsidRPr="00176C3A" w:rsidSect="00176C3A">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DA6E64" w:rsidRPr="00176C3A" w:rsidRDefault="00DA6E64" w:rsidP="00DA6E64">
      <w:pPr>
        <w:pStyle w:val="BodyText"/>
        <w:spacing w:after="0" w:line="240" w:lineRule="auto"/>
        <w:ind w:firstLine="0"/>
        <w:jc w:val="center"/>
        <w:rPr>
          <w:rFonts w:ascii="Arial" w:hAnsi="Arial" w:cs="Arial"/>
          <w:sz w:val="20"/>
          <w:szCs w:val="20"/>
        </w:rPr>
      </w:pPr>
      <w:r w:rsidRPr="00176C3A">
        <w:rPr>
          <w:rFonts w:ascii="Arial" w:hAnsi="Arial" w:cs="Arial"/>
          <w:b/>
          <w:bCs/>
          <w:sz w:val="20"/>
          <w:szCs w:val="20"/>
        </w:rPr>
        <w:lastRenderedPageBreak/>
        <w:t>PHỤ LỤC</w:t>
      </w:r>
    </w:p>
    <w:p w:rsidR="00DA6E64" w:rsidRPr="00176C3A" w:rsidRDefault="00DA6E64" w:rsidP="00DA6E64">
      <w:pPr>
        <w:pStyle w:val="BodyText"/>
        <w:spacing w:after="0" w:line="240" w:lineRule="auto"/>
        <w:ind w:firstLine="0"/>
        <w:jc w:val="center"/>
        <w:rPr>
          <w:rFonts w:ascii="Arial" w:hAnsi="Arial" w:cs="Arial"/>
          <w:sz w:val="20"/>
          <w:szCs w:val="20"/>
        </w:rPr>
      </w:pPr>
      <w:r w:rsidRPr="00176C3A">
        <w:rPr>
          <w:rFonts w:ascii="Arial" w:hAnsi="Arial" w:cs="Arial"/>
          <w:b/>
          <w:bCs/>
          <w:sz w:val="20"/>
          <w:szCs w:val="20"/>
        </w:rPr>
        <w:t>GIÁ TRỊ TÀI SẢN HỮU HÌNH VÀ TI</w:t>
      </w:r>
      <w:r w:rsidRPr="00176C3A">
        <w:rPr>
          <w:rFonts w:ascii="Arial" w:hAnsi="Arial" w:cs="Arial"/>
          <w:b/>
          <w:bCs/>
          <w:sz w:val="20"/>
          <w:szCs w:val="20"/>
          <w:lang w:val="en-SG"/>
        </w:rPr>
        <w:t>Ề</w:t>
      </w:r>
      <w:r w:rsidRPr="00176C3A">
        <w:rPr>
          <w:rFonts w:ascii="Arial" w:hAnsi="Arial" w:cs="Arial"/>
          <w:b/>
          <w:bCs/>
          <w:sz w:val="20"/>
          <w:szCs w:val="20"/>
        </w:rPr>
        <w:t>N LƯƠNG ĐƯỢC GIẢM TRỪ</w:t>
      </w:r>
      <w:r w:rsidRPr="00176C3A">
        <w:rPr>
          <w:rFonts w:ascii="Arial" w:hAnsi="Arial" w:cs="Arial"/>
          <w:b/>
          <w:bCs/>
          <w:sz w:val="20"/>
          <w:szCs w:val="20"/>
        </w:rPr>
        <w:br/>
        <w:t>CHO TỪNG NĂM TRONG GIAI ĐOẠN CH</w:t>
      </w:r>
      <w:r w:rsidRPr="00176C3A">
        <w:rPr>
          <w:rFonts w:ascii="Arial" w:hAnsi="Arial" w:cs="Arial"/>
          <w:b/>
          <w:bCs/>
          <w:sz w:val="20"/>
          <w:szCs w:val="20"/>
          <w:lang w:val="en-SG"/>
        </w:rPr>
        <w:t>UYỂ</w:t>
      </w:r>
      <w:r w:rsidRPr="00176C3A">
        <w:rPr>
          <w:rFonts w:ascii="Arial" w:hAnsi="Arial" w:cs="Arial"/>
          <w:b/>
          <w:bCs/>
          <w:sz w:val="20"/>
          <w:szCs w:val="20"/>
        </w:rPr>
        <w:t>N TIẾP</w:t>
      </w:r>
    </w:p>
    <w:p w:rsidR="00DA6E64" w:rsidRPr="00176C3A" w:rsidRDefault="00DA6E64" w:rsidP="00DA6E64">
      <w:pPr>
        <w:pStyle w:val="BodyText"/>
        <w:spacing w:after="0" w:line="240" w:lineRule="auto"/>
        <w:ind w:firstLine="0"/>
        <w:jc w:val="center"/>
        <w:rPr>
          <w:rFonts w:ascii="Arial" w:hAnsi="Arial" w:cs="Arial"/>
          <w:i/>
          <w:iCs/>
          <w:sz w:val="20"/>
          <w:szCs w:val="20"/>
        </w:rPr>
      </w:pPr>
      <w:r w:rsidRPr="00176C3A">
        <w:rPr>
          <w:rFonts w:ascii="Arial" w:hAnsi="Arial" w:cs="Arial"/>
          <w:i/>
          <w:iCs/>
          <w:sz w:val="20"/>
          <w:szCs w:val="20"/>
        </w:rPr>
        <w:t xml:space="preserve">(Ban hành kèm theo Nghị quyết số </w:t>
      </w:r>
      <w:r w:rsidRPr="00176C3A">
        <w:rPr>
          <w:rFonts w:ascii="Arial" w:hAnsi="Arial" w:cs="Arial"/>
          <w:i/>
          <w:iCs/>
          <w:sz w:val="20"/>
          <w:szCs w:val="20"/>
          <w:lang w:val="en-SG"/>
        </w:rPr>
        <w:t>107</w:t>
      </w:r>
      <w:r w:rsidRPr="00176C3A">
        <w:rPr>
          <w:rFonts w:ascii="Arial" w:hAnsi="Arial" w:cs="Arial"/>
          <w:i/>
          <w:iCs/>
          <w:sz w:val="20"/>
          <w:szCs w:val="20"/>
        </w:rPr>
        <w:t>/2023/QH15</w:t>
      </w:r>
      <w:r w:rsidRPr="00176C3A">
        <w:rPr>
          <w:rFonts w:ascii="Arial" w:hAnsi="Arial" w:cs="Arial"/>
          <w:i/>
          <w:iCs/>
          <w:sz w:val="20"/>
          <w:szCs w:val="20"/>
        </w:rPr>
        <w:br/>
        <w:t>Ngày 29 th</w:t>
      </w:r>
      <w:r w:rsidRPr="00176C3A">
        <w:rPr>
          <w:rFonts w:ascii="Arial" w:hAnsi="Arial" w:cs="Arial"/>
          <w:i/>
          <w:iCs/>
          <w:sz w:val="20"/>
          <w:szCs w:val="20"/>
          <w:lang w:val="en-SG"/>
        </w:rPr>
        <w:t>á</w:t>
      </w:r>
      <w:r w:rsidRPr="00176C3A">
        <w:rPr>
          <w:rFonts w:ascii="Arial" w:hAnsi="Arial" w:cs="Arial"/>
          <w:i/>
          <w:iCs/>
          <w:sz w:val="20"/>
          <w:szCs w:val="20"/>
        </w:rPr>
        <w:t>ng 11 năm 2023 của Quốc hội)</w:t>
      </w:r>
    </w:p>
    <w:p w:rsidR="00DA6E64" w:rsidRPr="00176C3A" w:rsidRDefault="00DA6E64" w:rsidP="00DA6E64">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098"/>
        <w:gridCol w:w="2789"/>
        <w:gridCol w:w="3123"/>
      </w:tblGrid>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Năm tài chính bắt</w:t>
            </w:r>
            <w:r w:rsidRPr="00176C3A">
              <w:rPr>
                <w:rFonts w:ascii="Arial" w:hAnsi="Arial" w:cs="Arial"/>
                <w:sz w:val="20"/>
                <w:szCs w:val="20"/>
                <w:lang w:val="en-SG"/>
              </w:rPr>
              <w:t xml:space="preserve"> </w:t>
            </w:r>
            <w:r w:rsidRPr="00176C3A">
              <w:rPr>
                <w:rFonts w:ascii="Arial" w:hAnsi="Arial" w:cs="Arial"/>
                <w:sz w:val="20"/>
                <w:szCs w:val="20"/>
              </w:rPr>
              <w:t>đầu từ</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Tỷ lệ tiền lương</w:t>
            </w:r>
            <w:r w:rsidRPr="00176C3A">
              <w:rPr>
                <w:rFonts w:ascii="Arial" w:hAnsi="Arial" w:cs="Arial"/>
                <w:sz w:val="20"/>
                <w:szCs w:val="20"/>
                <w:lang w:val="en-SG"/>
              </w:rPr>
              <w:t xml:space="preserve"> </w:t>
            </w:r>
            <w:r w:rsidRPr="00176C3A">
              <w:rPr>
                <w:rFonts w:ascii="Arial" w:hAnsi="Arial" w:cs="Arial"/>
                <w:sz w:val="20"/>
                <w:szCs w:val="20"/>
              </w:rPr>
              <w:t>(%)</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Tỷ lệ tài sản hữu hình</w:t>
            </w:r>
            <w:r w:rsidRPr="00176C3A">
              <w:rPr>
                <w:rFonts w:ascii="Arial" w:hAnsi="Arial" w:cs="Arial"/>
                <w:sz w:val="20"/>
                <w:szCs w:val="20"/>
                <w:lang w:val="en-SG"/>
              </w:rPr>
              <w:t xml:space="preserve"> </w:t>
            </w:r>
            <w:r w:rsidRPr="00176C3A">
              <w:rPr>
                <w:rFonts w:ascii="Arial" w:hAnsi="Arial" w:cs="Arial"/>
                <w:sz w:val="20"/>
                <w:szCs w:val="20"/>
              </w:rPr>
              <w:t>(%)</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2024</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9,8</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7,8</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2025</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9,6</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7,6</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2026</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9,4</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7,4</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2027</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9,2</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7,2</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2028</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9</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2029</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8,2</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6,6</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2030</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7,4</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6,2</w:t>
            </w:r>
          </w:p>
        </w:tc>
      </w:tr>
      <w:tr w:rsidR="00DA6E64" w:rsidRPr="00176C3A" w:rsidTr="0069270A">
        <w:trPr>
          <w:trHeight w:val="624"/>
          <w:jc w:val="center"/>
        </w:trPr>
        <w:tc>
          <w:tcPr>
            <w:tcW w:w="1719"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2031</w:t>
            </w:r>
          </w:p>
        </w:tc>
        <w:tc>
          <w:tcPr>
            <w:tcW w:w="1548" w:type="pct"/>
            <w:tcBorders>
              <w:top w:val="single" w:sz="4" w:space="0" w:color="auto"/>
              <w:lef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6,6</w:t>
            </w:r>
          </w:p>
        </w:tc>
        <w:tc>
          <w:tcPr>
            <w:tcW w:w="1733" w:type="pct"/>
            <w:tcBorders>
              <w:top w:val="single" w:sz="4" w:space="0" w:color="auto"/>
              <w:left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5,8</w:t>
            </w:r>
          </w:p>
        </w:tc>
      </w:tr>
      <w:tr w:rsidR="00DA6E64" w:rsidRPr="00176C3A" w:rsidTr="0069270A">
        <w:trPr>
          <w:trHeight w:val="624"/>
          <w:jc w:val="center"/>
        </w:trPr>
        <w:tc>
          <w:tcPr>
            <w:tcW w:w="1719" w:type="pct"/>
            <w:tcBorders>
              <w:top w:val="single" w:sz="4" w:space="0" w:color="auto"/>
              <w:left w:val="single" w:sz="4" w:space="0" w:color="auto"/>
              <w:bottom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2032</w:t>
            </w:r>
          </w:p>
        </w:tc>
        <w:tc>
          <w:tcPr>
            <w:tcW w:w="1548" w:type="pct"/>
            <w:tcBorders>
              <w:top w:val="single" w:sz="4" w:space="0" w:color="auto"/>
              <w:left w:val="single" w:sz="4" w:space="0" w:color="auto"/>
              <w:bottom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5,8</w:t>
            </w:r>
          </w:p>
        </w:tc>
        <w:tc>
          <w:tcPr>
            <w:tcW w:w="1733" w:type="pct"/>
            <w:tcBorders>
              <w:top w:val="single" w:sz="4" w:space="0" w:color="auto"/>
              <w:left w:val="single" w:sz="4" w:space="0" w:color="auto"/>
              <w:bottom w:val="single" w:sz="4" w:space="0" w:color="auto"/>
              <w:right w:val="single" w:sz="4" w:space="0" w:color="auto"/>
            </w:tcBorders>
            <w:shd w:val="clear" w:color="auto" w:fill="FFFFFF"/>
            <w:vAlign w:val="center"/>
          </w:tcPr>
          <w:p w:rsidR="00DA6E64" w:rsidRPr="00176C3A" w:rsidRDefault="00DA6E64" w:rsidP="0069270A">
            <w:pPr>
              <w:pStyle w:val="Other0"/>
              <w:spacing w:after="0" w:line="240" w:lineRule="auto"/>
              <w:ind w:firstLine="0"/>
              <w:jc w:val="center"/>
              <w:rPr>
                <w:rFonts w:ascii="Arial" w:hAnsi="Arial" w:cs="Arial"/>
                <w:sz w:val="20"/>
                <w:szCs w:val="20"/>
              </w:rPr>
            </w:pPr>
            <w:r w:rsidRPr="00176C3A">
              <w:rPr>
                <w:rFonts w:ascii="Arial" w:hAnsi="Arial" w:cs="Arial"/>
                <w:sz w:val="20"/>
                <w:szCs w:val="20"/>
              </w:rPr>
              <w:t>5,4</w:t>
            </w:r>
          </w:p>
        </w:tc>
      </w:tr>
    </w:tbl>
    <w:p w:rsidR="00DA6E64" w:rsidRPr="00176C3A" w:rsidRDefault="00DA6E64" w:rsidP="00DA6E64">
      <w:pPr>
        <w:jc w:val="center"/>
        <w:rPr>
          <w:rFonts w:ascii="Arial" w:hAnsi="Arial" w:cs="Arial"/>
          <w:color w:val="auto"/>
          <w:sz w:val="20"/>
          <w:szCs w:val="20"/>
        </w:rPr>
      </w:pPr>
    </w:p>
    <w:p w:rsidR="00454739" w:rsidRDefault="00454739" w:rsidP="00454739">
      <w:pPr>
        <w:pStyle w:val="Vnbnnidung0"/>
        <w:tabs>
          <w:tab w:val="left" w:pos="1200"/>
        </w:tabs>
        <w:spacing w:after="120" w:line="240" w:lineRule="auto"/>
        <w:ind w:firstLine="0"/>
        <w:jc w:val="both"/>
        <w:rPr>
          <w:rFonts w:ascii="Arial" w:hAnsi="Arial" w:cs="Arial"/>
          <w:sz w:val="20"/>
          <w:szCs w:val="20"/>
        </w:rPr>
      </w:pPr>
    </w:p>
    <w:p w:rsidR="00454739" w:rsidRDefault="00454739" w:rsidP="00454739">
      <w:pPr>
        <w:pStyle w:val="Vnbnnidung0"/>
        <w:tabs>
          <w:tab w:val="left" w:pos="1200"/>
        </w:tabs>
        <w:spacing w:after="120" w:line="240" w:lineRule="auto"/>
        <w:ind w:firstLine="0"/>
        <w:jc w:val="both"/>
        <w:rPr>
          <w:rFonts w:ascii="Arial" w:hAnsi="Arial" w:cs="Arial"/>
          <w:sz w:val="20"/>
          <w:szCs w:val="20"/>
        </w:rPr>
      </w:pPr>
    </w:p>
    <w:p w:rsidR="00454739" w:rsidRPr="00D20E1C" w:rsidRDefault="00454739" w:rsidP="00454739">
      <w:pPr>
        <w:pStyle w:val="Vnbnnidung0"/>
        <w:tabs>
          <w:tab w:val="left" w:pos="1200"/>
        </w:tabs>
        <w:spacing w:after="120" w:line="240" w:lineRule="auto"/>
        <w:ind w:firstLine="0"/>
        <w:jc w:val="both"/>
        <w:rPr>
          <w:rFonts w:ascii="Arial" w:hAnsi="Arial" w:cs="Arial"/>
          <w:sz w:val="20"/>
          <w:szCs w:val="20"/>
        </w:rPr>
      </w:pPr>
    </w:p>
    <w:p w:rsidR="008F2865" w:rsidRPr="00D20E1C" w:rsidRDefault="008F2865" w:rsidP="00D20E1C">
      <w:pPr>
        <w:spacing w:after="120"/>
        <w:ind w:firstLine="720"/>
        <w:jc w:val="both"/>
        <w:rPr>
          <w:rFonts w:ascii="Arial" w:hAnsi="Arial" w:cs="Arial"/>
          <w:sz w:val="20"/>
          <w:szCs w:val="20"/>
        </w:rPr>
      </w:pPr>
    </w:p>
    <w:sectPr w:rsidR="008F2865" w:rsidRPr="00D20E1C" w:rsidSect="007D45AE">
      <w:headerReference w:type="default" r:id="rId9"/>
      <w:headerReference w:type="first" r:id="rId10"/>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8F" w:rsidRDefault="00947E8F">
      <w:r>
        <w:separator/>
      </w:r>
    </w:p>
  </w:endnote>
  <w:endnote w:type="continuationSeparator" w:id="0">
    <w:p w:rsidR="00947E8F" w:rsidRDefault="0094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8F" w:rsidRDefault="00947E8F"/>
  </w:footnote>
  <w:footnote w:type="continuationSeparator" w:id="0">
    <w:p w:rsidR="00947E8F" w:rsidRDefault="00947E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64" w:rsidRDefault="00DA6E6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64" w:rsidRDefault="00DA6E6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5CB" w:rsidRDefault="005245CB">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5CB" w:rsidRDefault="005245C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497"/>
    <w:multiLevelType w:val="multilevel"/>
    <w:tmpl w:val="795C2E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C56A0"/>
    <w:multiLevelType w:val="multilevel"/>
    <w:tmpl w:val="23A02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E3B8F"/>
    <w:multiLevelType w:val="multilevel"/>
    <w:tmpl w:val="22D4A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8753D"/>
    <w:multiLevelType w:val="multilevel"/>
    <w:tmpl w:val="092C4B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15662"/>
    <w:multiLevelType w:val="multilevel"/>
    <w:tmpl w:val="4DB811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95803"/>
    <w:multiLevelType w:val="multilevel"/>
    <w:tmpl w:val="7826C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D0BF4"/>
    <w:multiLevelType w:val="multilevel"/>
    <w:tmpl w:val="9C3C5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304EA8"/>
    <w:multiLevelType w:val="multilevel"/>
    <w:tmpl w:val="99F271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A35F40"/>
    <w:multiLevelType w:val="multilevel"/>
    <w:tmpl w:val="EB022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90474D"/>
    <w:multiLevelType w:val="multilevel"/>
    <w:tmpl w:val="3DE25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322E3"/>
    <w:multiLevelType w:val="multilevel"/>
    <w:tmpl w:val="0EEE3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F5D78"/>
    <w:multiLevelType w:val="multilevel"/>
    <w:tmpl w:val="FE386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FB035C"/>
    <w:multiLevelType w:val="multilevel"/>
    <w:tmpl w:val="3604B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962E2C"/>
    <w:multiLevelType w:val="multilevel"/>
    <w:tmpl w:val="1E506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1473D9"/>
    <w:multiLevelType w:val="multilevel"/>
    <w:tmpl w:val="39862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4D795C"/>
    <w:multiLevelType w:val="multilevel"/>
    <w:tmpl w:val="2878C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594D4C"/>
    <w:multiLevelType w:val="multilevel"/>
    <w:tmpl w:val="45BCD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
  </w:num>
  <w:num w:numId="4">
    <w:abstractNumId w:val="6"/>
  </w:num>
  <w:num w:numId="5">
    <w:abstractNumId w:val="3"/>
  </w:num>
  <w:num w:numId="6">
    <w:abstractNumId w:val="8"/>
  </w:num>
  <w:num w:numId="7">
    <w:abstractNumId w:val="5"/>
  </w:num>
  <w:num w:numId="8">
    <w:abstractNumId w:val="12"/>
  </w:num>
  <w:num w:numId="9">
    <w:abstractNumId w:val="9"/>
  </w:num>
  <w:num w:numId="10">
    <w:abstractNumId w:val="0"/>
  </w:num>
  <w:num w:numId="11">
    <w:abstractNumId w:val="16"/>
  </w:num>
  <w:num w:numId="12">
    <w:abstractNumId w:val="7"/>
  </w:num>
  <w:num w:numId="13">
    <w:abstractNumId w:val="15"/>
  </w:num>
  <w:num w:numId="14">
    <w:abstractNumId w:val="2"/>
  </w:num>
  <w:num w:numId="15">
    <w:abstractNumId w:val="1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CB"/>
    <w:rsid w:val="00057179"/>
    <w:rsid w:val="000A7D98"/>
    <w:rsid w:val="000D603D"/>
    <w:rsid w:val="00102F1B"/>
    <w:rsid w:val="00115804"/>
    <w:rsid w:val="00197699"/>
    <w:rsid w:val="002A4FC1"/>
    <w:rsid w:val="002D4FCE"/>
    <w:rsid w:val="00380470"/>
    <w:rsid w:val="003C11CD"/>
    <w:rsid w:val="00450BAE"/>
    <w:rsid w:val="00454739"/>
    <w:rsid w:val="0049199B"/>
    <w:rsid w:val="005245CB"/>
    <w:rsid w:val="00551CC9"/>
    <w:rsid w:val="0068264A"/>
    <w:rsid w:val="006834DD"/>
    <w:rsid w:val="006C17CC"/>
    <w:rsid w:val="006F15CC"/>
    <w:rsid w:val="00745CD4"/>
    <w:rsid w:val="00745FB0"/>
    <w:rsid w:val="00792E7E"/>
    <w:rsid w:val="007D45AE"/>
    <w:rsid w:val="008F2865"/>
    <w:rsid w:val="00947E8F"/>
    <w:rsid w:val="009E4F1D"/>
    <w:rsid w:val="00B05A40"/>
    <w:rsid w:val="00B50FE6"/>
    <w:rsid w:val="00CC1BAE"/>
    <w:rsid w:val="00D20E1C"/>
    <w:rsid w:val="00DA6E64"/>
    <w:rsid w:val="00E10BB4"/>
    <w:rsid w:val="00E26740"/>
    <w:rsid w:val="00E623B0"/>
    <w:rsid w:val="00E82F4A"/>
    <w:rsid w:val="00FB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81A0A-F7EE-4AA7-A263-BD51F6A4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88"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00" w:line="288"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D20E1C"/>
    <w:pPr>
      <w:tabs>
        <w:tab w:val="center" w:pos="4680"/>
        <w:tab w:val="right" w:pos="9360"/>
      </w:tabs>
    </w:pPr>
  </w:style>
  <w:style w:type="character" w:customStyle="1" w:styleId="HeaderChar">
    <w:name w:val="Header Char"/>
    <w:basedOn w:val="DefaultParagraphFont"/>
    <w:link w:val="Header"/>
    <w:uiPriority w:val="99"/>
    <w:rsid w:val="00D20E1C"/>
    <w:rPr>
      <w:color w:val="000000"/>
    </w:rPr>
  </w:style>
  <w:style w:type="paragraph" w:styleId="Footer">
    <w:name w:val="footer"/>
    <w:basedOn w:val="Normal"/>
    <w:link w:val="FooterChar"/>
    <w:uiPriority w:val="99"/>
    <w:unhideWhenUsed/>
    <w:rsid w:val="00D20E1C"/>
    <w:pPr>
      <w:tabs>
        <w:tab w:val="center" w:pos="4680"/>
        <w:tab w:val="right" w:pos="9360"/>
      </w:tabs>
    </w:pPr>
  </w:style>
  <w:style w:type="character" w:customStyle="1" w:styleId="FooterChar">
    <w:name w:val="Footer Char"/>
    <w:basedOn w:val="DefaultParagraphFont"/>
    <w:link w:val="Footer"/>
    <w:uiPriority w:val="99"/>
    <w:rsid w:val="00D20E1C"/>
    <w:rPr>
      <w:color w:val="000000"/>
    </w:rPr>
  </w:style>
  <w:style w:type="table" w:styleId="TableGrid">
    <w:name w:val="Table Grid"/>
    <w:basedOn w:val="TableNormal"/>
    <w:uiPriority w:val="39"/>
    <w:rsid w:val="006F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A6E64"/>
    <w:rPr>
      <w:rFonts w:ascii="Times New Roman" w:eastAsia="Times New Roman" w:hAnsi="Times New Roman" w:cs="Times New Roman"/>
      <w:sz w:val="26"/>
      <w:szCs w:val="26"/>
    </w:rPr>
  </w:style>
  <w:style w:type="character" w:customStyle="1" w:styleId="Other">
    <w:name w:val="Other_"/>
    <w:basedOn w:val="DefaultParagraphFont"/>
    <w:link w:val="Other0"/>
    <w:rsid w:val="00DA6E64"/>
    <w:rPr>
      <w:rFonts w:ascii="Times New Roman" w:eastAsia="Times New Roman" w:hAnsi="Times New Roman" w:cs="Times New Roman"/>
      <w:sz w:val="26"/>
      <w:szCs w:val="26"/>
    </w:rPr>
  </w:style>
  <w:style w:type="paragraph" w:styleId="BodyText">
    <w:name w:val="Body Text"/>
    <w:basedOn w:val="Normal"/>
    <w:link w:val="BodyTextChar"/>
    <w:qFormat/>
    <w:rsid w:val="00DA6E64"/>
    <w:pPr>
      <w:spacing w:after="100" w:line="288"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DA6E64"/>
    <w:rPr>
      <w:color w:val="000000"/>
    </w:rPr>
  </w:style>
  <w:style w:type="paragraph" w:customStyle="1" w:styleId="Other0">
    <w:name w:val="Other"/>
    <w:basedOn w:val="Normal"/>
    <w:link w:val="Other"/>
    <w:rsid w:val="00DA6E64"/>
    <w:pPr>
      <w:spacing w:after="100" w:line="288"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CamScanner 2023-12-14 09.06</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CamScanner 2023-12-14 09.06</dc:title>
  <dc:subject/>
  <dc:creator>CamScanner</dc:creator>
  <cp:keywords/>
  <cp:lastModifiedBy>NGUYỄN XUÂN HUY</cp:lastModifiedBy>
  <cp:revision>4</cp:revision>
  <dcterms:created xsi:type="dcterms:W3CDTF">2023-12-15T09:21:00Z</dcterms:created>
  <dcterms:modified xsi:type="dcterms:W3CDTF">2023-12-16T02:51:00Z</dcterms:modified>
</cp:coreProperties>
</file>