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B75EF6" w:rsidRPr="00A13C91" w14:paraId="3D88814E" w14:textId="77777777" w:rsidTr="00FC0C3A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F06F6" w14:textId="03BEEABC" w:rsidR="00B75EF6" w:rsidRPr="00A13C91" w:rsidRDefault="00B75EF6" w:rsidP="000F6B1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CHÍNH PHỦ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606ABD1E" w14:textId="5E2709CA" w:rsidR="00B75EF6" w:rsidRPr="00A13C91" w:rsidRDefault="00B75EF6" w:rsidP="000F6B1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C91">
              <w:rPr>
                <w:rFonts w:ascii="Arial" w:hAnsi="Arial" w:cs="Arial"/>
                <w:color w:val="000000"/>
                <w:sz w:val="20"/>
                <w:szCs w:val="20"/>
              </w:rPr>
              <w:t xml:space="preserve">Số: </w:t>
            </w:r>
            <w:r w:rsidR="000F6B10" w:rsidRPr="000F6B10">
              <w:rPr>
                <w:rFonts w:ascii="Arial" w:hAnsi="Arial" w:cs="Arial"/>
                <w:color w:val="000000"/>
                <w:sz w:val="20"/>
                <w:szCs w:val="20"/>
              </w:rPr>
              <w:t>285/2026/NĐ-CP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6191D" w14:textId="77777777" w:rsidR="00B75EF6" w:rsidRPr="00A13C91" w:rsidRDefault="00B75EF6" w:rsidP="000F6B1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bookmarkStart w:id="0" w:name="_Hlk225157734"/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bookmarkEnd w:id="0"/>
          <w:p w14:paraId="0B5E58FC" w14:textId="6D4DB74D" w:rsidR="00B75EF6" w:rsidRPr="000F6B10" w:rsidRDefault="000F6B10" w:rsidP="000F6B10">
            <w:pPr>
              <w:adjustRightInd w:val="0"/>
              <w:snapToGrid w:val="0"/>
              <w:spacing w:after="0" w:line="240" w:lineRule="auto"/>
              <w:jc w:val="center"/>
            </w:pPr>
            <w:r>
              <w:rPr>
                <w:rFonts w:ascii="Arial" w:hAnsi="Arial"/>
                <w:i/>
                <w:sz w:val="20"/>
              </w:rPr>
              <w:t>Hà Nội, ngày 17 tháng 7 năm 2026</w:t>
            </w:r>
          </w:p>
        </w:tc>
      </w:tr>
    </w:tbl>
    <w:p w14:paraId="2F186D08" w14:textId="77777777" w:rsidR="00B75EF6" w:rsidRDefault="00B75EF6" w:rsidP="000F6B10">
      <w:pPr>
        <w:adjustRightInd w:val="0"/>
        <w:snapToGrid w:val="0"/>
        <w:spacing w:after="0" w:line="240" w:lineRule="auto"/>
        <w:jc w:val="center"/>
        <w:rPr>
          <w:rFonts w:ascii="Arial" w:hAnsi="Arial"/>
          <w:sz w:val="20"/>
        </w:rPr>
      </w:pPr>
    </w:p>
    <w:p w14:paraId="11FE89A9" w14:textId="77777777" w:rsidR="000F6B10" w:rsidRDefault="000F6B10" w:rsidP="000F6B10">
      <w:pPr>
        <w:adjustRightInd w:val="0"/>
        <w:snapToGrid w:val="0"/>
        <w:spacing w:after="0" w:line="240" w:lineRule="auto"/>
        <w:jc w:val="center"/>
        <w:rPr>
          <w:rFonts w:ascii="Arial" w:hAnsi="Arial"/>
          <w:sz w:val="20"/>
        </w:rPr>
      </w:pPr>
    </w:p>
    <w:p w14:paraId="1259E9E6" w14:textId="77777777" w:rsidR="00B32B48" w:rsidRDefault="006F5044" w:rsidP="000F6B10">
      <w:pPr>
        <w:adjustRightInd w:val="0"/>
        <w:snapToGrid w:val="0"/>
        <w:spacing w:after="0" w:line="240" w:lineRule="auto"/>
        <w:jc w:val="center"/>
      </w:pPr>
      <w:r>
        <w:rPr>
          <w:rFonts w:ascii="Arial" w:hAnsi="Arial"/>
          <w:b/>
          <w:sz w:val="20"/>
        </w:rPr>
        <w:t>NGH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</w:t>
      </w:r>
    </w:p>
    <w:p w14:paraId="1E6ED86D" w14:textId="4BDA85B7" w:rsidR="00B32B48" w:rsidRDefault="006F5044" w:rsidP="000F6B10">
      <w:pPr>
        <w:adjustRightInd w:val="0"/>
        <w:snapToGrid w:val="0"/>
        <w:spacing w:after="0" w:line="240" w:lineRule="auto"/>
        <w:jc w:val="center"/>
      </w:pPr>
      <w:r>
        <w:rPr>
          <w:rFonts w:ascii="Arial" w:hAnsi="Arial"/>
          <w:b/>
          <w:sz w:val="20"/>
        </w:rPr>
        <w:t>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a đ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>i, b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sung m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t s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Ngh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s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46/2019/NĐ-CP </w:t>
      </w:r>
      <w:r w:rsidR="000F6B10">
        <w:rPr>
          <w:rFonts w:ascii="Arial" w:hAnsi="Arial"/>
          <w:b/>
          <w:sz w:val="20"/>
        </w:rPr>
        <w:br/>
      </w:r>
      <w:r>
        <w:rPr>
          <w:rFonts w:ascii="Arial" w:hAnsi="Arial"/>
          <w:b/>
          <w:sz w:val="20"/>
        </w:rPr>
        <w:t>quy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x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 xml:space="preserve"> ph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t vi ph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hành chính trong lĩnh v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th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 xml:space="preserve"> thao </w:t>
      </w:r>
      <w:r w:rsidR="000F6B10">
        <w:rPr>
          <w:rFonts w:ascii="Arial" w:hAnsi="Arial"/>
          <w:b/>
          <w:sz w:val="20"/>
        </w:rPr>
        <w:br/>
      </w:r>
      <w:r>
        <w:rPr>
          <w:rFonts w:ascii="Arial" w:hAnsi="Arial"/>
          <w:b/>
          <w:sz w:val="20"/>
        </w:rPr>
        <w:t>đư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c 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a đ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>i, b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sung b</w:t>
      </w:r>
      <w:r>
        <w:rPr>
          <w:rFonts w:ascii="Arial" w:hAnsi="Arial"/>
          <w:b/>
          <w:sz w:val="20"/>
        </w:rPr>
        <w:t>ở</w:t>
      </w:r>
      <w:r>
        <w:rPr>
          <w:rFonts w:ascii="Arial" w:hAnsi="Arial"/>
          <w:b/>
          <w:sz w:val="20"/>
        </w:rPr>
        <w:t>i Ngh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s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129/2021/NĐ-CP</w:t>
      </w:r>
    </w:p>
    <w:p w14:paraId="63D52CEE" w14:textId="77777777" w:rsidR="000F6B10" w:rsidRDefault="000F6B10" w:rsidP="000F6B10">
      <w:pPr>
        <w:adjustRightInd w:val="0"/>
        <w:snapToGrid w:val="0"/>
        <w:spacing w:after="0" w:line="240" w:lineRule="auto"/>
        <w:jc w:val="center"/>
        <w:rPr>
          <w:rFonts w:ascii="Arial" w:hAnsi="Arial"/>
          <w:i/>
          <w:sz w:val="20"/>
        </w:rPr>
      </w:pPr>
    </w:p>
    <w:p w14:paraId="1D718619" w14:textId="53D66B09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T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ch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>c 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63/2025/QH15;</w:t>
      </w:r>
    </w:p>
    <w:p w14:paraId="27321EE9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X</w:t>
      </w:r>
      <w:r>
        <w:rPr>
          <w:rFonts w:ascii="Arial" w:hAnsi="Arial"/>
          <w:i/>
          <w:sz w:val="20"/>
        </w:rPr>
        <w:t>ử</w:t>
      </w:r>
      <w:r>
        <w:rPr>
          <w:rFonts w:ascii="Arial" w:hAnsi="Arial"/>
          <w:i/>
          <w:sz w:val="20"/>
        </w:rPr>
        <w:t xml:space="preserve"> lý vi ph</w:t>
      </w:r>
      <w:r>
        <w:rPr>
          <w:rFonts w:ascii="Arial" w:hAnsi="Arial"/>
          <w:i/>
          <w:sz w:val="20"/>
        </w:rPr>
        <w:t>ạ</w:t>
      </w:r>
      <w:r>
        <w:rPr>
          <w:rFonts w:ascii="Arial" w:hAnsi="Arial"/>
          <w:i/>
          <w:sz w:val="20"/>
        </w:rPr>
        <w:t>m hành chính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15/2012/QH13 đư</w:t>
      </w:r>
      <w:r>
        <w:rPr>
          <w:rFonts w:ascii="Arial" w:hAnsi="Arial"/>
          <w:i/>
          <w:sz w:val="20"/>
        </w:rPr>
        <w:t>ợ</w:t>
      </w:r>
      <w:r>
        <w:rPr>
          <w:rFonts w:ascii="Arial" w:hAnsi="Arial"/>
          <w:i/>
          <w:sz w:val="20"/>
        </w:rPr>
        <w:t>c s</w:t>
      </w:r>
      <w:r>
        <w:rPr>
          <w:rFonts w:ascii="Arial" w:hAnsi="Arial"/>
          <w:i/>
          <w:sz w:val="20"/>
        </w:rPr>
        <w:t>ử</w:t>
      </w:r>
      <w:r>
        <w:rPr>
          <w:rFonts w:ascii="Arial" w:hAnsi="Arial"/>
          <w:i/>
          <w:sz w:val="20"/>
        </w:rPr>
        <w:t>a đ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>i, b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sung b</w:t>
      </w:r>
      <w:r>
        <w:rPr>
          <w:rFonts w:ascii="Arial" w:hAnsi="Arial"/>
          <w:i/>
          <w:sz w:val="20"/>
        </w:rPr>
        <w:t>ở</w:t>
      </w:r>
      <w:r>
        <w:rPr>
          <w:rFonts w:ascii="Arial" w:hAnsi="Arial"/>
          <w:i/>
          <w:sz w:val="20"/>
        </w:rPr>
        <w:t>i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67/2020/QH14 và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88/2025/QH15;</w:t>
      </w:r>
    </w:p>
    <w:p w14:paraId="48D8A277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Th</w:t>
      </w:r>
      <w:r>
        <w:rPr>
          <w:rFonts w:ascii="Arial" w:hAnsi="Arial"/>
          <w:i/>
          <w:sz w:val="20"/>
        </w:rPr>
        <w:t>ể</w:t>
      </w:r>
      <w:r>
        <w:rPr>
          <w:rFonts w:ascii="Arial" w:hAnsi="Arial"/>
          <w:i/>
          <w:sz w:val="20"/>
        </w:rPr>
        <w:t xml:space="preserve"> d</w:t>
      </w:r>
      <w:r>
        <w:rPr>
          <w:rFonts w:ascii="Arial" w:hAnsi="Arial"/>
          <w:i/>
          <w:sz w:val="20"/>
        </w:rPr>
        <w:t>ụ</w:t>
      </w:r>
      <w:r>
        <w:rPr>
          <w:rFonts w:ascii="Arial" w:hAnsi="Arial"/>
          <w:i/>
          <w:sz w:val="20"/>
        </w:rPr>
        <w:t>c, th</w:t>
      </w:r>
      <w:r>
        <w:rPr>
          <w:rFonts w:ascii="Arial" w:hAnsi="Arial"/>
          <w:i/>
          <w:sz w:val="20"/>
        </w:rPr>
        <w:t>ể</w:t>
      </w:r>
      <w:r>
        <w:rPr>
          <w:rFonts w:ascii="Arial" w:hAnsi="Arial"/>
          <w:i/>
          <w:sz w:val="20"/>
        </w:rPr>
        <w:t xml:space="preserve"> thao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77/2006/QH11 đư</w:t>
      </w:r>
      <w:r>
        <w:rPr>
          <w:rFonts w:ascii="Arial" w:hAnsi="Arial"/>
          <w:i/>
          <w:sz w:val="20"/>
        </w:rPr>
        <w:t>ợ</w:t>
      </w:r>
      <w:r>
        <w:rPr>
          <w:rFonts w:ascii="Arial" w:hAnsi="Arial"/>
          <w:i/>
          <w:sz w:val="20"/>
        </w:rPr>
        <w:t>c s</w:t>
      </w:r>
      <w:r>
        <w:rPr>
          <w:rFonts w:ascii="Arial" w:hAnsi="Arial"/>
          <w:i/>
          <w:sz w:val="20"/>
        </w:rPr>
        <w:t>ử</w:t>
      </w:r>
      <w:r>
        <w:rPr>
          <w:rFonts w:ascii="Arial" w:hAnsi="Arial"/>
          <w:i/>
          <w:sz w:val="20"/>
        </w:rPr>
        <w:t>a đ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>i, b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sung b</w:t>
      </w:r>
      <w:r>
        <w:rPr>
          <w:rFonts w:ascii="Arial" w:hAnsi="Arial"/>
          <w:i/>
          <w:sz w:val="20"/>
        </w:rPr>
        <w:t>ở</w:t>
      </w:r>
      <w:r>
        <w:rPr>
          <w:rFonts w:ascii="Arial" w:hAnsi="Arial"/>
          <w:i/>
          <w:sz w:val="20"/>
        </w:rPr>
        <w:t>i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26/2018/QH14;</w:t>
      </w:r>
    </w:p>
    <w:p w14:paraId="39DD968F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Theo đ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 xml:space="preserve">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B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 xml:space="preserve"> trư</w:t>
      </w:r>
      <w:r>
        <w:rPr>
          <w:rFonts w:ascii="Arial" w:hAnsi="Arial"/>
          <w:i/>
          <w:sz w:val="20"/>
        </w:rPr>
        <w:t>ở</w:t>
      </w:r>
      <w:r>
        <w:rPr>
          <w:rFonts w:ascii="Arial" w:hAnsi="Arial"/>
          <w:i/>
          <w:sz w:val="20"/>
        </w:rPr>
        <w:t>ng B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 xml:space="preserve"> Văn hóa, Th</w:t>
      </w:r>
      <w:r>
        <w:rPr>
          <w:rFonts w:ascii="Arial" w:hAnsi="Arial"/>
          <w:i/>
          <w:sz w:val="20"/>
        </w:rPr>
        <w:t>ể</w:t>
      </w:r>
      <w:r>
        <w:rPr>
          <w:rFonts w:ascii="Arial" w:hAnsi="Arial"/>
          <w:i/>
          <w:sz w:val="20"/>
        </w:rPr>
        <w:t xml:space="preserve"> thao và Du l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ch;</w:t>
      </w:r>
    </w:p>
    <w:p w14:paraId="04E5B1F0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ban hành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s</w:t>
      </w:r>
      <w:r>
        <w:rPr>
          <w:rFonts w:ascii="Arial" w:hAnsi="Arial"/>
          <w:i/>
          <w:sz w:val="20"/>
        </w:rPr>
        <w:t>ử</w:t>
      </w:r>
      <w:r>
        <w:rPr>
          <w:rFonts w:ascii="Arial" w:hAnsi="Arial"/>
          <w:i/>
          <w:sz w:val="20"/>
        </w:rPr>
        <w:t>a đ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>i, b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sung m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đi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>u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Ng</w:t>
      </w:r>
      <w:r>
        <w:rPr>
          <w:rFonts w:ascii="Arial" w:hAnsi="Arial"/>
          <w:i/>
          <w:sz w:val="20"/>
        </w:rPr>
        <w:t>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46/2019/NĐ-CP quy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x</w:t>
      </w:r>
      <w:r>
        <w:rPr>
          <w:rFonts w:ascii="Arial" w:hAnsi="Arial"/>
          <w:i/>
          <w:sz w:val="20"/>
        </w:rPr>
        <w:t>ử</w:t>
      </w:r>
      <w:r>
        <w:rPr>
          <w:rFonts w:ascii="Arial" w:hAnsi="Arial"/>
          <w:i/>
          <w:sz w:val="20"/>
        </w:rPr>
        <w:t xml:space="preserve"> ph</w:t>
      </w:r>
      <w:r>
        <w:rPr>
          <w:rFonts w:ascii="Arial" w:hAnsi="Arial"/>
          <w:i/>
          <w:sz w:val="20"/>
        </w:rPr>
        <w:t>ạ</w:t>
      </w:r>
      <w:r>
        <w:rPr>
          <w:rFonts w:ascii="Arial" w:hAnsi="Arial"/>
          <w:i/>
          <w:sz w:val="20"/>
        </w:rPr>
        <w:t>t vi ph</w:t>
      </w:r>
      <w:r>
        <w:rPr>
          <w:rFonts w:ascii="Arial" w:hAnsi="Arial"/>
          <w:i/>
          <w:sz w:val="20"/>
        </w:rPr>
        <w:t>ạ</w:t>
      </w:r>
      <w:r>
        <w:rPr>
          <w:rFonts w:ascii="Arial" w:hAnsi="Arial"/>
          <w:i/>
          <w:sz w:val="20"/>
        </w:rPr>
        <w:t>m hành chính trong lĩnh v</w:t>
      </w:r>
      <w:r>
        <w:rPr>
          <w:rFonts w:ascii="Arial" w:hAnsi="Arial"/>
          <w:i/>
          <w:sz w:val="20"/>
        </w:rPr>
        <w:t>ự</w:t>
      </w:r>
      <w:r>
        <w:rPr>
          <w:rFonts w:ascii="Arial" w:hAnsi="Arial"/>
          <w:i/>
          <w:sz w:val="20"/>
        </w:rPr>
        <w:t>c th</w:t>
      </w:r>
      <w:r>
        <w:rPr>
          <w:rFonts w:ascii="Arial" w:hAnsi="Arial"/>
          <w:i/>
          <w:sz w:val="20"/>
        </w:rPr>
        <w:t>ể</w:t>
      </w:r>
      <w:r>
        <w:rPr>
          <w:rFonts w:ascii="Arial" w:hAnsi="Arial"/>
          <w:i/>
          <w:sz w:val="20"/>
        </w:rPr>
        <w:t xml:space="preserve"> thao đư</w:t>
      </w:r>
      <w:r>
        <w:rPr>
          <w:rFonts w:ascii="Arial" w:hAnsi="Arial"/>
          <w:i/>
          <w:sz w:val="20"/>
        </w:rPr>
        <w:t>ợ</w:t>
      </w:r>
      <w:r>
        <w:rPr>
          <w:rFonts w:ascii="Arial" w:hAnsi="Arial"/>
          <w:i/>
          <w:sz w:val="20"/>
        </w:rPr>
        <w:t>c s</w:t>
      </w:r>
      <w:r>
        <w:rPr>
          <w:rFonts w:ascii="Arial" w:hAnsi="Arial"/>
          <w:i/>
          <w:sz w:val="20"/>
        </w:rPr>
        <w:t>ử</w:t>
      </w:r>
      <w:r>
        <w:rPr>
          <w:rFonts w:ascii="Arial" w:hAnsi="Arial"/>
          <w:i/>
          <w:sz w:val="20"/>
        </w:rPr>
        <w:t>a đ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>i, b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sung b</w:t>
      </w:r>
      <w:r>
        <w:rPr>
          <w:rFonts w:ascii="Arial" w:hAnsi="Arial"/>
          <w:i/>
          <w:sz w:val="20"/>
        </w:rPr>
        <w:t>ở</w:t>
      </w:r>
      <w:r>
        <w:rPr>
          <w:rFonts w:ascii="Arial" w:hAnsi="Arial"/>
          <w:i/>
          <w:sz w:val="20"/>
        </w:rPr>
        <w:t>i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129/2021/NĐ-CP.</w:t>
      </w:r>
    </w:p>
    <w:p w14:paraId="7AE7EA53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1. B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sung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2b vào sau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2a</w:t>
      </w:r>
    </w:p>
    <w:p w14:paraId="2E155D73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“Đi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2b. X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 xml:space="preserve"> lý vi ph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hành chính trên môi trư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ng đi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 t</w:t>
      </w:r>
      <w:r>
        <w:rPr>
          <w:rFonts w:ascii="Arial" w:hAnsi="Arial"/>
          <w:b/>
          <w:sz w:val="20"/>
        </w:rPr>
        <w:t>ử</w:t>
      </w:r>
    </w:p>
    <w:p w14:paraId="04AEE2D1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t vi </w:t>
      </w:r>
      <w:r>
        <w:rPr>
          <w:rFonts w:ascii="Arial" w:hAnsi="Arial"/>
          <w:sz w:val="20"/>
        </w:rPr>
        <w:t>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thao trên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118/2021/NĐ-CP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và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thi hành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b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i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68/2025/NĐ</w:t>
      </w:r>
      <w:r>
        <w:rPr>
          <w:rFonts w:ascii="Arial" w:hAnsi="Arial"/>
          <w:sz w:val="20"/>
        </w:rPr>
        <w:t>-CP và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190/2025/NĐ-CP.”.</w:t>
      </w:r>
    </w:p>
    <w:p w14:paraId="44401DD4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2. 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a đ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>i, b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sung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22</w:t>
      </w:r>
    </w:p>
    <w:p w14:paraId="6AC526CE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“Đi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22. Th</w:t>
      </w:r>
      <w:r>
        <w:rPr>
          <w:rFonts w:ascii="Arial" w:hAnsi="Arial"/>
          <w:b/>
          <w:sz w:val="20"/>
        </w:rPr>
        <w:t>ẩ</w:t>
      </w:r>
      <w:r>
        <w:rPr>
          <w:rFonts w:ascii="Arial" w:hAnsi="Arial"/>
          <w:b/>
          <w:sz w:val="20"/>
        </w:rPr>
        <w:t>m quy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Thanh tra</w:t>
      </w:r>
    </w:p>
    <w:p w14:paraId="286E900B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 Hàng 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quân khu,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Tư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đô Hà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có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n:</w:t>
      </w:r>
    </w:p>
    <w:p w14:paraId="3498BC5B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cáo;</w:t>
      </w:r>
    </w:p>
    <w:p w14:paraId="627EB809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n </w:t>
      </w:r>
      <w:r>
        <w:rPr>
          <w:rFonts w:ascii="Arial" w:hAnsi="Arial"/>
          <w:sz w:val="20"/>
        </w:rPr>
        <w:t>25.000.000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ng;</w:t>
      </w:r>
    </w:p>
    <w:p w14:paraId="32672E53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thu tang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chính;</w:t>
      </w:r>
    </w:p>
    <w:p w14:paraId="3B690610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các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kh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4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này.</w:t>
      </w:r>
    </w:p>
    <w:p w14:paraId="471A5A78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Chánh Thanh tra Hàng 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Nam, Chánh Thanh tra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 quân khu; Chánh Thanh tra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Tư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đô Hà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có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n:</w:t>
      </w:r>
    </w:p>
    <w:p w14:paraId="590D9272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cáo;</w:t>
      </w:r>
    </w:p>
    <w:p w14:paraId="78B80BFB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40.000.000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ng;</w:t>
      </w:r>
    </w:p>
    <w:p w14:paraId="47B0A3F4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có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đình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có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n;</w:t>
      </w:r>
    </w:p>
    <w:p w14:paraId="5E8EA693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thu tang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chính;</w:t>
      </w:r>
    </w:p>
    <w:p w14:paraId="21993490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các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kh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 xml:space="preserve">u </w:t>
      </w:r>
      <w:r>
        <w:rPr>
          <w:rFonts w:ascii="Arial" w:hAnsi="Arial"/>
          <w:sz w:val="20"/>
        </w:rPr>
        <w:t>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4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này.</w:t>
      </w:r>
    </w:p>
    <w:p w14:paraId="0D824604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Chánh Thanh tra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 do Chánh Thanh tra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có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n:</w:t>
      </w:r>
    </w:p>
    <w:p w14:paraId="59C4C8CA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cáo;</w:t>
      </w:r>
    </w:p>
    <w:p w14:paraId="6D57D634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50.000.000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ng;</w:t>
      </w:r>
    </w:p>
    <w:p w14:paraId="5DC18D83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có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đình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có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n;</w:t>
      </w:r>
    </w:p>
    <w:p w14:paraId="655EC7E9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th</w:t>
      </w:r>
      <w:bookmarkStart w:id="1" w:name="_GoBack"/>
      <w:bookmarkEnd w:id="1"/>
      <w:r>
        <w:rPr>
          <w:rFonts w:ascii="Arial" w:hAnsi="Arial"/>
          <w:sz w:val="20"/>
        </w:rPr>
        <w:t>u tang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chính;</w:t>
      </w:r>
    </w:p>
    <w:p w14:paraId="00281003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đ)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các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kh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4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này.”.</w:t>
      </w:r>
    </w:p>
    <w:p w14:paraId="1BFAF8D1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3. B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sung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22a vào sau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22</w:t>
      </w:r>
    </w:p>
    <w:p w14:paraId="06282679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“Đi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22a. Th</w:t>
      </w:r>
      <w:r>
        <w:rPr>
          <w:rFonts w:ascii="Arial" w:hAnsi="Arial"/>
          <w:b/>
          <w:sz w:val="20"/>
        </w:rPr>
        <w:t>ẩ</w:t>
      </w:r>
      <w:r>
        <w:rPr>
          <w:rFonts w:ascii="Arial" w:hAnsi="Arial"/>
          <w:b/>
          <w:sz w:val="20"/>
        </w:rPr>
        <w:t>m quy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Th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 xml:space="preserve"> trư</w:t>
      </w:r>
      <w:r>
        <w:rPr>
          <w:rFonts w:ascii="Arial" w:hAnsi="Arial"/>
          <w:b/>
          <w:sz w:val="20"/>
        </w:rPr>
        <w:t>ở</w:t>
      </w:r>
      <w:r>
        <w:rPr>
          <w:rFonts w:ascii="Arial" w:hAnsi="Arial"/>
          <w:b/>
          <w:sz w:val="20"/>
        </w:rPr>
        <w:t>ng cơ quan th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 n</w:t>
      </w:r>
      <w:r>
        <w:rPr>
          <w:rFonts w:ascii="Arial" w:hAnsi="Arial"/>
          <w:b/>
          <w:sz w:val="20"/>
        </w:rPr>
        <w:t>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 v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 xml:space="preserve">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lý nhà nư</w:t>
      </w:r>
      <w:r>
        <w:rPr>
          <w:rFonts w:ascii="Arial" w:hAnsi="Arial"/>
          <w:b/>
          <w:sz w:val="20"/>
        </w:rPr>
        <w:t>ớ</w:t>
      </w:r>
      <w:r>
        <w:rPr>
          <w:rFonts w:ascii="Arial" w:hAnsi="Arial"/>
          <w:b/>
          <w:sz w:val="20"/>
        </w:rPr>
        <w:t>c theo chuyên ngành, lĩnh v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và m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t s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danh khác</w:t>
      </w:r>
    </w:p>
    <w:p w14:paraId="4D58A8D4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Giám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Khu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đư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Nam; Chi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Chi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Hàng 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và Đư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phía B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c, Chi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Chi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Hàng 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và Đư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phía Nam có qu</w:t>
      </w:r>
      <w:r>
        <w:rPr>
          <w:rFonts w:ascii="Arial" w:hAnsi="Arial"/>
          <w:sz w:val="20"/>
        </w:rPr>
        <w:t>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n:</w:t>
      </w:r>
    </w:p>
    <w:p w14:paraId="5D51A1AF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cáo;</w:t>
      </w:r>
    </w:p>
    <w:p w14:paraId="1FB49A28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25.000.000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ng;</w:t>
      </w:r>
    </w:p>
    <w:p w14:paraId="6E8AB35D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có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đình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có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n;</w:t>
      </w:r>
    </w:p>
    <w:p w14:paraId="5A0FF7E3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thu tang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chính;</w:t>
      </w:r>
    </w:p>
    <w:p w14:paraId="31A5981B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kh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4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này.</w:t>
      </w:r>
    </w:p>
    <w:p w14:paraId="38C91914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Giám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Văn hóa,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thao và Du l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ch; Giám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Văn hóa và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thao; Giám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ng; Giám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Y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có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n:</w:t>
      </w:r>
    </w:p>
    <w:p w14:paraId="15D3E2DE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cáo;</w:t>
      </w:r>
    </w:p>
    <w:p w14:paraId="7CB326E0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40.000.000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ng;</w:t>
      </w:r>
    </w:p>
    <w:p w14:paraId="7FE76378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có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đình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</w:t>
      </w:r>
      <w:r>
        <w:rPr>
          <w:rFonts w:ascii="Arial" w:hAnsi="Arial"/>
          <w:sz w:val="20"/>
        </w:rPr>
        <w:t xml:space="preserve"> có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n;</w:t>
      </w:r>
    </w:p>
    <w:p w14:paraId="6ADFFBC9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thu tang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chính;</w:t>
      </w:r>
    </w:p>
    <w:p w14:paraId="2DCB3E57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kh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4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này.</w:t>
      </w:r>
    </w:p>
    <w:p w14:paraId="69234DDE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thao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Nam;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Nam;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Hàng 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và Đư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Nam;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Dư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c;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Khám,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nh;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Phòng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có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n:</w:t>
      </w:r>
    </w:p>
    <w:p w14:paraId="0A6F3BAE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cáo;</w:t>
      </w:r>
    </w:p>
    <w:p w14:paraId="6851499E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50.000.000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ng;</w:t>
      </w:r>
    </w:p>
    <w:p w14:paraId="11821036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có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đình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có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n;</w:t>
      </w:r>
    </w:p>
    <w:p w14:paraId="45B4AAFA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thu tang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chính;</w:t>
      </w:r>
    </w:p>
    <w:p w14:paraId="3F101DF9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các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kh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4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này.</w:t>
      </w:r>
    </w:p>
    <w:p w14:paraId="685ABB89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do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các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c: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thao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Nam; Đư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Nam; Hàng 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và Đư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t Nam; </w:t>
      </w:r>
      <w:r>
        <w:rPr>
          <w:rFonts w:ascii="Arial" w:hAnsi="Arial"/>
          <w:sz w:val="20"/>
        </w:rPr>
        <w:t>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Dư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c;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Khám,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nh; Phòng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này.</w:t>
      </w:r>
    </w:p>
    <w:p w14:paraId="7BD96E0D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do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các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: Văn hóa,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thao và Du l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ch;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ng; Y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này.”.</w:t>
      </w:r>
    </w:p>
    <w:p w14:paraId="5F5FEF84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4. 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a đ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>i, b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sung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23</w:t>
      </w:r>
    </w:p>
    <w:p w14:paraId="7E749276" w14:textId="51DA57E5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“Đi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23. Th</w:t>
      </w:r>
      <w:r>
        <w:rPr>
          <w:rFonts w:ascii="Arial" w:hAnsi="Arial"/>
          <w:b/>
          <w:sz w:val="20"/>
        </w:rPr>
        <w:t>ẩ</w:t>
      </w:r>
      <w:r>
        <w:rPr>
          <w:rFonts w:ascii="Arial" w:hAnsi="Arial"/>
          <w:b/>
          <w:sz w:val="20"/>
        </w:rPr>
        <w:t>m quy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Ch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ch </w:t>
      </w:r>
      <w:r w:rsidR="000F6B10">
        <w:rPr>
          <w:rFonts w:ascii="Arial" w:hAnsi="Arial"/>
          <w:b/>
          <w:sz w:val="20"/>
        </w:rPr>
        <w:t>Ủy ban</w:t>
      </w:r>
      <w:r>
        <w:rPr>
          <w:rFonts w:ascii="Arial" w:hAnsi="Arial"/>
          <w:b/>
          <w:sz w:val="20"/>
        </w:rPr>
        <w:t xml:space="preserve"> nhân dân</w:t>
      </w:r>
    </w:p>
    <w:p w14:paraId="5923AE34" w14:textId="4E925AF8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ch </w:t>
      </w:r>
      <w:r w:rsidR="000F6B10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 có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n:</w:t>
      </w:r>
    </w:p>
    <w:p w14:paraId="48DEEC1D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cáo;</w:t>
      </w:r>
    </w:p>
    <w:p w14:paraId="2B14EB9A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25.000.000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ng;</w:t>
      </w:r>
    </w:p>
    <w:p w14:paraId="5C9F4F55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có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 xml:space="preserve">c đình </w:t>
      </w:r>
      <w:r>
        <w:rPr>
          <w:rFonts w:ascii="Arial" w:hAnsi="Arial"/>
          <w:sz w:val="20"/>
        </w:rPr>
        <w:t>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có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n;</w:t>
      </w:r>
    </w:p>
    <w:p w14:paraId="66B3484B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thu tang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chính;</w:t>
      </w:r>
    </w:p>
    <w:p w14:paraId="06E94BFA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kh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4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này.</w:t>
      </w:r>
    </w:p>
    <w:p w14:paraId="3F146A6C" w14:textId="4F4D3F49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ch </w:t>
      </w:r>
      <w:r w:rsidR="000F6B10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có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n:</w:t>
      </w:r>
    </w:p>
    <w:p w14:paraId="0D437858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cáo;</w:t>
      </w:r>
    </w:p>
    <w:p w14:paraId="706C89E7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50.000.000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ng;</w:t>
      </w:r>
    </w:p>
    <w:p w14:paraId="0EF35D21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c)</w:t>
      </w:r>
      <w:r>
        <w:rPr>
          <w:rFonts w:ascii="Arial" w:hAnsi="Arial"/>
          <w:sz w:val="20"/>
        </w:rPr>
        <w:t xml:space="preserve">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có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đình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có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n;</w:t>
      </w:r>
    </w:p>
    <w:p w14:paraId="2948785B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thu tang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chính;</w:t>
      </w:r>
    </w:p>
    <w:p w14:paraId="5C3E0BD4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các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kh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4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này.”.</w:t>
      </w:r>
    </w:p>
    <w:p w14:paraId="5358BCE0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5. 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a đ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>i, b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sung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24</w:t>
      </w:r>
    </w:p>
    <w:p w14:paraId="0E52B6B1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“Đi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 xml:space="preserve">u 24. </w:t>
      </w:r>
      <w:r>
        <w:rPr>
          <w:rFonts w:ascii="Arial" w:hAnsi="Arial"/>
          <w:b/>
          <w:sz w:val="20"/>
        </w:rPr>
        <w:t>Th</w:t>
      </w:r>
      <w:r>
        <w:rPr>
          <w:rFonts w:ascii="Arial" w:hAnsi="Arial"/>
          <w:b/>
          <w:sz w:val="20"/>
        </w:rPr>
        <w:t>ẩ</w:t>
      </w:r>
      <w:r>
        <w:rPr>
          <w:rFonts w:ascii="Arial" w:hAnsi="Arial"/>
          <w:b/>
          <w:sz w:val="20"/>
        </w:rPr>
        <w:t>m quy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Công an nhân dân</w:t>
      </w:r>
    </w:p>
    <w:p w14:paraId="16376B8F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sĩ Công an nhân dân đang thi hành công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có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n:</w:t>
      </w:r>
    </w:p>
    <w:p w14:paraId="67261CD2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cáo;</w:t>
      </w:r>
    </w:p>
    <w:p w14:paraId="3C2C9641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5.000.000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ng;</w:t>
      </w:r>
    </w:p>
    <w:p w14:paraId="158D2005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thu tang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có giá tr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không vư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t quá 10.000.000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ng.</w:t>
      </w:r>
    </w:p>
    <w:p w14:paraId="62122293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đơ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sát cơ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có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n:</w:t>
      </w:r>
    </w:p>
    <w:p w14:paraId="6CC55B88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cáo;</w:t>
      </w:r>
    </w:p>
    <w:p w14:paraId="6A557374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10.000.000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ng;</w:t>
      </w:r>
    </w:p>
    <w:p w14:paraId="6B3B1D80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thu tang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có giá tr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không vư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t quá 20.000.000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ng.</w:t>
      </w:r>
    </w:p>
    <w:p w14:paraId="55E7BB13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Công an,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sát cơ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u đoàn,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tr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m,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có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n:</w:t>
      </w:r>
    </w:p>
    <w:p w14:paraId="3600A03E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cáo;</w:t>
      </w:r>
    </w:p>
    <w:p w14:paraId="51104A48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15.000.000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ng;</w:t>
      </w:r>
    </w:p>
    <w:p w14:paraId="78FE8B3D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có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đình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có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n;</w:t>
      </w:r>
    </w:p>
    <w:p w14:paraId="58309041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thu tang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có giá tr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không vư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t quá 30.000.000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ng.</w:t>
      </w:r>
    </w:p>
    <w:p w14:paraId="5A1AF96F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Công an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 có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n:</w:t>
      </w:r>
    </w:p>
    <w:p w14:paraId="57DFFFC6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cáo;</w:t>
      </w:r>
    </w:p>
    <w:p w14:paraId="476430B6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25.000.000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ng;</w:t>
      </w:r>
    </w:p>
    <w:p w14:paraId="69AD9187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có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đình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có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n;</w:t>
      </w:r>
    </w:p>
    <w:p w14:paraId="42B4D8F6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thu tang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chính;</w:t>
      </w:r>
    </w:p>
    <w:p w14:paraId="2EF424F1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</w:t>
      </w:r>
      <w:r>
        <w:rPr>
          <w:rFonts w:ascii="Arial" w:hAnsi="Arial"/>
          <w:sz w:val="20"/>
        </w:rPr>
        <w:t>)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kh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4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này.</w:t>
      </w:r>
    </w:p>
    <w:p w14:paraId="673A07A4" w14:textId="3B2068A9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Công an c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 hàng không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;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An ninh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Tham mưu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ng phòng An ninh Công </w:t>
      </w:r>
      <w:r w:rsidR="004A37B2">
        <w:rPr>
          <w:rFonts w:ascii="Arial" w:hAnsi="Arial"/>
          <w:sz w:val="20"/>
        </w:rPr>
        <w:t>giáo</w:t>
      </w:r>
      <w:r>
        <w:rPr>
          <w:rFonts w:ascii="Arial" w:hAnsi="Arial"/>
          <w:sz w:val="20"/>
        </w:rPr>
        <w:t>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An ninh tôn giáo khác,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An ninh dân t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Ch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Ch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An ninh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i;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An ninh chính tr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các cơ qua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ng,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Trung ương,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An ninh các cơ quan tư pháp,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chính tr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-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Trung ương,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An ninh báo chí,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An ninh y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giáo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An ninh văn hóa,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thao và lao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>g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An ninh bưu chính, vi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thông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thông tin,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bí m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c;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An ninh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An ninh công thương,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An ninh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An ninh giao thông,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An ninh tài chính,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An ninh nông, lâm, ngư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An ninh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tài nguyên,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ng;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sát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hành chính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r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n,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vũ khí,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, công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và pháo,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n,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các ngành, ngh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kinh doanh có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an ninh, tr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và con dâu, Giám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Trung tâm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dân cư; Tr</w:t>
      </w:r>
      <w:r>
        <w:rPr>
          <w:rFonts w:ascii="Arial" w:hAnsi="Arial"/>
          <w:sz w:val="20"/>
        </w:rPr>
        <w:t>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sát giao thông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tuyên truy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tra,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tai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giao thông,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n, đăng ký và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n, đào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sát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ch,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</w:t>
      </w:r>
      <w:r>
        <w:rPr>
          <w:rFonts w:ascii="Arial" w:hAnsi="Arial"/>
          <w:sz w:val="20"/>
        </w:rPr>
        <w:t xml:space="preserve">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giao thông,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tu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tra,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giao thông đư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đư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t,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giao thông và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đoàn,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tu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tra,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m soát </w:t>
      </w:r>
      <w:r>
        <w:rPr>
          <w:rFonts w:ascii="Arial" w:hAnsi="Arial"/>
          <w:sz w:val="20"/>
        </w:rPr>
        <w:lastRenderedPageBreak/>
        <w:t>và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tranh phòng, ch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trê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đoàn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ng;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sát phòng cháy,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cháy và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n,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Công tác phòng cháy,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phòng cháy,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cháy,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Công tác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cháy và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n, </w:t>
      </w:r>
      <w:r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-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phòng cháy,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cháy và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n,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;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An ninh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 và phòng, ch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Phòng, ch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>g không gian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 xâm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tr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Phòng, ch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không gian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 xâm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tr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An ninh thông tin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an ninh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 thông tin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Giám sát</w:t>
      </w:r>
      <w:r>
        <w:rPr>
          <w:rFonts w:ascii="Arial" w:hAnsi="Arial"/>
          <w:sz w:val="20"/>
        </w:rPr>
        <w:t xml:space="preserve"> thông tin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 và phòng, ch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không gian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 xâm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an ninh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gia;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nh,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nh, cư trú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ngoài,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</w:t>
      </w:r>
      <w:r>
        <w:rPr>
          <w:rFonts w:ascii="Arial" w:hAnsi="Arial"/>
          <w:sz w:val="20"/>
        </w:rPr>
        <w:t>,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công dân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Nam, Giám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Trung tâm An ninh hàng không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gia;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Công an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An ninh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An ninh chính tr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sát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hành chính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</w:t>
      </w:r>
      <w:r>
        <w:rPr>
          <w:rFonts w:ascii="Arial" w:hAnsi="Arial"/>
          <w:sz w:val="20"/>
        </w:rPr>
        <w:t>òng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sát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 t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sát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 t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tham nhũng,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buôn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u,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sát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 t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ma túy,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sát giao thông,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sát cơ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sát thi hành án hình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và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tư pháp,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sát phòng cháy,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cháy và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n,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An ninh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 và phòng, ch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An ninh kin</w:t>
      </w:r>
      <w:r>
        <w:rPr>
          <w:rFonts w:ascii="Arial" w:hAnsi="Arial"/>
          <w:sz w:val="20"/>
        </w:rPr>
        <w:t>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An ninh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ngo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Chánh Văn phòng Cơ quan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sát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 Công an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có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n:</w:t>
      </w:r>
    </w:p>
    <w:p w14:paraId="38441378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cáo;</w:t>
      </w:r>
    </w:p>
    <w:p w14:paraId="26ABA3DC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40.000.000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ng;</w:t>
      </w:r>
    </w:p>
    <w:p w14:paraId="21B9EA6B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có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đình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có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n;</w:t>
      </w:r>
    </w:p>
    <w:p w14:paraId="7462C6E3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thu tang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chính;</w:t>
      </w:r>
    </w:p>
    <w:p w14:paraId="0C74DF44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kh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4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này.</w:t>
      </w:r>
    </w:p>
    <w:p w14:paraId="7AA5DD49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6. Giám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Công an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An ninh chính tr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An ninh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Chánh Văn phòng Cơ quan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sát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Công an,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sát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hành chính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i,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sát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 t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i,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sát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 t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tham nhũng,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buôn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u,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sát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 t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ma túy,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sát giao thông,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sát phòng cháy,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cháy và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n,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sát phòng, ch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ng,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An ninh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 và phòng, ch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An ninh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a,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sát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thi hành án hình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ng, Tư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sát cơ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ng, Giám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Trung tâm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gia,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có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n:</w:t>
      </w:r>
    </w:p>
    <w:p w14:paraId="48273274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cáo;</w:t>
      </w:r>
    </w:p>
    <w:p w14:paraId="22C76C93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50.000.000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ng;</w:t>
      </w:r>
    </w:p>
    <w:p w14:paraId="579D1479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có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đình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có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n;</w:t>
      </w:r>
    </w:p>
    <w:p w14:paraId="40275454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thu tang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chính;</w:t>
      </w:r>
    </w:p>
    <w:p w14:paraId="3FDAE359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kh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4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này.”.</w:t>
      </w:r>
    </w:p>
    <w:p w14:paraId="4B509616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6. 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a đ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>i, b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sung Đ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25</w:t>
      </w:r>
    </w:p>
    <w:p w14:paraId="6D9AB224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“Đi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25. Th</w:t>
      </w:r>
      <w:r>
        <w:rPr>
          <w:rFonts w:ascii="Arial" w:hAnsi="Arial"/>
          <w:b/>
          <w:sz w:val="20"/>
        </w:rPr>
        <w:t>ẩ</w:t>
      </w:r>
      <w:r>
        <w:rPr>
          <w:rFonts w:ascii="Arial" w:hAnsi="Arial"/>
          <w:b/>
          <w:sz w:val="20"/>
        </w:rPr>
        <w:t>m quy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B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 xml:space="preserve">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i Biên phòng</w:t>
      </w:r>
    </w:p>
    <w:p w14:paraId="62B0FB59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biên phòng, 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biên phòng,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huy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Ban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huy Biên phòng C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 có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n:</w:t>
      </w:r>
    </w:p>
    <w:p w14:paraId="3AA7714E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cáo;</w:t>
      </w:r>
    </w:p>
    <w:p w14:paraId="44B28D5C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15.000.000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ng;</w:t>
      </w:r>
    </w:p>
    <w:p w14:paraId="10E5DBF7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thu tang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phươn</w:t>
      </w:r>
      <w:r>
        <w:rPr>
          <w:rFonts w:ascii="Arial" w:hAnsi="Arial"/>
          <w:sz w:val="20"/>
        </w:rPr>
        <w:t>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có giá tr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không vư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t quá 30.000.000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ng;</w:t>
      </w:r>
    </w:p>
    <w:p w14:paraId="5D344887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kh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4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này.</w:t>
      </w:r>
    </w:p>
    <w:p w14:paraId="39CF4CEB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2. Đoàn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phòng ch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ma túy và t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Phòng ch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ma túy và t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Tư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Biên phòng có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n:</w:t>
      </w:r>
    </w:p>
    <w:p w14:paraId="60C6A019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cáo;</w:t>
      </w:r>
    </w:p>
    <w:p w14:paraId="3EF8B8EC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25.000.000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ng;</w:t>
      </w:r>
    </w:p>
    <w:p w14:paraId="66DB0767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có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đình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có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n;</w:t>
      </w:r>
    </w:p>
    <w:p w14:paraId="7BB7FA2B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thu tang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chính;</w:t>
      </w:r>
    </w:p>
    <w:p w14:paraId="5C053835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kh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 xml:space="preserve">u </w:t>
      </w:r>
      <w:r>
        <w:rPr>
          <w:rFonts w:ascii="Arial" w:hAnsi="Arial"/>
          <w:sz w:val="20"/>
        </w:rPr>
        <w:t>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4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này.</w:t>
      </w:r>
    </w:p>
    <w:p w14:paraId="4F4A3B5E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huy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Ban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huy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Biên phòng; 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đoàn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đoàn biên phòng,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Phòng ch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ma túy và t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Tư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Biên phòng có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n:</w:t>
      </w:r>
    </w:p>
    <w:p w14:paraId="6DD4777D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cáo;</w:t>
      </w:r>
    </w:p>
    <w:p w14:paraId="0AF8D74C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50.00</w:t>
      </w:r>
      <w:r>
        <w:rPr>
          <w:rFonts w:ascii="Arial" w:hAnsi="Arial"/>
          <w:sz w:val="20"/>
        </w:rPr>
        <w:t>0.000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ng;</w:t>
      </w:r>
    </w:p>
    <w:p w14:paraId="07682CD8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có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đình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có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n;</w:t>
      </w:r>
    </w:p>
    <w:p w14:paraId="428D10B8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thu tang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chính;</w:t>
      </w:r>
    </w:p>
    <w:p w14:paraId="38C729CD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kh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4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này.”.</w:t>
      </w:r>
    </w:p>
    <w:p w14:paraId="4B9B77D6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7. 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a đ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>i, b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sung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26</w:t>
      </w:r>
    </w:p>
    <w:p w14:paraId="265128D5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“Đi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26. Th</w:t>
      </w:r>
      <w:r>
        <w:rPr>
          <w:rFonts w:ascii="Arial" w:hAnsi="Arial"/>
          <w:b/>
          <w:sz w:val="20"/>
        </w:rPr>
        <w:t>ẩ</w:t>
      </w:r>
      <w:r>
        <w:rPr>
          <w:rFonts w:ascii="Arial" w:hAnsi="Arial"/>
          <w:b/>
          <w:sz w:val="20"/>
        </w:rPr>
        <w:t>m quy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C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nh sát bi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n</w:t>
      </w:r>
    </w:p>
    <w:p w14:paraId="12982FED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sát bi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có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n:</w:t>
      </w:r>
    </w:p>
    <w:p w14:paraId="73734194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cáo;</w:t>
      </w:r>
    </w:p>
    <w:p w14:paraId="27A7CA98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15.000.000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ng;</w:t>
      </w:r>
    </w:p>
    <w:p w14:paraId="6B13FE8F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thu tang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có giá tr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không vư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t quá 30.000.000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ng;</w:t>
      </w:r>
    </w:p>
    <w:p w14:paraId="7919AFE1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4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này.</w:t>
      </w:r>
    </w:p>
    <w:p w14:paraId="697D355C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đoàn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đoàn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sát bi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n; Đoàn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trinh sát, Đoàn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phòng ch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ma túy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sát bi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có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n:</w:t>
      </w:r>
    </w:p>
    <w:p w14:paraId="0374F68C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cáo;</w:t>
      </w:r>
    </w:p>
    <w:p w14:paraId="39231075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2</w:t>
      </w:r>
      <w:r>
        <w:rPr>
          <w:rFonts w:ascii="Arial" w:hAnsi="Arial"/>
          <w:sz w:val="20"/>
        </w:rPr>
        <w:t>5.000.000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ng;</w:t>
      </w:r>
    </w:p>
    <w:p w14:paraId="113B29CE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có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đình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có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n;</w:t>
      </w:r>
    </w:p>
    <w:p w14:paraId="25BF7A63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thu tang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chính;</w:t>
      </w:r>
    </w:p>
    <w:p w14:paraId="3DC6E46F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kh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4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này.</w:t>
      </w:r>
    </w:p>
    <w:p w14:paraId="12364035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Tư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Vùng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sát bi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n, </w:t>
      </w:r>
      <w:r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và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sát bi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có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n:</w:t>
      </w:r>
    </w:p>
    <w:p w14:paraId="4649E87A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cáo;</w:t>
      </w:r>
    </w:p>
    <w:p w14:paraId="1C686524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40.000.000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ng;</w:t>
      </w:r>
    </w:p>
    <w:p w14:paraId="6BFCE13B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có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n;</w:t>
      </w:r>
    </w:p>
    <w:p w14:paraId="5F597564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thu tang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chính;</w:t>
      </w:r>
    </w:p>
    <w:p w14:paraId="05F958F8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kh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4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này.</w:t>
      </w:r>
    </w:p>
    <w:p w14:paraId="49D6DB30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Tư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sát bi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có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n:</w:t>
      </w:r>
    </w:p>
    <w:p w14:paraId="52A3AA03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cáo;</w:t>
      </w:r>
    </w:p>
    <w:p w14:paraId="6BBE0C4E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50.000.000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ng;</w:t>
      </w:r>
    </w:p>
    <w:p w14:paraId="74EAF6A8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có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đình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có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n;</w:t>
      </w:r>
    </w:p>
    <w:p w14:paraId="750581A4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thu tang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chính;</w:t>
      </w:r>
    </w:p>
    <w:p w14:paraId="6F4B5F18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đ)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kh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4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này.”.</w:t>
      </w:r>
    </w:p>
    <w:p w14:paraId="398C18ED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8. 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a đ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>i, b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sung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27</w:t>
      </w:r>
    </w:p>
    <w:p w14:paraId="4EA503A7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“Đi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27. Phân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th</w:t>
      </w:r>
      <w:r>
        <w:rPr>
          <w:rFonts w:ascii="Arial" w:hAnsi="Arial"/>
          <w:b/>
          <w:sz w:val="20"/>
        </w:rPr>
        <w:t>ẩ</w:t>
      </w:r>
      <w:r>
        <w:rPr>
          <w:rFonts w:ascii="Arial" w:hAnsi="Arial"/>
          <w:b/>
          <w:sz w:val="20"/>
        </w:rPr>
        <w:t>m quy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x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 xml:space="preserve"> ph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t vi ph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hành chính</w:t>
      </w:r>
    </w:p>
    <w:p w14:paraId="2B8A096B" w14:textId="46603A0B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Giám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Văn hóa,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thao và Du l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ch; Giám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Văn hóa và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thao;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do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thao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p;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do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Văn hóa,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thao và Du l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p;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thao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Nam; Công an nhân dân;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ch </w:t>
      </w:r>
      <w:r w:rsidR="000F6B10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các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Chương II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này.</w:t>
      </w:r>
    </w:p>
    <w:p w14:paraId="699808FD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Chi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Chi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Hàng 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và Đư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phía B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c; Chi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Chi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Hàng 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và Đư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ph</w:t>
      </w:r>
      <w:r>
        <w:rPr>
          <w:rFonts w:ascii="Arial" w:hAnsi="Arial"/>
          <w:sz w:val="20"/>
        </w:rPr>
        <w:t>ía Nam; Giám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Khu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đư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Nam; Chánh Thanh tra Hàng 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Nam;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 Hàng 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Nam; Giám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ng;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do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các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c: Đư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Nam, Hàng 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và Đư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t </w:t>
      </w:r>
      <w:r>
        <w:rPr>
          <w:rFonts w:ascii="Arial" w:hAnsi="Arial"/>
          <w:sz w:val="20"/>
        </w:rPr>
        <w:t>Nam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p;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do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p;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Nam,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Hàng 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và Đư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18 và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b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19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này.</w:t>
      </w:r>
    </w:p>
    <w:p w14:paraId="089DB7D1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Giám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Y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;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do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các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c: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Dư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c,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Khám,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nh, Phòng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p;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do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Y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p;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Dư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c,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Khám,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nh,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Phòng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6,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đ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và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18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này.</w:t>
      </w:r>
    </w:p>
    <w:p w14:paraId="25A1819A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Biên phòng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18 và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19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này.</w:t>
      </w:r>
    </w:p>
    <w:p w14:paraId="3FF5BF05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sát bi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18 và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19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này.”.</w:t>
      </w:r>
    </w:p>
    <w:p w14:paraId="51AE06FF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9. 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a đ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>i, b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sung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28</w:t>
      </w:r>
    </w:p>
    <w:p w14:paraId="1C4F38DC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“Đi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28. Th</w:t>
      </w:r>
      <w:r>
        <w:rPr>
          <w:rFonts w:ascii="Arial" w:hAnsi="Arial"/>
          <w:b/>
          <w:sz w:val="20"/>
        </w:rPr>
        <w:t>ẩ</w:t>
      </w:r>
      <w:r>
        <w:rPr>
          <w:rFonts w:ascii="Arial" w:hAnsi="Arial"/>
          <w:b/>
          <w:sz w:val="20"/>
        </w:rPr>
        <w:t>m quy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l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p biên b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vi ph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hành chính</w:t>
      </w:r>
    </w:p>
    <w:p w14:paraId="264509B2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</w:t>
      </w:r>
      <w:r>
        <w:rPr>
          <w:rFonts w:ascii="Arial" w:hAnsi="Arial"/>
          <w:sz w:val="20"/>
        </w:rPr>
        <w:t>nh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22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26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này;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ngành văn hóa,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thao và du l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ch, ngành y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ngành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ng;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Quân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nhân dân, Công an nhân dân; thanh tra viên Thanh tra Hàng 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t Nam; thanh tra viên là </w:t>
      </w:r>
      <w:r>
        <w:rPr>
          <w:rFonts w:ascii="Arial" w:hAnsi="Arial"/>
          <w:sz w:val="20"/>
        </w:rPr>
        <w:t>thành viên Đoàn thanh tra,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tra,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sĩ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Biên phòng; Tr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ng,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sĩ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Biên phòng;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phòng ch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ma túy và t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Đoàn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phòng ch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ma túy và t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m;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sát viên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sát bi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n;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sát bi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n,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sát bi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n; Tr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Tr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sát bi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đang thi hành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tra, thanh tra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và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công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khác khi phát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</w:t>
      </w:r>
      <w:r>
        <w:rPr>
          <w:rFonts w:ascii="Arial" w:hAnsi="Arial"/>
          <w:sz w:val="20"/>
        </w:rPr>
        <w:t xml:space="preserve">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thao thì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biên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t.”.</w:t>
      </w:r>
    </w:p>
    <w:p w14:paraId="4191A6DD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10. 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u l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thi hành</w:t>
      </w:r>
    </w:p>
    <w:p w14:paraId="0BBB44C7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thi hành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01 tháng 9 năm 2026.</w:t>
      </w:r>
    </w:p>
    <w:p w14:paraId="2A4A4DA0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11.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chuy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n ti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p</w:t>
      </w:r>
    </w:p>
    <w:p w14:paraId="7F90C9F7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</w:t>
      </w:r>
      <w:r>
        <w:rPr>
          <w:rFonts w:ascii="Arial" w:hAnsi="Arial"/>
          <w:sz w:val="20"/>
        </w:rPr>
        <w:t>h chính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thao x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y ra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mà sau đó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phát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đang xem xét,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danh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nhưng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danh đó không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46/2019/NĐ-CP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b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i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129/2021/NĐ-CP thì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đó.</w:t>
      </w:r>
    </w:p>
    <w:p w14:paraId="70A0F693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đã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ban hành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đã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thi hành xong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thi hành mà cá nhân,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còn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thì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46/2019/NĐ-CP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b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i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129/2021/NĐ-CP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t.</w:t>
      </w:r>
    </w:p>
    <w:p w14:paraId="6A204A54" w14:textId="77777777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12. Trách nhi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 thi hành</w:t>
      </w:r>
    </w:p>
    <w:p w14:paraId="73D06C21" w14:textId="28431512" w:rsidR="00B32B48" w:rsidRDefault="006F5044" w:rsidP="000F6B1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Văn hóa,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thao và Du l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ch, các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ch </w:t>
      </w:r>
      <w:r w:rsidR="000F6B10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trung ương và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có liên quan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thi hành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này.</w:t>
      </w:r>
    </w:p>
    <w:p w14:paraId="0FF13B9A" w14:textId="77777777" w:rsidR="000F6B10" w:rsidRDefault="000F6B10" w:rsidP="000F6B1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sz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3"/>
        <w:gridCol w:w="3213"/>
      </w:tblGrid>
      <w:tr w:rsidR="000F6B10" w:rsidRPr="000F6B10" w14:paraId="7E489572" w14:textId="77777777" w:rsidTr="000F6B10">
        <w:trPr>
          <w:tblCellSpacing w:w="0" w:type="dxa"/>
        </w:trPr>
        <w:tc>
          <w:tcPr>
            <w:tcW w:w="322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5B5AA" w14:textId="77777777" w:rsidR="000F6B10" w:rsidRDefault="000F6B10" w:rsidP="000F6B10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6B1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Nơi nhận:</w:t>
            </w:r>
            <w:r w:rsidRPr="000F6B1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 w:rsidRPr="000F6B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- Ban Bí thư Trung ương Đảng; </w:t>
            </w:r>
          </w:p>
          <w:p w14:paraId="0FFC6AB9" w14:textId="77777777" w:rsidR="000F6B10" w:rsidRDefault="000F6B10" w:rsidP="000F6B10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6B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- Thủ tướng, các Phó Thủ tướng Chính phủ; </w:t>
            </w:r>
          </w:p>
          <w:p w14:paraId="0F839BBD" w14:textId="46FA6B8A" w:rsidR="000F6B10" w:rsidRDefault="000F6B10" w:rsidP="000F6B10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6B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- Các bộ, cơ quan ngang bộ; </w:t>
            </w:r>
          </w:p>
          <w:p w14:paraId="211AC212" w14:textId="141139E2" w:rsidR="000F6B10" w:rsidRDefault="000F6B10" w:rsidP="000F6B10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6B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 HĐND, UBND các tỉnh, thành phố trực thuộc trung ư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ơng;</w:t>
            </w:r>
          </w:p>
          <w:p w14:paraId="39DC9F95" w14:textId="5FE2F696" w:rsidR="000F6B10" w:rsidRDefault="000F6B10" w:rsidP="000F6B10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6B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- Văn phòng Trung ương và các Ban của Đảng; </w:t>
            </w:r>
          </w:p>
          <w:p w14:paraId="758EE9E8" w14:textId="06B0709B" w:rsidR="000F6B10" w:rsidRDefault="000F6B10" w:rsidP="000F6B10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6B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- Văn phòng Tổng Bí thư; </w:t>
            </w:r>
          </w:p>
          <w:p w14:paraId="79F3529B" w14:textId="77777777" w:rsidR="000F6B10" w:rsidRDefault="000F6B10" w:rsidP="000F6B10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6B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- Văn phòng Chủ tịch nước; </w:t>
            </w:r>
          </w:p>
          <w:p w14:paraId="62C15DDC" w14:textId="2F3AB30A" w:rsidR="000F6B10" w:rsidRDefault="000F6B10" w:rsidP="000F6B10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6B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- Hội đồng Dân tộc và các Ủy ban của Quốc hội; </w:t>
            </w:r>
          </w:p>
          <w:p w14:paraId="6381871C" w14:textId="77777777" w:rsidR="000F6B10" w:rsidRDefault="000F6B10" w:rsidP="000F6B10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6B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- Văn phòng Quốc hội; </w:t>
            </w:r>
          </w:p>
          <w:p w14:paraId="6A891B2D" w14:textId="28E49053" w:rsidR="000F6B10" w:rsidRDefault="000F6B10" w:rsidP="000F6B10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6B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- Tòa án nhân dân tối cao; </w:t>
            </w:r>
          </w:p>
          <w:p w14:paraId="7278BEDB" w14:textId="77777777" w:rsidR="000F6B10" w:rsidRDefault="000F6B10" w:rsidP="000F6B10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6B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- Viện kiểm sát nhân dân tối cao; </w:t>
            </w:r>
          </w:p>
          <w:p w14:paraId="65ACADD2" w14:textId="77777777" w:rsidR="000F6B10" w:rsidRDefault="000F6B10" w:rsidP="000F6B10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6B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- Kiểm toán nhà nước; </w:t>
            </w:r>
          </w:p>
          <w:p w14:paraId="7B60B242" w14:textId="47A37AD9" w:rsidR="000F6B10" w:rsidRDefault="000F6B10" w:rsidP="000F6B10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6B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- Ủy ban Trung ương Mặt trận Tổ quốc Việt Nam; </w:t>
            </w:r>
          </w:p>
          <w:p w14:paraId="62B50538" w14:textId="55962044" w:rsidR="000F6B10" w:rsidRDefault="000F6B10" w:rsidP="000F6B10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6B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- Cơ quan trung ương của các tổ chức chính trị - xã hội; </w:t>
            </w:r>
          </w:p>
          <w:p w14:paraId="0A871807" w14:textId="7BB17A7D" w:rsidR="000F6B10" w:rsidRDefault="000F6B10" w:rsidP="000F6B10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6B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- VPCP: BTCN, các PCN, Trợ lý TTg, các Vụ, Cục, Công báo; </w:t>
            </w:r>
          </w:p>
          <w:p w14:paraId="73CF3E5D" w14:textId="1D3EBA8B" w:rsidR="000F6B10" w:rsidRPr="000F6B10" w:rsidRDefault="000F6B10" w:rsidP="000F6B10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F6B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 Lưu: VT, KGVX (2).</w:t>
            </w:r>
          </w:p>
        </w:tc>
        <w:tc>
          <w:tcPr>
            <w:tcW w:w="17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87190" w14:textId="77777777" w:rsidR="000F6B10" w:rsidRPr="000F6B10" w:rsidRDefault="000F6B10" w:rsidP="000F6B1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F6B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TM. CHÍNH PHỦ</w:t>
            </w:r>
          </w:p>
          <w:p w14:paraId="2349A437" w14:textId="77777777" w:rsidR="000F6B10" w:rsidRPr="000F6B10" w:rsidRDefault="000F6B10" w:rsidP="000F6B1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F6B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KT. THỦ TƯỚNG</w:t>
            </w:r>
          </w:p>
          <w:p w14:paraId="2E492B90" w14:textId="77777777" w:rsidR="000F6B10" w:rsidRDefault="000F6B10" w:rsidP="000F6B1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F6B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PHÓ THỦ TƯỚNG</w:t>
            </w:r>
          </w:p>
          <w:p w14:paraId="01B33E85" w14:textId="77777777" w:rsidR="000F6B10" w:rsidRDefault="000F6B10" w:rsidP="000F6B1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A4AE9F9" w14:textId="77777777" w:rsidR="000F6B10" w:rsidRDefault="000F6B10" w:rsidP="000F6B1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7AE506D" w14:textId="77777777" w:rsidR="000F6B10" w:rsidRDefault="000F6B10" w:rsidP="000F6B1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1B2C1A0" w14:textId="77777777" w:rsidR="000F6B10" w:rsidRDefault="000F6B10" w:rsidP="000F6B1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C815C7B" w14:textId="77777777" w:rsidR="000F6B10" w:rsidRDefault="000F6B10" w:rsidP="000F6B1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6F6EB50" w14:textId="77777777" w:rsidR="000F6B10" w:rsidRDefault="000F6B10" w:rsidP="000F6B1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B2D920B" w14:textId="2C8782A4" w:rsidR="000F6B10" w:rsidRPr="000F6B10" w:rsidRDefault="000F6B10" w:rsidP="000F6B1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Phạm Thị Thanh Trà</w:t>
            </w:r>
          </w:p>
        </w:tc>
      </w:tr>
    </w:tbl>
    <w:p w14:paraId="6C0738E1" w14:textId="77777777" w:rsidR="000F6B10" w:rsidRDefault="000F6B10" w:rsidP="000F6B10">
      <w:pPr>
        <w:adjustRightInd w:val="0"/>
        <w:snapToGrid w:val="0"/>
        <w:spacing w:after="120" w:line="240" w:lineRule="auto"/>
        <w:ind w:firstLine="720"/>
        <w:jc w:val="both"/>
      </w:pPr>
    </w:p>
    <w:sectPr w:rsidR="000F6B10" w:rsidSect="000F6B10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063EB" w14:textId="77777777" w:rsidR="006F5044" w:rsidRDefault="006F5044">
      <w:pPr>
        <w:spacing w:after="0" w:line="240" w:lineRule="auto"/>
      </w:pPr>
      <w:r>
        <w:separator/>
      </w:r>
    </w:p>
  </w:endnote>
  <w:endnote w:type="continuationSeparator" w:id="0">
    <w:p w14:paraId="5476EF7B" w14:textId="77777777" w:rsidR="006F5044" w:rsidRDefault="006F5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12D1B" w14:textId="77777777" w:rsidR="006F5044" w:rsidRDefault="006F5044">
      <w:pPr>
        <w:spacing w:after="0" w:line="240" w:lineRule="auto"/>
      </w:pPr>
      <w:r>
        <w:separator/>
      </w:r>
    </w:p>
  </w:footnote>
  <w:footnote w:type="continuationSeparator" w:id="0">
    <w:p w14:paraId="074E35CC" w14:textId="77777777" w:rsidR="006F5044" w:rsidRDefault="006F50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B48"/>
    <w:rsid w:val="00037AC7"/>
    <w:rsid w:val="000F6B10"/>
    <w:rsid w:val="004A37B2"/>
    <w:rsid w:val="006F5044"/>
    <w:rsid w:val="00770359"/>
    <w:rsid w:val="00846567"/>
    <w:rsid w:val="008735D8"/>
    <w:rsid w:val="00955D31"/>
    <w:rsid w:val="00B32B48"/>
    <w:rsid w:val="00B75EF6"/>
    <w:rsid w:val="00DC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688CB"/>
  <w15:docId w15:val="{E0286E67-38E2-40F9-863A-ECA1F9584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6B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B10"/>
  </w:style>
  <w:style w:type="paragraph" w:styleId="Footer">
    <w:name w:val="footer"/>
    <w:basedOn w:val="Normal"/>
    <w:link w:val="FooterChar"/>
    <w:uiPriority w:val="99"/>
    <w:unhideWhenUsed/>
    <w:rsid w:val="000F6B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2797</Words>
  <Characters>15943</Characters>
  <Application>Microsoft Office Word</Application>
  <DocSecurity>0</DocSecurity>
  <Lines>132</Lines>
  <Paragraphs>37</Paragraphs>
  <ScaleCrop>false</ScaleCrop>
  <Company/>
  <LinksUpToDate>false</LinksUpToDate>
  <CharactersWithSpaces>18703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Nguyen Xuan Huy</cp:lastModifiedBy>
  <cp:revision>4</cp:revision>
  <dcterms:created xsi:type="dcterms:W3CDTF">2026-07-22T04:24:00Z</dcterms:created>
  <dcterms:modified xsi:type="dcterms:W3CDTF">2026-07-22T07:37:00Z</dcterms:modified>
</cp:coreProperties>
</file>