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E22ED9" w:rsidRPr="00E22ED9" w14:paraId="40BCB344" w14:textId="77777777" w:rsidTr="005D1161">
        <w:tc>
          <w:tcPr>
            <w:tcW w:w="2037" w:type="pct"/>
          </w:tcPr>
          <w:p w14:paraId="4C0D54D1" w14:textId="4CCA64E5" w:rsidR="00E002AD" w:rsidRPr="00E22ED9" w:rsidRDefault="00C54A31" w:rsidP="005D116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TÀI CHÍNH</w:t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D1161" w:rsidRPr="00E22ED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: 77/2025/TT-BTC</w:t>
            </w:r>
          </w:p>
        </w:tc>
        <w:tc>
          <w:tcPr>
            <w:tcW w:w="2963" w:type="pct"/>
          </w:tcPr>
          <w:p w14:paraId="367BA6D9" w14:textId="77777777" w:rsidR="00E002AD" w:rsidRPr="00E22ED9" w:rsidRDefault="00C54A31" w:rsidP="005D116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22E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E22ED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E22ED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30 tháng 7 năm 2025</w:t>
            </w:r>
          </w:p>
        </w:tc>
      </w:tr>
    </w:tbl>
    <w:p w14:paraId="3F009B12" w14:textId="77777777" w:rsidR="005D1161" w:rsidRPr="00E22ED9" w:rsidRDefault="005D1161" w:rsidP="005D11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C1350B1" w14:textId="77777777" w:rsidR="005D1161" w:rsidRPr="00E22ED9" w:rsidRDefault="005D1161" w:rsidP="005D11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23608C7" w14:textId="1549D23E" w:rsidR="00E002AD" w:rsidRPr="00E22ED9" w:rsidRDefault="00C54A31" w:rsidP="005D11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0DFB824D" w14:textId="50C6A634" w:rsidR="00E002AD" w:rsidRPr="00E22ED9" w:rsidRDefault="00C54A31" w:rsidP="005D11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t các d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 ch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ng khoán và </w:t>
      </w:r>
      <w:r w:rsidR="004A6221" w:rsidRPr="00E22ED9">
        <w:rPr>
          <w:rFonts w:ascii="Arial" w:hAnsi="Arial" w:cs="Arial"/>
          <w:b/>
          <w:color w:val="000000" w:themeColor="text1"/>
          <w:sz w:val="20"/>
          <w:szCs w:val="20"/>
        </w:rPr>
        <w:t>chuyển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161" w:rsidRPr="00E22ED9">
        <w:rPr>
          <w:rFonts w:ascii="Arial" w:hAnsi="Arial" w:cs="Arial"/>
          <w:b/>
          <w:color w:val="000000" w:themeColor="text1"/>
          <w:sz w:val="20"/>
          <w:szCs w:val="20"/>
        </w:rPr>
        <w:t>nhượng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br/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ng khoán theo Ngh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181/2025/NĐ-CP ngày 01 tháng 7 năm 2025 </w:t>
      </w:r>
      <w:r w:rsidR="005D1161" w:rsidRPr="00E22ED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t thi hành m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5D1161"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161" w:rsidRPr="00E22ED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t Thu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giá tr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gia tăng</w:t>
      </w:r>
    </w:p>
    <w:p w14:paraId="7EEBAD7F" w14:textId="5C30719A" w:rsidR="005D1161" w:rsidRPr="00E22ED9" w:rsidRDefault="005D1161" w:rsidP="005D11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E22ED9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__________________________</w:t>
      </w:r>
    </w:p>
    <w:p w14:paraId="719C224F" w14:textId="77777777" w:rsidR="005D1161" w:rsidRPr="00E22ED9" w:rsidRDefault="005D1161" w:rsidP="005D11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4C28CCF" w14:textId="0FC281C2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ng khoán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54/2019/QH14 đư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="004A6221" w:rsidRPr="00E22ED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="004A6221" w:rsidRPr="00E22ED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="004A6221" w:rsidRPr="00E22ED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="004A6221" w:rsidRPr="00E22ED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5D1161"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56/2024/QH15;</w:t>
      </w:r>
    </w:p>
    <w:p w14:paraId="36A08398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giá tr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gia tăng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48/2024/QH15;</w:t>
      </w:r>
    </w:p>
    <w:p w14:paraId="46E52001" w14:textId="0B003898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155/2020/NĐ-CP ngày 31 tháng 12 năm 2020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thi hành m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="004A6221" w:rsidRPr="00E22ED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ng khoán;</w:t>
      </w:r>
    </w:p>
    <w:p w14:paraId="5F09B2A2" w14:textId="3D037BD5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181/2025/NĐ-CP ngày 01 tháng 7 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năm 2025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thi hành m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="004A6221" w:rsidRPr="00E22ED9">
        <w:rPr>
          <w:rFonts w:ascii="Arial" w:hAnsi="Arial" w:cs="Arial"/>
          <w:i/>
          <w:color w:val="000000" w:themeColor="text1"/>
          <w:sz w:val="20"/>
          <w:szCs w:val="20"/>
        </w:rPr>
        <w:t>ều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giá tr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gia tăng;</w:t>
      </w:r>
    </w:p>
    <w:p w14:paraId="1216DCC0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 năm 2025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i,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166/2025/NĐ-CP;</w:t>
      </w:r>
    </w:p>
    <w:p w14:paraId="121F7ACF" w14:textId="2BEB0169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Ch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ch </w:t>
      </w:r>
      <w:r w:rsidR="004A6221" w:rsidRPr="00E22ED9">
        <w:rPr>
          <w:rFonts w:ascii="Arial" w:hAnsi="Arial" w:cs="Arial"/>
          <w:i/>
          <w:color w:val="000000" w:themeColor="text1"/>
          <w:sz w:val="20"/>
          <w:szCs w:val="20"/>
        </w:rPr>
        <w:t>Ủy ban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ng khoán Nhà nư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5CB70E7F" w14:textId="3A505F0C" w:rsidR="00E002AD" w:rsidRPr="00E22ED9" w:rsidRDefault="00C54A31" w:rsidP="005D116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quy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các d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kinh doanh ch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ng khoán và chuy</w:t>
      </w:r>
      <w:r w:rsidR="004A6221" w:rsidRPr="00E22ED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 như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ng ch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ng khoán theo Ngh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181/2025/NĐ-CP 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ngày 01 tháng 7 năm 2025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thi hành m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giá tr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i/>
          <w:color w:val="000000" w:themeColor="text1"/>
          <w:sz w:val="20"/>
          <w:szCs w:val="20"/>
        </w:rPr>
        <w:t xml:space="preserve"> gia tăng.</w:t>
      </w:r>
    </w:p>
    <w:p w14:paraId="4279B012" w14:textId="77777777" w:rsidR="005D1161" w:rsidRPr="00E22ED9" w:rsidRDefault="005D1161" w:rsidP="005D116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B3F9EC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487C022" w14:textId="325CE5C8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Thông tư này quy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các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kinh doanh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ng khoán và </w:t>
      </w:r>
      <w:r w:rsidR="004A6221" w:rsidRPr="00E22ED9">
        <w:rPr>
          <w:rFonts w:ascii="Arial" w:hAnsi="Arial" w:cs="Arial"/>
          <w:color w:val="000000" w:themeColor="text1"/>
          <w:sz w:val="20"/>
          <w:szCs w:val="20"/>
        </w:rPr>
        <w:t>chuyển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như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m c và đi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181/2025/NĐ-CP ngày 01 tháng 7 năm 2025 c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gia tăng (sau đây g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181/2025/NĐ-CP).</w:t>
      </w:r>
    </w:p>
    <w:p w14:paraId="36E29352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D3A88C2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a Thông tư này bao g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99D3765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181/2025/NĐ-CP.</w:t>
      </w:r>
    </w:p>
    <w:p w14:paraId="5F62EB04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2. Cơ quan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DEE3AC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3. Các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c, cá nhân khác có liên quan.</w:t>
      </w:r>
    </w:p>
    <w:p w14:paraId="31D13AEA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3. Các d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kinh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doanh ch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ng khoán t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m c kho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 4 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4 Ngh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181/2025/NĐ-CP</w:t>
      </w:r>
    </w:p>
    <w:p w14:paraId="42CDFF8B" w14:textId="0EDED9FE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1. Môi gi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khoán; nh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y thác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lý tài kho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tư cá nhân,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lý tài kho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khoán,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tr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cho khách hàng vay ti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mua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khoán,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bán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khoán;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khoán,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cu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hoán;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vay và cho vay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khoán, lưu ký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khoán, bù tr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, thanh toán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khoán, x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lý l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sau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ch,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ký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thành viên lưu ký, thành viên bù tr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hoán Vi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 Nam và công ty con; thanh toán g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c, lãi, ti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mua l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trái phi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, công trái </w:t>
      </w:r>
      <w:r w:rsidR="00A325B3" w:rsidRPr="00E22ED9">
        <w:rPr>
          <w:rFonts w:ascii="Arial" w:hAnsi="Arial" w:cs="Arial"/>
          <w:color w:val="000000" w:themeColor="text1"/>
          <w:sz w:val="20"/>
          <w:szCs w:val="20"/>
        </w:rPr>
        <w:t xml:space="preserve">Xây dựng 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c, trái phi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a phương, tín phi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kho b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3D15DD8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doanh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công ty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khoán;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tư, góp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n, phát hành, chào bán các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bookmarkStart w:id="0" w:name="_GoBack"/>
      <w:bookmarkEnd w:id="0"/>
      <w:r w:rsidRPr="00E22ED9">
        <w:rPr>
          <w:rFonts w:ascii="Arial" w:hAnsi="Arial" w:cs="Arial"/>
          <w:color w:val="000000" w:themeColor="text1"/>
          <w:sz w:val="20"/>
          <w:szCs w:val="20"/>
        </w:rPr>
        <w:t>tài chính,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có b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m;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20A2C51" w14:textId="28CFBB1B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lastRenderedPageBreak/>
        <w:t>3. B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o lãnh phát hành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khoán, các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o lãnh phát hành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theo quy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86 Lu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án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54/2019/QH14 và đư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th</w:t>
      </w:r>
      <w:r w:rsidR="006C7C34" w:rsidRPr="00E22ED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trên 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o lãnh phát hành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1B52FB37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4. Tư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597C3403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5.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lý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0CE4386D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6. Qu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lý danh m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2A555F34" w14:textId="01EB3DB4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4. Chuy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ng khoán t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m d kho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 4 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4 Ngh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="006C7C34" w:rsidRPr="00E22ED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181/2025/NĐ</w:t>
      </w:r>
      <w:r w:rsidR="006C7C34" w:rsidRPr="00E22ED9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CP</w:t>
      </w:r>
    </w:p>
    <w:p w14:paraId="28320ACF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1. Chuy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th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qua 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khoán; chuy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 ngoài 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khoán; chuy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22D57487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giá,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u, chào bán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nh tranh, d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E423E6" w14:textId="77777777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5. Hi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22ED9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58422BFC" w14:textId="2F9B7CEA" w:rsidR="00E002AD" w:rsidRPr="00E22ED9" w:rsidRDefault="00C54A31" w:rsidP="005D11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ngày 30 tháng 7 năm 2025.</w:t>
      </w:r>
    </w:p>
    <w:p w14:paraId="7D9E3F14" w14:textId="77777777" w:rsidR="00E002AD" w:rsidRPr="00E22ED9" w:rsidRDefault="00C54A31" w:rsidP="005D116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ED9">
        <w:rPr>
          <w:rFonts w:ascii="Arial" w:hAnsi="Arial" w:cs="Arial"/>
          <w:color w:val="000000" w:themeColor="text1"/>
          <w:sz w:val="20"/>
          <w:szCs w:val="20"/>
        </w:rPr>
        <w:t>2. Trong quá trình th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p có khó khăn, vư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các cơ quan, t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22ED9">
        <w:rPr>
          <w:rFonts w:ascii="Arial" w:hAnsi="Arial" w:cs="Arial"/>
          <w:color w:val="000000" w:themeColor="text1"/>
          <w:sz w:val="20"/>
          <w:szCs w:val="20"/>
        </w:rPr>
        <w:t>t./.</w:t>
      </w:r>
    </w:p>
    <w:p w14:paraId="452034F7" w14:textId="77777777" w:rsidR="005D1161" w:rsidRPr="00DD4C9B" w:rsidRDefault="005D1161" w:rsidP="005D11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22ED9" w:rsidRPr="00E22ED9" w14:paraId="4C371E18" w14:textId="77777777" w:rsidTr="005D1161">
        <w:tc>
          <w:tcPr>
            <w:tcW w:w="2500" w:type="pct"/>
          </w:tcPr>
          <w:p w14:paraId="63A62140" w14:textId="5103B8D1" w:rsidR="005D1161" w:rsidRPr="00DD4C9B" w:rsidRDefault="005D1161" w:rsidP="005D1161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C9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DD4C9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Đảng và các Ban của Đảng;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Chính phủ;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4A6221"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Kinh tế và Tài chính;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của các đoàn thể;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Chính phủ;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Sở Tài chính, Thuế các tỉnh, thành phố trực thuộc trung ương;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Kho bạc Nhà nước khu vực;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Cục Kiểm tra văn bản và Quản lý xử lý vi phạm hành chính, Bộ Tư pháp;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báo, Cổng Thông tin điện tử của Chính phủ;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Cổng Thông tin điện tử Bộ Tài chính;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Cổng Thông tin điện tử UBCKNN;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vị thuộc Bộ Tài chính;</w:t>
            </w:r>
            <w:r w:rsidRPr="00DD4C9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2ED9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UBCK (02b).70</w:t>
            </w:r>
          </w:p>
        </w:tc>
        <w:tc>
          <w:tcPr>
            <w:tcW w:w="2500" w:type="pct"/>
          </w:tcPr>
          <w:p w14:paraId="77567E45" w14:textId="35BC1917" w:rsidR="005D1161" w:rsidRPr="00DD4C9B" w:rsidRDefault="005D1161" w:rsidP="005D116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KT. BỘ TRƯỞNG</w:t>
            </w: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THỨ TRƯỞNG</w:t>
            </w: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D4C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Nguyễn Đức Chi</w:t>
            </w:r>
          </w:p>
        </w:tc>
      </w:tr>
    </w:tbl>
    <w:p w14:paraId="56A79E52" w14:textId="77777777" w:rsidR="005D1161" w:rsidRPr="00DD4C9B" w:rsidRDefault="005D1161" w:rsidP="005D1161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6B4527" w14:textId="77777777" w:rsidR="005D1161" w:rsidRPr="00DD4C9B" w:rsidRDefault="005D1161" w:rsidP="005D1161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5D1161" w:rsidRPr="00DD4C9B" w:rsidSect="005D116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C032B" w14:textId="77777777" w:rsidR="00C54A31" w:rsidRDefault="00C54A31">
      <w:pPr>
        <w:spacing w:after="0" w:line="240" w:lineRule="auto"/>
      </w:pPr>
      <w:r>
        <w:separator/>
      </w:r>
    </w:p>
  </w:endnote>
  <w:endnote w:type="continuationSeparator" w:id="0">
    <w:p w14:paraId="337260F3" w14:textId="77777777" w:rsidR="00C54A31" w:rsidRDefault="00C5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68770" w14:textId="77777777" w:rsidR="00C54A31" w:rsidRDefault="00C54A31">
      <w:pPr>
        <w:spacing w:after="0" w:line="240" w:lineRule="auto"/>
      </w:pPr>
      <w:r>
        <w:separator/>
      </w:r>
    </w:p>
  </w:footnote>
  <w:footnote w:type="continuationSeparator" w:id="0">
    <w:p w14:paraId="7635B3FF" w14:textId="77777777" w:rsidR="00C54A31" w:rsidRDefault="00C54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AD"/>
    <w:rsid w:val="002135F7"/>
    <w:rsid w:val="003B1F10"/>
    <w:rsid w:val="00441294"/>
    <w:rsid w:val="004A6221"/>
    <w:rsid w:val="005D1161"/>
    <w:rsid w:val="006674D3"/>
    <w:rsid w:val="006925EE"/>
    <w:rsid w:val="006C7C34"/>
    <w:rsid w:val="006F2FB8"/>
    <w:rsid w:val="00A325B3"/>
    <w:rsid w:val="00C54A31"/>
    <w:rsid w:val="00DB5057"/>
    <w:rsid w:val="00DD4C9B"/>
    <w:rsid w:val="00E002AD"/>
    <w:rsid w:val="00E22ED9"/>
    <w:rsid w:val="00F3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6BEA"/>
  <w15:docId w15:val="{9F05732E-0F96-4CBF-AB96-1EAB32AA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161"/>
  </w:style>
  <w:style w:type="paragraph" w:styleId="Footer">
    <w:name w:val="footer"/>
    <w:basedOn w:val="Normal"/>
    <w:link w:val="FooterChar"/>
    <w:uiPriority w:val="99"/>
    <w:unhideWhenUsed/>
    <w:rsid w:val="005D1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161"/>
  </w:style>
  <w:style w:type="table" w:styleId="TableGrid">
    <w:name w:val="Table Grid"/>
    <w:basedOn w:val="TableNormal"/>
    <w:uiPriority w:val="39"/>
    <w:rsid w:val="005D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10</cp:revision>
  <dcterms:created xsi:type="dcterms:W3CDTF">2025-07-31T06:24:00Z</dcterms:created>
  <dcterms:modified xsi:type="dcterms:W3CDTF">2025-08-01T01:21:00Z</dcterms:modified>
</cp:coreProperties>
</file>