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67D4A" w:rsidRPr="00667D4A" w14:paraId="12633179" w14:textId="77777777" w:rsidTr="00CA6198">
        <w:tc>
          <w:tcPr>
            <w:tcW w:w="1645" w:type="pct"/>
          </w:tcPr>
          <w:p w14:paraId="5DC13061" w14:textId="42AB072E" w:rsidR="004E5D2B" w:rsidRPr="00667D4A" w:rsidRDefault="000970E5" w:rsidP="003877CF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B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TÀI CHÍNH</w:t>
            </w:r>
            <w:r w:rsidRPr="00667D4A">
              <w:rPr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667D4A">
              <w:rPr>
                <w:color w:val="000000" w:themeColor="text1"/>
                <w:sz w:val="20"/>
                <w:szCs w:val="20"/>
              </w:rPr>
              <w:br/>
            </w:r>
            <w:r w:rsidR="003877CF" w:rsidRPr="00667D4A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S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ố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: 61/2025/TT-BTC</w:t>
            </w:r>
          </w:p>
        </w:tc>
        <w:tc>
          <w:tcPr>
            <w:tcW w:w="3355" w:type="pct"/>
          </w:tcPr>
          <w:p w14:paraId="5769D6D3" w14:textId="77777777" w:rsidR="004E5D2B" w:rsidRPr="00667D4A" w:rsidRDefault="000970E5" w:rsidP="003877CF">
            <w:pPr>
              <w:adjustRightInd w:val="0"/>
              <w:snapToGri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 CH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Ủ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Ệ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 NAM</w:t>
            </w:r>
            <w:r w:rsidRPr="00667D4A">
              <w:rPr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Đ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ộ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 l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ậ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 – T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ự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ạ</w:t>
            </w:r>
            <w:r w:rsidRPr="00667D4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nh phúc</w:t>
            </w:r>
            <w:r w:rsidRPr="00667D4A">
              <w:rPr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667D4A">
              <w:rPr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Hà N</w:t>
            </w:r>
            <w:r w:rsidRPr="00667D4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ộ</w:t>
            </w:r>
            <w:r w:rsidRPr="00667D4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i, ngày 30 tháng 6 năm 2025</w:t>
            </w:r>
          </w:p>
        </w:tc>
      </w:tr>
    </w:tbl>
    <w:p w14:paraId="06E65598" w14:textId="77777777" w:rsidR="00295BBF" w:rsidRPr="0024058B" w:rsidRDefault="00295BBF" w:rsidP="003877CF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  <w:szCs w:val="20"/>
        </w:rPr>
      </w:pPr>
    </w:p>
    <w:p w14:paraId="254406CA" w14:textId="77777777" w:rsidR="003877CF" w:rsidRPr="0024058B" w:rsidRDefault="003877CF" w:rsidP="003877CF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  <w:szCs w:val="20"/>
        </w:rPr>
      </w:pPr>
    </w:p>
    <w:p w14:paraId="026DBA1D" w14:textId="3B42A5FB" w:rsidR="004E5D2B" w:rsidRPr="00667D4A" w:rsidRDefault="000970E5" w:rsidP="003877CF">
      <w:pPr>
        <w:adjustRightInd w:val="0"/>
        <w:snapToGrid w:val="0"/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b/>
          <w:color w:val="000000" w:themeColor="text1"/>
          <w:sz w:val="20"/>
          <w:szCs w:val="20"/>
        </w:rPr>
        <w:t>THÔNG TƯ</w:t>
      </w:r>
    </w:p>
    <w:p w14:paraId="4689A521" w14:textId="77777777" w:rsidR="004E5D2B" w:rsidRPr="00667D4A" w:rsidRDefault="000970E5" w:rsidP="003877CF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667D4A">
        <w:rPr>
          <w:rFonts w:ascii="Arial" w:hAnsi="Arial"/>
          <w:b/>
          <w:color w:val="000000" w:themeColor="text1"/>
          <w:sz w:val="20"/>
          <w:szCs w:val="20"/>
        </w:rPr>
        <w:t>S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ử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a đ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i, b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sung kho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ả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 1 Đi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u 4 c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ủ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a Thông tư s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75/2013/TT-BTC</w:t>
      </w:r>
      <w:r w:rsidRPr="00667D4A">
        <w:rPr>
          <w:color w:val="000000" w:themeColor="text1"/>
          <w:sz w:val="20"/>
          <w:szCs w:val="20"/>
        </w:rPr>
        <w:br/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ngày 04 tháng 6 năm 2013 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c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ủ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a B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trư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ở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ng B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Tài chính</w:t>
      </w:r>
      <w:r w:rsidRPr="00667D4A">
        <w:rPr>
          <w:color w:val="000000" w:themeColor="text1"/>
          <w:sz w:val="20"/>
          <w:szCs w:val="20"/>
        </w:rPr>
        <w:br/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hư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ớ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ng d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ẫ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 chi ti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t v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ho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ạ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t đ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ng kinh doanh x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ố</w:t>
      </w:r>
    </w:p>
    <w:p w14:paraId="0AE98291" w14:textId="5AADAB83" w:rsidR="00295BBF" w:rsidRPr="0024058B" w:rsidRDefault="003877CF" w:rsidP="003877CF">
      <w:pPr>
        <w:adjustRightInd w:val="0"/>
        <w:snapToGrid w:val="0"/>
        <w:spacing w:after="0" w:line="240" w:lineRule="auto"/>
        <w:jc w:val="center"/>
        <w:rPr>
          <w:color w:val="000000" w:themeColor="text1"/>
          <w:sz w:val="20"/>
          <w:szCs w:val="20"/>
          <w:vertAlign w:val="superscript"/>
        </w:rPr>
      </w:pPr>
      <w:r w:rsidRPr="0024058B">
        <w:rPr>
          <w:color w:val="000000" w:themeColor="text1"/>
          <w:sz w:val="20"/>
          <w:szCs w:val="20"/>
          <w:vertAlign w:val="superscript"/>
        </w:rPr>
        <w:t>__________</w:t>
      </w:r>
    </w:p>
    <w:p w14:paraId="31F688CE" w14:textId="77777777" w:rsidR="003877CF" w:rsidRPr="0024058B" w:rsidRDefault="003877CF" w:rsidP="003877CF">
      <w:pPr>
        <w:adjustRightInd w:val="0"/>
        <w:snapToGrid w:val="0"/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2990BE7B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29/2025/NĐ-CP ngày 24 tháng 02 năm 2025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nh ch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c năng, nhi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m v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, quy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 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 và cơ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ấ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u t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c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B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Tài chính;</w:t>
      </w:r>
    </w:p>
    <w:p w14:paraId="30E836D9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nh 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30/2007/NĐ-CP ngày 01 tháng 3 năm 2007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kinh doanh x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và Ngh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78/2012/NĐ-CP ngày 05 tháng 10 năm 2012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i, b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m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t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u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Ngh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30/2007/NĐ-CP ngày 01 tháng 3 năm 2007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kinh doa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nh x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14:paraId="578CE538" w14:textId="6683F71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Theo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V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ng V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</w:t>
      </w:r>
      <w:r w:rsidR="00B519C1"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á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c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nh ch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tài chính;</w:t>
      </w:r>
    </w:p>
    <w:p w14:paraId="53426CA2" w14:textId="77777777" w:rsidR="004E5D2B" w:rsidRPr="00667D4A" w:rsidRDefault="000970E5" w:rsidP="003877C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B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ng B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Tài chính ban hành Thông tư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i, b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kho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 1 Đi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u 4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Thông tư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75/2013/TT-BTC ngày 04 tháng 6 năm 2013 c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a B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ng B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Tài chính hư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ớ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ng d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ẫ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 chi ti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t v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ho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t 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ng kinh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doanh x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667D4A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34E9F86A" w14:textId="77777777" w:rsidR="003877CF" w:rsidRPr="0024058B" w:rsidRDefault="003877CF" w:rsidP="003877CF">
      <w:pPr>
        <w:adjustRightInd w:val="0"/>
        <w:snapToGrid w:val="0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364E7425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b/>
          <w:color w:val="000000" w:themeColor="text1"/>
          <w:sz w:val="20"/>
          <w:szCs w:val="20"/>
        </w:rPr>
        <w:t>Đi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u 1. S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ử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a đ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i, b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sung kho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ả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 1 Đi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u 4 c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ủ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a Thông tư s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75/2013/TT-BTC ngày 04 tháng 6 năm 2013 c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ủ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a B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trư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ở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ng B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Tài chính hư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ớ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ng d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ẫ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 chi ti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t v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ho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ạ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t đ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ng kinh doanh x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như sau</w:t>
      </w:r>
    </w:p>
    <w:p w14:paraId="7ACA7B7E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color w:val="000000" w:themeColor="text1"/>
          <w:sz w:val="20"/>
          <w:szCs w:val="20"/>
        </w:rPr>
        <w:t>“1. Ho</w:t>
      </w:r>
      <w:r w:rsidRPr="00667D4A">
        <w:rPr>
          <w:rFonts w:ascii="Arial" w:hAnsi="Arial"/>
          <w:color w:val="000000" w:themeColor="text1"/>
          <w:sz w:val="20"/>
          <w:szCs w:val="20"/>
        </w:rPr>
        <w:t>ạ</w:t>
      </w:r>
      <w:r w:rsidRPr="00667D4A">
        <w:rPr>
          <w:rFonts w:ascii="Arial" w:hAnsi="Arial"/>
          <w:color w:val="000000" w:themeColor="text1"/>
          <w:sz w:val="20"/>
          <w:szCs w:val="20"/>
        </w:rPr>
        <w:t>t đ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ng kinh doanh x</w:t>
      </w:r>
      <w:r w:rsidRPr="00667D4A">
        <w:rPr>
          <w:rFonts w:ascii="Arial" w:hAnsi="Arial"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ki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n thi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t đư</w:t>
      </w:r>
      <w:r w:rsidRPr="00667D4A">
        <w:rPr>
          <w:rFonts w:ascii="Arial" w:hAnsi="Arial"/>
          <w:color w:val="000000" w:themeColor="text1"/>
          <w:sz w:val="20"/>
          <w:szCs w:val="20"/>
        </w:rPr>
        <w:t>ợ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c chia theo các </w:t>
      </w:r>
      <w:r w:rsidRPr="00667D4A">
        <w:rPr>
          <w:rFonts w:ascii="Arial" w:hAnsi="Arial"/>
          <w:color w:val="000000" w:themeColor="text1"/>
          <w:sz w:val="20"/>
          <w:szCs w:val="20"/>
        </w:rPr>
        <w:t>khu v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c, c</w:t>
      </w:r>
      <w:r w:rsidRPr="00667D4A">
        <w:rPr>
          <w:rFonts w:ascii="Arial" w:hAnsi="Arial"/>
          <w:color w:val="000000" w:themeColor="text1"/>
          <w:sz w:val="20"/>
          <w:szCs w:val="20"/>
        </w:rPr>
        <w:t>ụ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th</w:t>
      </w:r>
      <w:r w:rsidRPr="00667D4A">
        <w:rPr>
          <w:rFonts w:ascii="Arial" w:hAnsi="Arial"/>
          <w:color w:val="000000" w:themeColor="text1"/>
          <w:sz w:val="20"/>
          <w:szCs w:val="20"/>
        </w:rPr>
        <w:t>ể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như sau:</w:t>
      </w:r>
    </w:p>
    <w:p w14:paraId="44F078A0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color w:val="000000" w:themeColor="text1"/>
          <w:sz w:val="20"/>
          <w:szCs w:val="20"/>
        </w:rPr>
        <w:t>a) Khu v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mi</w:t>
      </w:r>
      <w:r w:rsidRPr="00667D4A">
        <w:rPr>
          <w:rFonts w:ascii="Arial" w:hAnsi="Arial"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color w:val="000000" w:themeColor="text1"/>
          <w:sz w:val="20"/>
          <w:szCs w:val="20"/>
        </w:rPr>
        <w:t>n B</w:t>
      </w:r>
      <w:r w:rsidRPr="00667D4A">
        <w:rPr>
          <w:rFonts w:ascii="Arial" w:hAnsi="Arial"/>
          <w:color w:val="000000" w:themeColor="text1"/>
          <w:sz w:val="20"/>
          <w:szCs w:val="20"/>
        </w:rPr>
        <w:t>ắ</w:t>
      </w:r>
      <w:r w:rsidRPr="00667D4A">
        <w:rPr>
          <w:rFonts w:ascii="Arial" w:hAnsi="Arial"/>
          <w:color w:val="000000" w:themeColor="text1"/>
          <w:sz w:val="20"/>
          <w:szCs w:val="20"/>
        </w:rPr>
        <w:t>c, g</w:t>
      </w:r>
      <w:r w:rsidRPr="00667D4A">
        <w:rPr>
          <w:rFonts w:ascii="Arial" w:hAnsi="Arial"/>
          <w:color w:val="000000" w:themeColor="text1"/>
          <w:sz w:val="20"/>
          <w:szCs w:val="20"/>
        </w:rPr>
        <w:t>ồ</w:t>
      </w:r>
      <w:r w:rsidRPr="00667D4A">
        <w:rPr>
          <w:rFonts w:ascii="Arial" w:hAnsi="Arial"/>
          <w:color w:val="000000" w:themeColor="text1"/>
          <w:sz w:val="20"/>
          <w:szCs w:val="20"/>
        </w:rPr>
        <w:t>m các t</w:t>
      </w:r>
      <w:r w:rsidRPr="00667D4A">
        <w:rPr>
          <w:rFonts w:ascii="Arial" w:hAnsi="Arial"/>
          <w:color w:val="000000" w:themeColor="text1"/>
          <w:sz w:val="20"/>
          <w:szCs w:val="20"/>
        </w:rPr>
        <w:t>ỉ</w:t>
      </w:r>
      <w:r w:rsidRPr="00667D4A">
        <w:rPr>
          <w:rFonts w:ascii="Arial" w:hAnsi="Arial"/>
          <w:color w:val="000000" w:themeColor="text1"/>
          <w:sz w:val="20"/>
          <w:szCs w:val="20"/>
        </w:rPr>
        <w:t>nh, thành ph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tr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thu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c Trung ương sau: B</w:t>
      </w:r>
      <w:r w:rsidRPr="00667D4A">
        <w:rPr>
          <w:rFonts w:ascii="Arial" w:hAnsi="Arial"/>
          <w:color w:val="000000" w:themeColor="text1"/>
          <w:sz w:val="20"/>
          <w:szCs w:val="20"/>
        </w:rPr>
        <w:t>ắ</w:t>
      </w:r>
      <w:r w:rsidRPr="00667D4A">
        <w:rPr>
          <w:rFonts w:ascii="Arial" w:hAnsi="Arial"/>
          <w:color w:val="000000" w:themeColor="text1"/>
          <w:sz w:val="20"/>
          <w:szCs w:val="20"/>
        </w:rPr>
        <w:t>c Ninh, Cao B</w:t>
      </w:r>
      <w:r w:rsidRPr="00667D4A">
        <w:rPr>
          <w:rFonts w:ascii="Arial" w:hAnsi="Arial"/>
          <w:color w:val="000000" w:themeColor="text1"/>
          <w:sz w:val="20"/>
          <w:szCs w:val="20"/>
        </w:rPr>
        <w:t>ằ</w:t>
      </w:r>
      <w:r w:rsidRPr="00667D4A">
        <w:rPr>
          <w:rFonts w:ascii="Arial" w:hAnsi="Arial"/>
          <w:color w:val="000000" w:themeColor="text1"/>
          <w:sz w:val="20"/>
          <w:szCs w:val="20"/>
        </w:rPr>
        <w:t>ng, Đi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n Biên, Hà N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i, Hà Tĩnh, H</w:t>
      </w:r>
      <w:r w:rsidRPr="00667D4A">
        <w:rPr>
          <w:rFonts w:ascii="Arial" w:hAnsi="Arial"/>
          <w:color w:val="000000" w:themeColor="text1"/>
          <w:sz w:val="20"/>
          <w:szCs w:val="20"/>
        </w:rPr>
        <w:t>ả</w:t>
      </w:r>
      <w:r w:rsidRPr="00667D4A">
        <w:rPr>
          <w:rFonts w:ascii="Arial" w:hAnsi="Arial"/>
          <w:color w:val="000000" w:themeColor="text1"/>
          <w:sz w:val="20"/>
          <w:szCs w:val="20"/>
        </w:rPr>
        <w:t>i Phòng, Hưng Yên, Lào Cai, L</w:t>
      </w:r>
      <w:r w:rsidRPr="00667D4A">
        <w:rPr>
          <w:rFonts w:ascii="Arial" w:hAnsi="Arial"/>
          <w:color w:val="000000" w:themeColor="text1"/>
          <w:sz w:val="20"/>
          <w:szCs w:val="20"/>
        </w:rPr>
        <w:t>ạ</w:t>
      </w:r>
      <w:r w:rsidRPr="00667D4A">
        <w:rPr>
          <w:rFonts w:ascii="Arial" w:hAnsi="Arial"/>
          <w:color w:val="000000" w:themeColor="text1"/>
          <w:sz w:val="20"/>
          <w:szCs w:val="20"/>
        </w:rPr>
        <w:t>ng Sơn, Lai Châu, Ngh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An, Ninh Bình, Phú Th</w:t>
      </w:r>
      <w:r w:rsidRPr="00667D4A">
        <w:rPr>
          <w:rFonts w:ascii="Arial" w:hAnsi="Arial"/>
          <w:color w:val="000000" w:themeColor="text1"/>
          <w:sz w:val="20"/>
          <w:szCs w:val="20"/>
        </w:rPr>
        <w:t>ọ</w:t>
      </w:r>
      <w:r w:rsidRPr="00667D4A">
        <w:rPr>
          <w:rFonts w:ascii="Arial" w:hAnsi="Arial"/>
          <w:color w:val="000000" w:themeColor="text1"/>
          <w:sz w:val="20"/>
          <w:szCs w:val="20"/>
        </w:rPr>
        <w:t>, Qu</w:t>
      </w:r>
      <w:r w:rsidRPr="00667D4A">
        <w:rPr>
          <w:rFonts w:ascii="Arial" w:hAnsi="Arial"/>
          <w:color w:val="000000" w:themeColor="text1"/>
          <w:sz w:val="20"/>
          <w:szCs w:val="20"/>
        </w:rPr>
        <w:t>ả</w:t>
      </w:r>
      <w:r w:rsidRPr="00667D4A">
        <w:rPr>
          <w:rFonts w:ascii="Arial" w:hAnsi="Arial"/>
          <w:color w:val="000000" w:themeColor="text1"/>
          <w:sz w:val="20"/>
          <w:szCs w:val="20"/>
        </w:rPr>
        <w:t>ng Ninh, Sơn La, Thái Nguyên,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Thanh Hóa và Tuyên Quang;</w:t>
      </w:r>
    </w:p>
    <w:p w14:paraId="585062AC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color w:val="000000" w:themeColor="text1"/>
          <w:sz w:val="20"/>
          <w:szCs w:val="20"/>
        </w:rPr>
        <w:t>b) Khu v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mi</w:t>
      </w:r>
      <w:r w:rsidRPr="00667D4A">
        <w:rPr>
          <w:rFonts w:ascii="Arial" w:hAnsi="Arial"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color w:val="000000" w:themeColor="text1"/>
          <w:sz w:val="20"/>
          <w:szCs w:val="20"/>
        </w:rPr>
        <w:t>n Trung, g</w:t>
      </w:r>
      <w:r w:rsidRPr="00667D4A">
        <w:rPr>
          <w:rFonts w:ascii="Arial" w:hAnsi="Arial"/>
          <w:color w:val="000000" w:themeColor="text1"/>
          <w:sz w:val="20"/>
          <w:szCs w:val="20"/>
        </w:rPr>
        <w:t>ồ</w:t>
      </w:r>
      <w:r w:rsidRPr="00667D4A">
        <w:rPr>
          <w:rFonts w:ascii="Arial" w:hAnsi="Arial"/>
          <w:color w:val="000000" w:themeColor="text1"/>
          <w:sz w:val="20"/>
          <w:szCs w:val="20"/>
        </w:rPr>
        <w:t>m các t</w:t>
      </w:r>
      <w:r w:rsidRPr="00667D4A">
        <w:rPr>
          <w:rFonts w:ascii="Arial" w:hAnsi="Arial"/>
          <w:color w:val="000000" w:themeColor="text1"/>
          <w:sz w:val="20"/>
          <w:szCs w:val="20"/>
        </w:rPr>
        <w:t>ỉ</w:t>
      </w:r>
      <w:r w:rsidRPr="00667D4A">
        <w:rPr>
          <w:rFonts w:ascii="Arial" w:hAnsi="Arial"/>
          <w:color w:val="000000" w:themeColor="text1"/>
          <w:sz w:val="20"/>
          <w:szCs w:val="20"/>
        </w:rPr>
        <w:t>nh, thành ph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tr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thu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c Trung ương sau: Đà N</w:t>
      </w:r>
      <w:r w:rsidRPr="00667D4A">
        <w:rPr>
          <w:rFonts w:ascii="Arial" w:hAnsi="Arial"/>
          <w:color w:val="000000" w:themeColor="text1"/>
          <w:sz w:val="20"/>
          <w:szCs w:val="20"/>
        </w:rPr>
        <w:t>ẵ</w:t>
      </w:r>
      <w:r w:rsidRPr="00667D4A">
        <w:rPr>
          <w:rFonts w:ascii="Arial" w:hAnsi="Arial"/>
          <w:color w:val="000000" w:themeColor="text1"/>
          <w:sz w:val="20"/>
          <w:szCs w:val="20"/>
        </w:rPr>
        <w:t>ng, Đ</w:t>
      </w:r>
      <w:r w:rsidRPr="00667D4A">
        <w:rPr>
          <w:rFonts w:ascii="Arial" w:hAnsi="Arial"/>
          <w:color w:val="000000" w:themeColor="text1"/>
          <w:sz w:val="20"/>
          <w:szCs w:val="20"/>
        </w:rPr>
        <w:t>ắ</w:t>
      </w:r>
      <w:r w:rsidRPr="00667D4A">
        <w:rPr>
          <w:rFonts w:ascii="Arial" w:hAnsi="Arial"/>
          <w:color w:val="000000" w:themeColor="text1"/>
          <w:sz w:val="20"/>
          <w:szCs w:val="20"/>
        </w:rPr>
        <w:t>k L</w:t>
      </w:r>
      <w:r w:rsidRPr="00667D4A">
        <w:rPr>
          <w:rFonts w:ascii="Arial" w:hAnsi="Arial"/>
          <w:color w:val="000000" w:themeColor="text1"/>
          <w:sz w:val="20"/>
          <w:szCs w:val="20"/>
        </w:rPr>
        <w:t>ắ</w:t>
      </w:r>
      <w:r w:rsidRPr="00667D4A">
        <w:rPr>
          <w:rFonts w:ascii="Arial" w:hAnsi="Arial"/>
          <w:color w:val="000000" w:themeColor="text1"/>
          <w:sz w:val="20"/>
          <w:szCs w:val="20"/>
        </w:rPr>
        <w:t>k, Gia Lai, Khánh Hòa, Qu</w:t>
      </w:r>
      <w:r w:rsidRPr="00667D4A">
        <w:rPr>
          <w:rFonts w:ascii="Arial" w:hAnsi="Arial"/>
          <w:color w:val="000000" w:themeColor="text1"/>
          <w:sz w:val="20"/>
          <w:szCs w:val="20"/>
        </w:rPr>
        <w:t>ả</w:t>
      </w:r>
      <w:r w:rsidRPr="00667D4A">
        <w:rPr>
          <w:rFonts w:ascii="Arial" w:hAnsi="Arial"/>
          <w:color w:val="000000" w:themeColor="text1"/>
          <w:sz w:val="20"/>
          <w:szCs w:val="20"/>
        </w:rPr>
        <w:t>ng Ngãi, Qu</w:t>
      </w:r>
      <w:r w:rsidRPr="00667D4A">
        <w:rPr>
          <w:rFonts w:ascii="Arial" w:hAnsi="Arial"/>
          <w:color w:val="000000" w:themeColor="text1"/>
          <w:sz w:val="20"/>
          <w:szCs w:val="20"/>
        </w:rPr>
        <w:t>ả</w:t>
      </w:r>
      <w:r w:rsidRPr="00667D4A">
        <w:rPr>
          <w:rFonts w:ascii="Arial" w:hAnsi="Arial"/>
          <w:color w:val="000000" w:themeColor="text1"/>
          <w:sz w:val="20"/>
          <w:szCs w:val="20"/>
        </w:rPr>
        <w:t>ng Tr</w:t>
      </w:r>
      <w:r w:rsidRPr="00667D4A">
        <w:rPr>
          <w:rFonts w:ascii="Arial" w:hAnsi="Arial"/>
          <w:color w:val="000000" w:themeColor="text1"/>
          <w:sz w:val="20"/>
          <w:szCs w:val="20"/>
        </w:rPr>
        <w:t>ị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và Hu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;</w:t>
      </w:r>
    </w:p>
    <w:p w14:paraId="1EE64471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color w:val="000000" w:themeColor="text1"/>
          <w:sz w:val="20"/>
          <w:szCs w:val="20"/>
        </w:rPr>
        <w:t>c) Khu v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mi</w:t>
      </w:r>
      <w:r w:rsidRPr="00667D4A">
        <w:rPr>
          <w:rFonts w:ascii="Arial" w:hAnsi="Arial"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color w:val="000000" w:themeColor="text1"/>
          <w:sz w:val="20"/>
          <w:szCs w:val="20"/>
        </w:rPr>
        <w:t>n Nam, g</w:t>
      </w:r>
      <w:r w:rsidRPr="00667D4A">
        <w:rPr>
          <w:rFonts w:ascii="Arial" w:hAnsi="Arial"/>
          <w:color w:val="000000" w:themeColor="text1"/>
          <w:sz w:val="20"/>
          <w:szCs w:val="20"/>
        </w:rPr>
        <w:t>ồ</w:t>
      </w:r>
      <w:r w:rsidRPr="00667D4A">
        <w:rPr>
          <w:rFonts w:ascii="Arial" w:hAnsi="Arial"/>
          <w:color w:val="000000" w:themeColor="text1"/>
          <w:sz w:val="20"/>
          <w:szCs w:val="20"/>
        </w:rPr>
        <w:t>m các t</w:t>
      </w:r>
      <w:r w:rsidRPr="00667D4A">
        <w:rPr>
          <w:rFonts w:ascii="Arial" w:hAnsi="Arial"/>
          <w:color w:val="000000" w:themeColor="text1"/>
          <w:sz w:val="20"/>
          <w:szCs w:val="20"/>
        </w:rPr>
        <w:t>ỉ</w:t>
      </w:r>
      <w:r w:rsidRPr="00667D4A">
        <w:rPr>
          <w:rFonts w:ascii="Arial" w:hAnsi="Arial"/>
          <w:color w:val="000000" w:themeColor="text1"/>
          <w:sz w:val="20"/>
          <w:szCs w:val="20"/>
        </w:rPr>
        <w:t>nh, thành ph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tr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thu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c Trung ương sau: An Giang, Cà Ma</w:t>
      </w:r>
      <w:r w:rsidRPr="00667D4A">
        <w:rPr>
          <w:rFonts w:ascii="Arial" w:hAnsi="Arial"/>
          <w:color w:val="000000" w:themeColor="text1"/>
          <w:sz w:val="20"/>
          <w:szCs w:val="20"/>
        </w:rPr>
        <w:t>u, C</w:t>
      </w:r>
      <w:r w:rsidRPr="00667D4A">
        <w:rPr>
          <w:rFonts w:ascii="Arial" w:hAnsi="Arial"/>
          <w:color w:val="000000" w:themeColor="text1"/>
          <w:sz w:val="20"/>
          <w:szCs w:val="20"/>
        </w:rPr>
        <w:t>ầ</w:t>
      </w:r>
      <w:r w:rsidRPr="00667D4A">
        <w:rPr>
          <w:rFonts w:ascii="Arial" w:hAnsi="Arial"/>
          <w:color w:val="000000" w:themeColor="text1"/>
          <w:sz w:val="20"/>
          <w:szCs w:val="20"/>
        </w:rPr>
        <w:t>n Thơ, Đ</w:t>
      </w:r>
      <w:r w:rsidRPr="00667D4A">
        <w:rPr>
          <w:rFonts w:ascii="Arial" w:hAnsi="Arial"/>
          <w:color w:val="000000" w:themeColor="text1"/>
          <w:sz w:val="20"/>
          <w:szCs w:val="20"/>
        </w:rPr>
        <w:t>ồ</w:t>
      </w:r>
      <w:r w:rsidRPr="00667D4A">
        <w:rPr>
          <w:rFonts w:ascii="Arial" w:hAnsi="Arial"/>
          <w:color w:val="000000" w:themeColor="text1"/>
          <w:sz w:val="20"/>
          <w:szCs w:val="20"/>
        </w:rPr>
        <w:t>ng Tháp, Đ</w:t>
      </w:r>
      <w:r w:rsidRPr="00667D4A">
        <w:rPr>
          <w:rFonts w:ascii="Arial" w:hAnsi="Arial"/>
          <w:color w:val="000000" w:themeColor="text1"/>
          <w:sz w:val="20"/>
          <w:szCs w:val="20"/>
        </w:rPr>
        <w:t>ồ</w:t>
      </w:r>
      <w:r w:rsidRPr="00667D4A">
        <w:rPr>
          <w:rFonts w:ascii="Arial" w:hAnsi="Arial"/>
          <w:color w:val="000000" w:themeColor="text1"/>
          <w:sz w:val="20"/>
          <w:szCs w:val="20"/>
        </w:rPr>
        <w:t>ng Nai, Lâm Đ</w:t>
      </w:r>
      <w:r w:rsidRPr="00667D4A">
        <w:rPr>
          <w:rFonts w:ascii="Arial" w:hAnsi="Arial"/>
          <w:color w:val="000000" w:themeColor="text1"/>
          <w:sz w:val="20"/>
          <w:szCs w:val="20"/>
        </w:rPr>
        <w:t>ồ</w:t>
      </w:r>
      <w:r w:rsidRPr="00667D4A">
        <w:rPr>
          <w:rFonts w:ascii="Arial" w:hAnsi="Arial"/>
          <w:color w:val="000000" w:themeColor="text1"/>
          <w:sz w:val="20"/>
          <w:szCs w:val="20"/>
        </w:rPr>
        <w:t>ng, Tây Ninh, Thành ph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H</w:t>
      </w:r>
      <w:r w:rsidRPr="00667D4A">
        <w:rPr>
          <w:rFonts w:ascii="Arial" w:hAnsi="Arial"/>
          <w:color w:val="000000" w:themeColor="text1"/>
          <w:sz w:val="20"/>
          <w:szCs w:val="20"/>
        </w:rPr>
        <w:t>ồ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Chí Minh và Vĩnh Long.”</w:t>
      </w:r>
    </w:p>
    <w:p w14:paraId="02DC625F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b/>
          <w:color w:val="000000" w:themeColor="text1"/>
          <w:sz w:val="20"/>
          <w:szCs w:val="20"/>
        </w:rPr>
        <w:t>Đi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u 2. Trách nhi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m t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 xml:space="preserve"> ch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ứ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c th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c hi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</w:t>
      </w:r>
    </w:p>
    <w:p w14:paraId="5BB67648" w14:textId="6A7CC063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color w:val="000000" w:themeColor="text1"/>
          <w:sz w:val="20"/>
          <w:szCs w:val="20"/>
        </w:rPr>
        <w:t>Các b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, cơ quan ngang b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, cơ quan thu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c Chính ph</w:t>
      </w:r>
      <w:r w:rsidRPr="00667D4A">
        <w:rPr>
          <w:rFonts w:ascii="Arial" w:hAnsi="Arial"/>
          <w:color w:val="000000" w:themeColor="text1"/>
          <w:sz w:val="20"/>
          <w:szCs w:val="20"/>
        </w:rPr>
        <w:t>ủ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, cơ quan khác </w:t>
      </w:r>
      <w:r w:rsidRPr="00667D4A">
        <w:rPr>
          <w:rFonts w:ascii="Arial" w:hAnsi="Arial"/>
          <w:color w:val="000000" w:themeColor="text1"/>
          <w:sz w:val="20"/>
          <w:szCs w:val="20"/>
        </w:rPr>
        <w:t>ở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trung ương, </w:t>
      </w:r>
      <w:r w:rsidR="003877CF" w:rsidRPr="00667D4A">
        <w:rPr>
          <w:rFonts w:ascii="Arial" w:hAnsi="Arial"/>
          <w:color w:val="000000" w:themeColor="text1"/>
          <w:sz w:val="20"/>
          <w:szCs w:val="20"/>
        </w:rPr>
        <w:t>Ủy ban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nhân dân các t</w:t>
      </w:r>
      <w:r w:rsidRPr="00667D4A">
        <w:rPr>
          <w:rFonts w:ascii="Arial" w:hAnsi="Arial"/>
          <w:color w:val="000000" w:themeColor="text1"/>
          <w:sz w:val="20"/>
          <w:szCs w:val="20"/>
        </w:rPr>
        <w:t>ỉ</w:t>
      </w:r>
      <w:r w:rsidRPr="00667D4A">
        <w:rPr>
          <w:rFonts w:ascii="Arial" w:hAnsi="Arial"/>
          <w:color w:val="000000" w:themeColor="text1"/>
          <w:sz w:val="20"/>
          <w:szCs w:val="20"/>
        </w:rPr>
        <w:t>nh, thành ph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tr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thu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c Trung ương, công ty x</w:t>
      </w:r>
      <w:r w:rsidRPr="00667D4A">
        <w:rPr>
          <w:rFonts w:ascii="Arial" w:hAnsi="Arial"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ki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n thi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t, Công ty trách nhi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m h</w:t>
      </w:r>
      <w:r w:rsidRPr="00667D4A">
        <w:rPr>
          <w:rFonts w:ascii="Arial" w:hAnsi="Arial"/>
          <w:color w:val="000000" w:themeColor="text1"/>
          <w:sz w:val="20"/>
          <w:szCs w:val="20"/>
        </w:rPr>
        <w:t>ữ</w:t>
      </w:r>
      <w:r w:rsidRPr="00667D4A">
        <w:rPr>
          <w:rFonts w:ascii="Arial" w:hAnsi="Arial"/>
          <w:color w:val="000000" w:themeColor="text1"/>
          <w:sz w:val="20"/>
          <w:szCs w:val="20"/>
        </w:rPr>
        <w:t>u h</w:t>
      </w:r>
      <w:r w:rsidRPr="00667D4A">
        <w:rPr>
          <w:rFonts w:ascii="Arial" w:hAnsi="Arial"/>
          <w:color w:val="000000" w:themeColor="text1"/>
          <w:sz w:val="20"/>
          <w:szCs w:val="20"/>
        </w:rPr>
        <w:t>ạ</w:t>
      </w:r>
      <w:r w:rsidRPr="00667D4A">
        <w:rPr>
          <w:rFonts w:ascii="Arial" w:hAnsi="Arial"/>
          <w:color w:val="000000" w:themeColor="text1"/>
          <w:sz w:val="20"/>
          <w:szCs w:val="20"/>
        </w:rPr>
        <w:t>n m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t thành viên X</w:t>
      </w:r>
      <w:r w:rsidRPr="00667D4A">
        <w:rPr>
          <w:rFonts w:ascii="Arial" w:hAnsi="Arial"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đi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n toán Vi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t Nam, cơ quan và t</w:t>
      </w:r>
      <w:r w:rsidRPr="00667D4A">
        <w:rPr>
          <w:rFonts w:ascii="Arial" w:hAnsi="Arial"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ch</w:t>
      </w:r>
      <w:r w:rsidRPr="00667D4A">
        <w:rPr>
          <w:rFonts w:ascii="Arial" w:hAnsi="Arial"/>
          <w:color w:val="000000" w:themeColor="text1"/>
          <w:sz w:val="20"/>
          <w:szCs w:val="20"/>
        </w:rPr>
        <w:t>ứ</w:t>
      </w:r>
      <w:r w:rsidRPr="00667D4A">
        <w:rPr>
          <w:rFonts w:ascii="Arial" w:hAnsi="Arial"/>
          <w:color w:val="000000" w:themeColor="text1"/>
          <w:sz w:val="20"/>
          <w:szCs w:val="20"/>
        </w:rPr>
        <w:t>c khác có liên quan có trách nhi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m t</w:t>
      </w:r>
      <w:r w:rsidRPr="00667D4A">
        <w:rPr>
          <w:rFonts w:ascii="Arial" w:hAnsi="Arial"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ch</w:t>
      </w:r>
      <w:r w:rsidRPr="00667D4A">
        <w:rPr>
          <w:rFonts w:ascii="Arial" w:hAnsi="Arial"/>
          <w:color w:val="000000" w:themeColor="text1"/>
          <w:sz w:val="20"/>
          <w:szCs w:val="20"/>
        </w:rPr>
        <w:t>ứ</w:t>
      </w:r>
      <w:r w:rsidRPr="00667D4A">
        <w:rPr>
          <w:rFonts w:ascii="Arial" w:hAnsi="Arial"/>
          <w:color w:val="000000" w:themeColor="text1"/>
          <w:sz w:val="20"/>
          <w:szCs w:val="20"/>
        </w:rPr>
        <w:t>c th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hi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n Thông tư này</w:t>
      </w:r>
    </w:p>
    <w:p w14:paraId="01E4829A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b/>
          <w:color w:val="000000" w:themeColor="text1"/>
          <w:sz w:val="20"/>
          <w:szCs w:val="20"/>
        </w:rPr>
        <w:t>Đi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u 3. Đi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u kho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ả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 thi hà</w:t>
      </w:r>
      <w:r w:rsidRPr="00667D4A">
        <w:rPr>
          <w:rFonts w:ascii="Arial" w:hAnsi="Arial"/>
          <w:b/>
          <w:color w:val="000000" w:themeColor="text1"/>
          <w:sz w:val="20"/>
          <w:szCs w:val="20"/>
        </w:rPr>
        <w:t>nh</w:t>
      </w:r>
    </w:p>
    <w:p w14:paraId="3672FB47" w14:textId="77777777" w:rsidR="004E5D2B" w:rsidRPr="00667D4A" w:rsidRDefault="000970E5" w:rsidP="003877CF">
      <w:pP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667D4A">
        <w:rPr>
          <w:rFonts w:ascii="Arial" w:hAnsi="Arial"/>
          <w:color w:val="000000" w:themeColor="text1"/>
          <w:sz w:val="20"/>
          <w:szCs w:val="20"/>
        </w:rPr>
        <w:t>1. Thông tư này có hi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u l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k</w:t>
      </w:r>
      <w:r w:rsidRPr="00667D4A">
        <w:rPr>
          <w:rFonts w:ascii="Arial" w:hAnsi="Arial"/>
          <w:color w:val="000000" w:themeColor="text1"/>
          <w:sz w:val="20"/>
          <w:szCs w:val="20"/>
        </w:rPr>
        <w:t>ể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</w:t>
      </w:r>
      <w:r w:rsidRPr="00667D4A">
        <w:rPr>
          <w:rFonts w:ascii="Arial" w:hAnsi="Arial"/>
          <w:color w:val="000000" w:themeColor="text1"/>
          <w:sz w:val="20"/>
          <w:szCs w:val="20"/>
        </w:rPr>
        <w:t>ừ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ngày 01 tháng 7 năm 2025.</w:t>
      </w:r>
    </w:p>
    <w:p w14:paraId="741EA883" w14:textId="77777777" w:rsidR="004E5D2B" w:rsidRPr="0024058B" w:rsidRDefault="000970E5" w:rsidP="003877C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color w:val="000000" w:themeColor="text1"/>
          <w:sz w:val="20"/>
          <w:szCs w:val="20"/>
        </w:rPr>
      </w:pPr>
      <w:r w:rsidRPr="00667D4A">
        <w:rPr>
          <w:rFonts w:ascii="Arial" w:hAnsi="Arial"/>
          <w:color w:val="000000" w:themeColor="text1"/>
          <w:sz w:val="20"/>
          <w:szCs w:val="20"/>
        </w:rPr>
        <w:t>2. Công ty trách nhi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m h</w:t>
      </w:r>
      <w:r w:rsidRPr="00667D4A">
        <w:rPr>
          <w:rFonts w:ascii="Arial" w:hAnsi="Arial"/>
          <w:color w:val="000000" w:themeColor="text1"/>
          <w:sz w:val="20"/>
          <w:szCs w:val="20"/>
        </w:rPr>
        <w:t>ữ</w:t>
      </w:r>
      <w:r w:rsidRPr="00667D4A">
        <w:rPr>
          <w:rFonts w:ascii="Arial" w:hAnsi="Arial"/>
          <w:color w:val="000000" w:themeColor="text1"/>
          <w:sz w:val="20"/>
          <w:szCs w:val="20"/>
        </w:rPr>
        <w:t>u h</w:t>
      </w:r>
      <w:r w:rsidRPr="00667D4A">
        <w:rPr>
          <w:rFonts w:ascii="Arial" w:hAnsi="Arial"/>
          <w:color w:val="000000" w:themeColor="text1"/>
          <w:sz w:val="20"/>
          <w:szCs w:val="20"/>
        </w:rPr>
        <w:t>ạ</w:t>
      </w:r>
      <w:r w:rsidRPr="00667D4A">
        <w:rPr>
          <w:rFonts w:ascii="Arial" w:hAnsi="Arial"/>
          <w:color w:val="000000" w:themeColor="text1"/>
          <w:sz w:val="20"/>
          <w:szCs w:val="20"/>
        </w:rPr>
        <w:t>n m</w:t>
      </w:r>
      <w:r w:rsidRPr="00667D4A">
        <w:rPr>
          <w:rFonts w:ascii="Arial" w:hAnsi="Arial"/>
          <w:color w:val="000000" w:themeColor="text1"/>
          <w:sz w:val="20"/>
          <w:szCs w:val="20"/>
        </w:rPr>
        <w:t>ộ</w:t>
      </w:r>
      <w:r w:rsidRPr="00667D4A">
        <w:rPr>
          <w:rFonts w:ascii="Arial" w:hAnsi="Arial"/>
          <w:color w:val="000000" w:themeColor="text1"/>
          <w:sz w:val="20"/>
          <w:szCs w:val="20"/>
        </w:rPr>
        <w:t>t thành viên x</w:t>
      </w:r>
      <w:r w:rsidRPr="00667D4A">
        <w:rPr>
          <w:rFonts w:ascii="Arial" w:hAnsi="Arial"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ki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n thi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t Đ</w:t>
      </w:r>
      <w:r w:rsidRPr="00667D4A">
        <w:rPr>
          <w:rFonts w:ascii="Arial" w:hAnsi="Arial"/>
          <w:color w:val="000000" w:themeColor="text1"/>
          <w:sz w:val="20"/>
          <w:szCs w:val="20"/>
        </w:rPr>
        <w:t>ắ</w:t>
      </w:r>
      <w:r w:rsidRPr="00667D4A">
        <w:rPr>
          <w:rFonts w:ascii="Arial" w:hAnsi="Arial"/>
          <w:color w:val="000000" w:themeColor="text1"/>
          <w:sz w:val="20"/>
          <w:szCs w:val="20"/>
        </w:rPr>
        <w:t>k Nông th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hi</w:t>
      </w:r>
      <w:r w:rsidRPr="00667D4A">
        <w:rPr>
          <w:rFonts w:ascii="Arial" w:hAnsi="Arial"/>
          <w:color w:val="000000" w:themeColor="text1"/>
          <w:sz w:val="20"/>
          <w:szCs w:val="20"/>
        </w:rPr>
        <w:t>ệ</w:t>
      </w:r>
      <w:r w:rsidRPr="00667D4A">
        <w:rPr>
          <w:rFonts w:ascii="Arial" w:hAnsi="Arial"/>
          <w:color w:val="000000" w:themeColor="text1"/>
          <w:sz w:val="20"/>
          <w:szCs w:val="20"/>
        </w:rPr>
        <w:t>n kinh doanh x</w:t>
      </w:r>
      <w:r w:rsidRPr="00667D4A">
        <w:rPr>
          <w:rFonts w:ascii="Arial" w:hAnsi="Arial"/>
          <w:color w:val="000000" w:themeColor="text1"/>
          <w:sz w:val="20"/>
          <w:szCs w:val="20"/>
        </w:rPr>
        <w:t>ổ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s</w:t>
      </w:r>
      <w:r w:rsidRPr="00667D4A">
        <w:rPr>
          <w:rFonts w:ascii="Arial" w:hAnsi="Arial"/>
          <w:color w:val="000000" w:themeColor="text1"/>
          <w:sz w:val="20"/>
          <w:szCs w:val="20"/>
        </w:rPr>
        <w:t>ố</w:t>
      </w:r>
      <w:r w:rsidRPr="00667D4A">
        <w:rPr>
          <w:rFonts w:ascii="Arial" w:hAnsi="Arial"/>
          <w:color w:val="000000" w:themeColor="text1"/>
          <w:sz w:val="20"/>
          <w:szCs w:val="20"/>
        </w:rPr>
        <w:t xml:space="preserve"> t</w:t>
      </w:r>
      <w:r w:rsidRPr="00667D4A">
        <w:rPr>
          <w:rFonts w:ascii="Arial" w:hAnsi="Arial"/>
          <w:color w:val="000000" w:themeColor="text1"/>
          <w:sz w:val="20"/>
          <w:szCs w:val="20"/>
        </w:rPr>
        <w:t>ạ</w:t>
      </w:r>
      <w:r w:rsidRPr="00667D4A">
        <w:rPr>
          <w:rFonts w:ascii="Arial" w:hAnsi="Arial"/>
          <w:color w:val="000000" w:themeColor="text1"/>
          <w:sz w:val="20"/>
          <w:szCs w:val="20"/>
        </w:rPr>
        <w:t>i khu v</w:t>
      </w:r>
      <w:r w:rsidRPr="00667D4A">
        <w:rPr>
          <w:rFonts w:ascii="Arial" w:hAnsi="Arial"/>
          <w:color w:val="000000" w:themeColor="text1"/>
          <w:sz w:val="20"/>
          <w:szCs w:val="20"/>
        </w:rPr>
        <w:t>ự</w:t>
      </w:r>
      <w:r w:rsidRPr="00667D4A">
        <w:rPr>
          <w:rFonts w:ascii="Arial" w:hAnsi="Arial"/>
          <w:color w:val="000000" w:themeColor="text1"/>
          <w:sz w:val="20"/>
          <w:szCs w:val="20"/>
        </w:rPr>
        <w:t>c mi</w:t>
      </w:r>
      <w:r w:rsidRPr="00667D4A">
        <w:rPr>
          <w:rFonts w:ascii="Arial" w:hAnsi="Arial"/>
          <w:color w:val="000000" w:themeColor="text1"/>
          <w:sz w:val="20"/>
          <w:szCs w:val="20"/>
        </w:rPr>
        <w:t>ề</w:t>
      </w:r>
      <w:r w:rsidRPr="00667D4A">
        <w:rPr>
          <w:rFonts w:ascii="Arial" w:hAnsi="Arial"/>
          <w:color w:val="000000" w:themeColor="text1"/>
          <w:sz w:val="20"/>
          <w:szCs w:val="20"/>
        </w:rPr>
        <w:t>n Trung đ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n h</w:t>
      </w:r>
      <w:r w:rsidRPr="00667D4A">
        <w:rPr>
          <w:rFonts w:ascii="Arial" w:hAnsi="Arial"/>
          <w:color w:val="000000" w:themeColor="text1"/>
          <w:sz w:val="20"/>
          <w:szCs w:val="20"/>
        </w:rPr>
        <w:t>ế</w:t>
      </w:r>
      <w:r w:rsidRPr="00667D4A">
        <w:rPr>
          <w:rFonts w:ascii="Arial" w:hAnsi="Arial"/>
          <w:color w:val="000000" w:themeColor="text1"/>
          <w:sz w:val="20"/>
          <w:szCs w:val="20"/>
        </w:rPr>
        <w:t>t ngày 31/12/2025./.</w:t>
      </w:r>
    </w:p>
    <w:p w14:paraId="2B7AB0D3" w14:textId="77777777" w:rsidR="00295BBF" w:rsidRPr="0024058B" w:rsidRDefault="00295BBF" w:rsidP="003877CF">
      <w:pPr>
        <w:adjustRightInd w:val="0"/>
        <w:snapToGrid w:val="0"/>
        <w:spacing w:after="0"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468"/>
      </w:tblGrid>
      <w:tr w:rsidR="00667D4A" w:rsidRPr="00667D4A" w14:paraId="6F88ED9C" w14:textId="77777777" w:rsidTr="00CA6198">
        <w:tc>
          <w:tcPr>
            <w:tcW w:w="2525" w:type="pct"/>
          </w:tcPr>
          <w:p w14:paraId="534C3711" w14:textId="58412C61" w:rsidR="003877CF" w:rsidRPr="0024058B" w:rsidRDefault="003877CF" w:rsidP="003877CF">
            <w:pPr>
              <w:adjustRightInd w:val="0"/>
              <w:snapToGrid w:val="0"/>
              <w:rPr>
                <w:color w:val="000000" w:themeColor="text1"/>
                <w:sz w:val="20"/>
                <w:szCs w:val="20"/>
              </w:rPr>
            </w:pPr>
            <w:r w:rsidRPr="00667D4A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24058B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Văn phòng Trung ương Đảng và các Ban của Đảng;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 xml:space="preserve">- Viện Kiểm </w:t>
            </w:r>
            <w:bookmarkStart w:id="0" w:name="_GoBack"/>
            <w:bookmarkEnd w:id="0"/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sát nhân dân tối cao;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lastRenderedPageBreak/>
              <w:t xml:space="preserve">- Tòa án nhân dân tối cao; 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HĐND, UBND các tỉnh, TP trực thuộc Trung ương;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Cơ quan Trung ương của các đoàn thể;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Sở Tài chính các tỉnh, thành phố trực thuộc TW;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Các công ty xổ số kiến thiết;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>- Công ty TNHH MTV xổ số điện toán Việt Nam;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br/>
              <w:t xml:space="preserve">- Cục Kiểm tra văn bản và </w:t>
            </w:r>
            <w:r w:rsidRPr="0024058B">
              <w:rPr>
                <w:rFonts w:ascii="Arial" w:hAnsi="Arial"/>
                <w:color w:val="000000" w:themeColor="text1"/>
                <w:sz w:val="20"/>
                <w:szCs w:val="20"/>
              </w:rPr>
              <w:t>Q</w:t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LXLVPHC (Bộ Tư pháp);</w:t>
            </w:r>
            <w:r w:rsidRPr="0024058B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- Công báo;</w:t>
            </w:r>
            <w:r w:rsidRPr="0024058B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- Cổng TTĐT Chính phủ;</w:t>
            </w:r>
            <w:r w:rsidRPr="0024058B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- Cổng TTĐT Bộ Tài chính;</w:t>
            </w:r>
            <w:r w:rsidRPr="0024058B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- Các đơn vị thuộc Bộ Tài chính;</w:t>
            </w:r>
            <w:r w:rsidRPr="0024058B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  <w:r w:rsidRPr="00667D4A">
              <w:rPr>
                <w:rFonts w:ascii="Arial" w:hAnsi="Arial"/>
                <w:color w:val="000000" w:themeColor="text1"/>
                <w:sz w:val="20"/>
                <w:szCs w:val="20"/>
              </w:rPr>
              <w:t>- Lưu: VT, ĐCTC (450 b).</w:t>
            </w:r>
          </w:p>
        </w:tc>
        <w:tc>
          <w:tcPr>
            <w:tcW w:w="2475" w:type="pct"/>
          </w:tcPr>
          <w:p w14:paraId="2DE97060" w14:textId="0F42C850" w:rsidR="003877CF" w:rsidRPr="0024058B" w:rsidRDefault="003877CF" w:rsidP="003877CF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KT. BỘ TRƯỞNG</w:t>
            </w: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br/>
              <w:t>THỨ TRƯỞNG</w:t>
            </w: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4058B">
              <w:rPr>
                <w:b/>
                <w:bCs/>
                <w:color w:val="000000" w:themeColor="text1"/>
                <w:sz w:val="20"/>
                <w:szCs w:val="20"/>
              </w:rPr>
              <w:br/>
              <w:t>Nguyễn Đức Chi</w:t>
            </w:r>
          </w:p>
        </w:tc>
      </w:tr>
    </w:tbl>
    <w:p w14:paraId="539A0EA9" w14:textId="77777777" w:rsidR="003877CF" w:rsidRPr="0024058B" w:rsidRDefault="003877CF" w:rsidP="003877CF">
      <w:pPr>
        <w:adjustRightInd w:val="0"/>
        <w:snapToGrid w:val="0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BA4DC62" w14:textId="78128D4C" w:rsidR="004E5D2B" w:rsidRPr="0024058B" w:rsidRDefault="004E5D2B" w:rsidP="003877CF">
      <w:pPr>
        <w:adjustRightInd w:val="0"/>
        <w:snapToGrid w:val="0"/>
        <w:spacing w:after="0" w:line="240" w:lineRule="auto"/>
        <w:rPr>
          <w:rFonts w:ascii="Arial" w:hAnsi="Arial"/>
          <w:color w:val="000000" w:themeColor="text1"/>
          <w:sz w:val="20"/>
          <w:szCs w:val="20"/>
        </w:rPr>
      </w:pPr>
    </w:p>
    <w:p w14:paraId="2603DC32" w14:textId="77777777" w:rsidR="003877CF" w:rsidRPr="0024058B" w:rsidRDefault="003877CF" w:rsidP="003877CF">
      <w:pPr>
        <w:adjustRightInd w:val="0"/>
        <w:snapToGrid w:val="0"/>
        <w:spacing w:after="0" w:line="240" w:lineRule="auto"/>
        <w:rPr>
          <w:rFonts w:ascii="Arial" w:hAnsi="Arial"/>
          <w:color w:val="000000" w:themeColor="text1"/>
          <w:sz w:val="20"/>
          <w:szCs w:val="20"/>
        </w:rPr>
      </w:pPr>
    </w:p>
    <w:p w14:paraId="4AB00629" w14:textId="77777777" w:rsidR="003877CF" w:rsidRPr="0024058B" w:rsidRDefault="003877CF" w:rsidP="003877CF">
      <w:pPr>
        <w:adjustRightInd w:val="0"/>
        <w:snapToGrid w:val="0"/>
        <w:spacing w:after="0" w:line="240" w:lineRule="auto"/>
        <w:rPr>
          <w:color w:val="000000" w:themeColor="text1"/>
          <w:sz w:val="20"/>
          <w:szCs w:val="20"/>
        </w:rPr>
      </w:pPr>
    </w:p>
    <w:sectPr w:rsidR="003877CF" w:rsidRPr="0024058B" w:rsidSect="003877C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B07D" w14:textId="77777777" w:rsidR="000970E5" w:rsidRDefault="000970E5">
      <w:pPr>
        <w:spacing w:after="0" w:line="240" w:lineRule="auto"/>
      </w:pPr>
      <w:r>
        <w:separator/>
      </w:r>
    </w:p>
  </w:endnote>
  <w:endnote w:type="continuationSeparator" w:id="0">
    <w:p w14:paraId="7C21DF2A" w14:textId="77777777" w:rsidR="000970E5" w:rsidRDefault="0009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F76D4" w14:textId="77777777" w:rsidR="000970E5" w:rsidRDefault="000970E5">
      <w:pPr>
        <w:spacing w:after="0" w:line="240" w:lineRule="auto"/>
      </w:pPr>
      <w:r>
        <w:separator/>
      </w:r>
    </w:p>
  </w:footnote>
  <w:footnote w:type="continuationSeparator" w:id="0">
    <w:p w14:paraId="144112C8" w14:textId="77777777" w:rsidR="000970E5" w:rsidRDefault="00097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2B"/>
    <w:rsid w:val="000970E5"/>
    <w:rsid w:val="0024058B"/>
    <w:rsid w:val="00290C9A"/>
    <w:rsid w:val="00295BBF"/>
    <w:rsid w:val="003877CF"/>
    <w:rsid w:val="004942F1"/>
    <w:rsid w:val="004C43E3"/>
    <w:rsid w:val="004E5D2B"/>
    <w:rsid w:val="00667D4A"/>
    <w:rsid w:val="007503F6"/>
    <w:rsid w:val="00B519C1"/>
    <w:rsid w:val="00CA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9041"/>
  <w15:docId w15:val="{4222F2B5-3A34-4209-A69D-4505A9B9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CF"/>
  </w:style>
  <w:style w:type="paragraph" w:styleId="Footer">
    <w:name w:val="footer"/>
    <w:basedOn w:val="Normal"/>
    <w:link w:val="FooterChar"/>
    <w:uiPriority w:val="99"/>
    <w:unhideWhenUsed/>
    <w:rsid w:val="0038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7</cp:revision>
  <dcterms:created xsi:type="dcterms:W3CDTF">2025-07-03T09:42:00Z</dcterms:created>
  <dcterms:modified xsi:type="dcterms:W3CDTF">2025-07-04T02:51:00Z</dcterms:modified>
</cp:coreProperties>
</file>