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1"/>
        <w:gridCol w:w="6099"/>
      </w:tblGrid>
      <w:tr w:rsidR="007F3B93" w:rsidRPr="007F3B93" w:rsidTr="007F7FED">
        <w:trPr>
          <w:trHeight w:val="920"/>
          <w:tblCellSpacing w:w="0" w:type="dxa"/>
        </w:trPr>
        <w:tc>
          <w:tcPr>
            <w:tcW w:w="1742" w:type="pct"/>
            <w:shd w:val="clear" w:color="auto" w:fill="FFFFFF"/>
            <w:tcMar>
              <w:top w:w="0" w:type="dxa"/>
              <w:left w:w="108" w:type="dxa"/>
              <w:bottom w:w="0" w:type="dxa"/>
              <w:right w:w="108" w:type="dxa"/>
            </w:tcMar>
            <w:hideMark/>
          </w:tcPr>
          <w:p w:rsidR="007F3B93" w:rsidRPr="007F3B93" w:rsidRDefault="007F3B93" w:rsidP="007F3B93">
            <w:pPr>
              <w:spacing w:after="0" w:line="240" w:lineRule="auto"/>
              <w:jc w:val="center"/>
              <w:rPr>
                <w:rFonts w:ascii="Arial" w:eastAsia="Times New Roman" w:hAnsi="Arial" w:cs="Arial"/>
                <w:color w:val="000000"/>
                <w:sz w:val="20"/>
                <w:szCs w:val="20"/>
                <w:vertAlign w:val="superscript"/>
              </w:rPr>
            </w:pPr>
            <w:r w:rsidRPr="007F3B93">
              <w:rPr>
                <w:rFonts w:ascii="Arial" w:eastAsia="Times New Roman" w:hAnsi="Arial" w:cs="Arial"/>
                <w:b/>
                <w:bCs/>
                <w:color w:val="000000"/>
                <w:sz w:val="20"/>
                <w:szCs w:val="20"/>
              </w:rPr>
              <w:t>CHÍNH PHỦ</w:t>
            </w:r>
            <w:r w:rsidRPr="007F3B93">
              <w:rPr>
                <w:rFonts w:ascii="Arial" w:eastAsia="Times New Roman" w:hAnsi="Arial" w:cs="Arial"/>
                <w:b/>
                <w:bCs/>
                <w:color w:val="000000"/>
                <w:sz w:val="20"/>
                <w:szCs w:val="20"/>
              </w:rPr>
              <w:br/>
            </w:r>
            <w:r>
              <w:rPr>
                <w:rFonts w:ascii="Arial" w:eastAsia="Times New Roman" w:hAnsi="Arial" w:cs="Arial"/>
                <w:b/>
                <w:bCs/>
                <w:color w:val="000000"/>
                <w:sz w:val="20"/>
                <w:szCs w:val="20"/>
                <w:vertAlign w:val="superscript"/>
              </w:rPr>
              <w:t>_____________</w:t>
            </w:r>
          </w:p>
          <w:p w:rsidR="007F3B93" w:rsidRPr="007F3B93" w:rsidRDefault="007F3B93" w:rsidP="007F3B93">
            <w:pPr>
              <w:spacing w:after="0" w:line="240" w:lineRule="auto"/>
              <w:jc w:val="center"/>
              <w:rPr>
                <w:rFonts w:ascii="Arial" w:eastAsia="Times New Roman" w:hAnsi="Arial" w:cs="Arial"/>
                <w:color w:val="000000"/>
                <w:sz w:val="20"/>
                <w:szCs w:val="20"/>
              </w:rPr>
            </w:pPr>
            <w:r w:rsidRPr="007F3B93">
              <w:rPr>
                <w:rFonts w:ascii="Arial" w:eastAsia="Times New Roman" w:hAnsi="Arial" w:cs="Arial"/>
                <w:color w:val="000000"/>
                <w:sz w:val="20"/>
                <w:szCs w:val="20"/>
              </w:rPr>
              <w:t>Số: 178/2025/NĐ-CP</w:t>
            </w:r>
          </w:p>
        </w:tc>
        <w:tc>
          <w:tcPr>
            <w:tcW w:w="3258" w:type="pct"/>
            <w:shd w:val="clear" w:color="auto" w:fill="FFFFFF"/>
            <w:tcMar>
              <w:top w:w="0" w:type="dxa"/>
              <w:left w:w="108" w:type="dxa"/>
              <w:bottom w:w="0" w:type="dxa"/>
              <w:right w:w="108" w:type="dxa"/>
            </w:tcMar>
            <w:hideMark/>
          </w:tcPr>
          <w:p w:rsidR="007F3B93" w:rsidRPr="007F3B93" w:rsidRDefault="007F3B93" w:rsidP="007F3B93">
            <w:pPr>
              <w:spacing w:after="0" w:line="240" w:lineRule="auto"/>
              <w:jc w:val="center"/>
              <w:rPr>
                <w:rFonts w:ascii="Arial" w:eastAsia="Times New Roman" w:hAnsi="Arial" w:cs="Arial"/>
                <w:color w:val="000000"/>
                <w:sz w:val="20"/>
                <w:szCs w:val="20"/>
                <w:vertAlign w:val="superscript"/>
              </w:rPr>
            </w:pPr>
            <w:r w:rsidRPr="007F3B93">
              <w:rPr>
                <w:rFonts w:ascii="Arial" w:eastAsia="Times New Roman" w:hAnsi="Arial" w:cs="Arial"/>
                <w:b/>
                <w:bCs/>
                <w:color w:val="000000"/>
                <w:sz w:val="20"/>
                <w:szCs w:val="20"/>
              </w:rPr>
              <w:t>CỘNG HÒA XÃ HỘI CHỦ NGHĨA VIỆT NAM</w:t>
            </w:r>
            <w:r w:rsidRPr="007F3B93">
              <w:rPr>
                <w:rFonts w:ascii="Arial" w:eastAsia="Times New Roman" w:hAnsi="Arial" w:cs="Arial"/>
                <w:b/>
                <w:bCs/>
                <w:color w:val="000000"/>
                <w:sz w:val="20"/>
                <w:szCs w:val="20"/>
              </w:rPr>
              <w:br/>
              <w:t>Độc lập - Tự do - Hạnh phúc</w:t>
            </w:r>
            <w:r w:rsidRPr="007F3B93">
              <w:rPr>
                <w:rFonts w:ascii="Arial" w:eastAsia="Times New Roman" w:hAnsi="Arial" w:cs="Arial"/>
                <w:b/>
                <w:bCs/>
                <w:color w:val="000000"/>
                <w:sz w:val="20"/>
                <w:szCs w:val="20"/>
              </w:rPr>
              <w:br/>
            </w:r>
            <w:r>
              <w:rPr>
                <w:rFonts w:ascii="Arial" w:eastAsia="Times New Roman" w:hAnsi="Arial" w:cs="Arial"/>
                <w:b/>
                <w:bCs/>
                <w:color w:val="000000"/>
                <w:sz w:val="20"/>
                <w:szCs w:val="20"/>
                <w:vertAlign w:val="superscript"/>
              </w:rPr>
              <w:t>_____________</w:t>
            </w:r>
          </w:p>
          <w:p w:rsidR="007F3B93" w:rsidRPr="007F3B93" w:rsidRDefault="007F3B93" w:rsidP="007F3B93">
            <w:pPr>
              <w:spacing w:after="0" w:line="240" w:lineRule="auto"/>
              <w:jc w:val="right"/>
              <w:rPr>
                <w:rFonts w:ascii="Arial" w:eastAsia="Times New Roman" w:hAnsi="Arial" w:cs="Arial"/>
                <w:color w:val="000000"/>
                <w:sz w:val="20"/>
                <w:szCs w:val="20"/>
              </w:rPr>
            </w:pPr>
            <w:r w:rsidRPr="007F3B93">
              <w:rPr>
                <w:rFonts w:ascii="Arial" w:eastAsia="Times New Roman" w:hAnsi="Arial" w:cs="Arial"/>
                <w:i/>
                <w:iCs/>
                <w:color w:val="000000"/>
                <w:sz w:val="20"/>
                <w:szCs w:val="20"/>
              </w:rPr>
              <w:t>Hà Nội, ngày 01 tháng 7 năm 2025</w:t>
            </w:r>
          </w:p>
        </w:tc>
      </w:tr>
    </w:tbl>
    <w:p w:rsidR="007F3B93" w:rsidRPr="007F3B93" w:rsidRDefault="007F3B93" w:rsidP="007F3B93">
      <w:pPr>
        <w:shd w:val="clear" w:color="auto" w:fill="FFFFFF"/>
        <w:spacing w:after="0" w:line="240" w:lineRule="auto"/>
        <w:rPr>
          <w:rFonts w:ascii="Arial" w:eastAsia="Times New Roman" w:hAnsi="Arial" w:cs="Arial"/>
          <w:color w:val="000000"/>
          <w:sz w:val="20"/>
          <w:szCs w:val="20"/>
        </w:rPr>
      </w:pPr>
      <w:r w:rsidRPr="007F3B93">
        <w:rPr>
          <w:rFonts w:ascii="Arial" w:eastAsia="Times New Roman" w:hAnsi="Arial" w:cs="Arial"/>
          <w:i/>
          <w:iCs/>
          <w:color w:val="000000"/>
          <w:sz w:val="20"/>
          <w:szCs w:val="20"/>
        </w:rPr>
        <w:t> </w:t>
      </w:r>
    </w:p>
    <w:p w:rsidR="00AC3538" w:rsidRDefault="00AC3538" w:rsidP="007F3B93">
      <w:pPr>
        <w:shd w:val="clear" w:color="auto" w:fill="FFFFFF"/>
        <w:spacing w:after="0" w:line="240" w:lineRule="auto"/>
        <w:jc w:val="center"/>
        <w:rPr>
          <w:rFonts w:ascii="Arial" w:eastAsia="Times New Roman" w:hAnsi="Arial" w:cs="Arial"/>
          <w:b/>
          <w:bCs/>
          <w:color w:val="000000"/>
          <w:sz w:val="20"/>
          <w:szCs w:val="20"/>
        </w:rPr>
      </w:pPr>
    </w:p>
    <w:p w:rsidR="007F3B93" w:rsidRPr="007F3B93" w:rsidRDefault="007F3B93" w:rsidP="007F3B93">
      <w:pPr>
        <w:shd w:val="clear" w:color="auto" w:fill="FFFFFF"/>
        <w:spacing w:after="0" w:line="240" w:lineRule="auto"/>
        <w:jc w:val="center"/>
        <w:rPr>
          <w:rFonts w:ascii="Arial" w:eastAsia="Times New Roman" w:hAnsi="Arial" w:cs="Arial"/>
          <w:b/>
          <w:color w:val="000000"/>
          <w:sz w:val="20"/>
          <w:szCs w:val="20"/>
        </w:rPr>
      </w:pPr>
      <w:r w:rsidRPr="007F3B93">
        <w:rPr>
          <w:rFonts w:ascii="Arial" w:eastAsia="Times New Roman" w:hAnsi="Arial" w:cs="Arial"/>
          <w:b/>
          <w:bCs/>
          <w:color w:val="000000"/>
          <w:sz w:val="20"/>
          <w:szCs w:val="20"/>
        </w:rPr>
        <w:t>NGHỊ ĐỊNH</w:t>
      </w:r>
    </w:p>
    <w:p w:rsidR="007F3B93" w:rsidRPr="00AC3538" w:rsidRDefault="007F3B93" w:rsidP="007F3B93">
      <w:pPr>
        <w:shd w:val="clear" w:color="auto" w:fill="FFFFFF"/>
        <w:spacing w:after="0" w:line="240" w:lineRule="auto"/>
        <w:jc w:val="center"/>
        <w:rPr>
          <w:rFonts w:ascii="Arial" w:eastAsia="Times New Roman" w:hAnsi="Arial" w:cs="Arial"/>
          <w:b/>
          <w:color w:val="000000"/>
          <w:sz w:val="20"/>
          <w:szCs w:val="20"/>
        </w:rPr>
      </w:pPr>
      <w:r w:rsidRPr="00AC3538">
        <w:rPr>
          <w:rFonts w:ascii="Arial" w:eastAsia="Times New Roman" w:hAnsi="Arial" w:cs="Arial"/>
          <w:b/>
          <w:color w:val="000000"/>
          <w:sz w:val="20"/>
          <w:szCs w:val="20"/>
        </w:rPr>
        <w:t>Quy định chi tiết một số điều của Luật Quy hoạch đô thị và nông thôn</w:t>
      </w:r>
    </w:p>
    <w:p w:rsidR="007F3B93" w:rsidRPr="007F3B93" w:rsidRDefault="007F3B93" w:rsidP="007F3B93">
      <w:pPr>
        <w:shd w:val="clear" w:color="auto" w:fill="FFFFFF"/>
        <w:spacing w:after="0" w:line="240" w:lineRule="auto"/>
        <w:jc w:val="center"/>
        <w:rPr>
          <w:rFonts w:ascii="Arial" w:eastAsia="Times New Roman" w:hAnsi="Arial" w:cs="Arial"/>
          <w:color w:val="000000"/>
          <w:sz w:val="20"/>
          <w:szCs w:val="20"/>
        </w:rPr>
      </w:pP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i/>
          <w:iCs/>
          <w:color w:val="000000"/>
          <w:sz w:val="20"/>
          <w:szCs w:val="20"/>
        </w:rPr>
        <w:t>Căn cứ Luật Tổ chức Chính phủ ngày 18 tháng 02 năm 2025;</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i/>
          <w:iCs/>
          <w:color w:val="000000"/>
          <w:sz w:val="20"/>
          <w:szCs w:val="20"/>
        </w:rPr>
        <w:t>Căn cứ Luật Quy hoạch đô thị và nông thôn ngày 26 tháng 11 năm 2024;</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i/>
          <w:iCs/>
          <w:color w:val="000000"/>
          <w:sz w:val="20"/>
          <w:szCs w:val="20"/>
        </w:rP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i/>
          <w:iCs/>
          <w:color w:val="000000"/>
          <w:sz w:val="20"/>
          <w:szCs w:val="20"/>
        </w:rPr>
        <w:t>Theo đề nghị của Bộ trưởng Bộ Xây dựng;</w:t>
      </w:r>
    </w:p>
    <w:p w:rsidR="007F3B93" w:rsidRPr="007F3B93" w:rsidRDefault="007F3B93" w:rsidP="007F3B93">
      <w:pPr>
        <w:shd w:val="clear" w:color="auto" w:fill="FFFFFF"/>
        <w:spacing w:after="0" w:line="240" w:lineRule="auto"/>
        <w:ind w:firstLine="720"/>
        <w:jc w:val="both"/>
        <w:rPr>
          <w:rFonts w:ascii="Arial" w:eastAsia="Times New Roman" w:hAnsi="Arial" w:cs="Arial"/>
          <w:color w:val="000000"/>
          <w:sz w:val="20"/>
          <w:szCs w:val="20"/>
        </w:rPr>
      </w:pPr>
      <w:r w:rsidRPr="007F3B93">
        <w:rPr>
          <w:rFonts w:ascii="Arial" w:eastAsia="Times New Roman" w:hAnsi="Arial" w:cs="Arial"/>
          <w:i/>
          <w:iCs/>
          <w:color w:val="000000"/>
          <w:sz w:val="20"/>
          <w:szCs w:val="20"/>
        </w:rPr>
        <w:t>Chính phủ ban hành Nghị định quy định chi tiết một số điều của Luật Quy hoạch đô thị và nông thôn.</w:t>
      </w:r>
    </w:p>
    <w:p w:rsidR="007F3B93" w:rsidRDefault="007F3B93" w:rsidP="007F3B93">
      <w:pPr>
        <w:shd w:val="clear" w:color="auto" w:fill="FFFFFF"/>
        <w:spacing w:after="0" w:line="240" w:lineRule="auto"/>
        <w:jc w:val="center"/>
        <w:rPr>
          <w:rFonts w:ascii="Arial" w:eastAsia="Times New Roman" w:hAnsi="Arial" w:cs="Arial"/>
          <w:b/>
          <w:bCs/>
          <w:color w:val="000000"/>
          <w:sz w:val="20"/>
          <w:szCs w:val="20"/>
        </w:rPr>
      </w:pPr>
    </w:p>
    <w:p w:rsidR="007F3B93" w:rsidRPr="007F3B93" w:rsidRDefault="007F3B93" w:rsidP="007F3B93">
      <w:pPr>
        <w:shd w:val="clear" w:color="auto" w:fill="FFFFFF"/>
        <w:spacing w:after="0" w:line="240" w:lineRule="auto"/>
        <w:jc w:val="center"/>
        <w:rPr>
          <w:rFonts w:ascii="Arial" w:eastAsia="Times New Roman" w:hAnsi="Arial" w:cs="Arial"/>
          <w:color w:val="000000"/>
          <w:sz w:val="20"/>
          <w:szCs w:val="20"/>
        </w:rPr>
      </w:pPr>
      <w:r w:rsidRPr="007F3B93">
        <w:rPr>
          <w:rFonts w:ascii="Arial" w:eastAsia="Times New Roman" w:hAnsi="Arial" w:cs="Arial"/>
          <w:b/>
          <w:bCs/>
          <w:color w:val="000000"/>
          <w:sz w:val="20"/>
          <w:szCs w:val="20"/>
        </w:rPr>
        <w:t>Chương I</w:t>
      </w:r>
    </w:p>
    <w:p w:rsidR="007F3B93" w:rsidRDefault="007F3B93" w:rsidP="007F3B93">
      <w:pPr>
        <w:shd w:val="clear" w:color="auto" w:fill="FFFFFF"/>
        <w:spacing w:after="0" w:line="240" w:lineRule="auto"/>
        <w:jc w:val="center"/>
        <w:rPr>
          <w:rFonts w:ascii="Arial" w:eastAsia="Times New Roman" w:hAnsi="Arial" w:cs="Arial"/>
          <w:b/>
          <w:bCs/>
          <w:color w:val="000000"/>
          <w:sz w:val="20"/>
          <w:szCs w:val="20"/>
        </w:rPr>
      </w:pPr>
      <w:r w:rsidRPr="007F3B93">
        <w:rPr>
          <w:rFonts w:ascii="Arial" w:eastAsia="Times New Roman" w:hAnsi="Arial" w:cs="Arial"/>
          <w:b/>
          <w:bCs/>
          <w:color w:val="000000"/>
          <w:sz w:val="20"/>
          <w:szCs w:val="20"/>
        </w:rPr>
        <w:t>QUY ĐỊNH CHUNG</w:t>
      </w:r>
    </w:p>
    <w:p w:rsidR="007F3B93" w:rsidRPr="007F3B93" w:rsidRDefault="007F3B93" w:rsidP="007F3B93">
      <w:pPr>
        <w:shd w:val="clear" w:color="auto" w:fill="FFFFFF"/>
        <w:spacing w:after="0" w:line="240" w:lineRule="auto"/>
        <w:jc w:val="center"/>
        <w:rPr>
          <w:rFonts w:ascii="Arial" w:eastAsia="Times New Roman" w:hAnsi="Arial" w:cs="Arial"/>
          <w:color w:val="000000"/>
          <w:sz w:val="20"/>
          <w:szCs w:val="20"/>
        </w:rPr>
      </w:pP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 Phạm vi điều chỉnh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Nghị định này quy định chi tiết một số điều của Luật Quy hoạch đô thị và nông thôn số 47/2024/QH15, bao gồm:</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Khoản 4 Điều 3 về lập quy hoạch chung đô thị;</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Điểm a khoản 5 Điều 3 về các trường hợp lập quy hoạch phân khu theo yêu cầu quản lý, phát triển trong thành phố trực thuộc trung ương;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Điểm b khoản 5 Điều 3 về các trường hợp lập quy hoạch phân khu theo quy mô diện tích, yêu cầu quản lý, phát triển đối với khu chức năng không phải là khu kinh tế, khu du lịch quốc gia;</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Điểm a khoản 6 Điều 3 về các trường hợp lập quy hoạch chi tiết theo quy mô diện tích, yêu cầu quản lý, phát triển;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Điểm c khoản 2 Điều 8 về trình tự, thủ tục báo cáo, quyết định quy hoạch được thực hiện trong trường hợp có sự mâu thuẫn giữa các quy hoạch đô thị và nông thôn cùng cấp độ;</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e) Khoản 4 Điều 10 về quản lý kinh phí cho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g) Khoản 3 Điều 11 về tiếp nhận, quản lý, sử dụng nguồn lực hỗ trợ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h) Khoản 3 Điều 16 trình tự, thủ tục lập, thẩm định, phê duyệt nhiệm vụ quy hoạch,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i) Điều 18 về điều kiện của tổ chức tư vấn, cá nhân tham gia lập nhiệm vụ quy hoạch,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k) Khoản 5 Điều 19 về thi tuyển, lựa chọn tổ chức tư vấn lập nhiệm vụ quy hoạch,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l) Khoản 4 Điều 25 về thời hạn hoàn thành việc lập, phê duyệt quy hoạch phân khu;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m) Khoản 4 Điều 49 về quy định quản lý theo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n) Khoản 3 Điều 54 về xây dựng, quản lý, vận hành, khai thác cơ sở dữ liệu quy hoạch đô thị và nông thôn;</w:t>
      </w:r>
      <w:bookmarkStart w:id="0" w:name="_GoBack"/>
      <w:bookmarkEnd w:id="0"/>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o) Khoản 8 Điều 59 về việc tiếp tục thực hiện lập, thẩm định, phê duyệt, rà soát, điều chỉnh quy hoạch phân khu theo quy định của pháp luật về quy hoạch đô thị, pháp luật xây dựng đối với đô thị loại III, đô thị loại IV, khu kinh tế, khu du lịch quốc gia đã có quy hoạch chung được phê duyệt trước ngày Luật Quy hoạch đô thị và nông thôn có hiệu lực thi hành.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 Đối tượng áp dụng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Nghị định này áp dụng đối với cơ quan quản lý nhà nước, tổ chức, cá nhân trong nước, tổ chức, cá nhân nước ngoài có liên quan đến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3. Giải thích từ ngữ</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Trong Nghị định này, các từ ngữ dưới đây được hiểu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tổ chức lập quy hoạch là cơ quan, tổ chức có trách nhiệm lập nhiệm vụ quy hoạch, quy hoạch đô thị và nông thôn theo quy định tại Điều 17 Luật Quy hoạch đô thị và nông thôn, phù hợp với tổ chức chính quyền địa phương 02 cấp.</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Cơ quan thẩm định quy hoạch là cơ quan thẩm định nhiệm vụ quy hoạch, quy hoạch đô thị và nông thôn theo quy định tại Điều 38 Luật Quy hoạch đô thị và nông thôn, phù hợp với tổ chức chính quyền địa phương 02 cấp.</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Cấp phê duyệt quy hoạch là cơ quan, tổ chức, cá nhân có thẩm quyền phê duyệt nhiệm vụ quy hoạch, quy hoạch đô thị và nông thôn theo quy định tại Điều 41 Luật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Thời gian lập nhiệm vụ quy hoạch là khoảng thời gian tính từ ngày bắt đầu lập nhiệm vụ quy hoạch đến khi trình cơ quan thẩm định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Thời gian lập quy hoạch là khoảng thời gian tính từ ngày lựa chọn được tổ chức tư vấn lập quy hoạch đến khi trình cơ quan thẩm định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4. Thời gian lập nhiệm vụ quy hoạch,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Thời gian lập nhiệm vụ quy hoạch, quy hoạch chung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Đối với quy hoạch chung đô thị thuộc thẩm quyền phê duyệt của Thủ tướng Chính phủ, thời gian lập nhiệm vụ quy hoạch không quá 03 tháng; thời gian lập quy hoạch không quá 15 tháng;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Đối với quy hoạch chung đô thị không thuộc trường hợp quy định tại điểm a khoản 1 Điều này và quy hoạch chung khu kinh tế, quy hoạch chung khu du lịch quốc gia, thời gian lập nhiệm vụ quy hoạch không quá 02 tháng; thời gian lập quy hoạch không quá 12 tháng;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Đối với quy hoạch chung xã, quy hoạch chung đặc khu không định hướng phát triển đô thị, thời gian lập nhiệm vụ quy hoạch không quá 01 tháng; thời gian lập quy hoạch không quá 09 tháng.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Đối với quy hoạch phân khu, thời gian lập nhiệm vụ quy hoạch không quá 01 tháng; thời gian lập quy hoạch không quá 09 tháng.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Đối với quy hoạch chi tiết, thời gian lập nhiệm vụ quy hoạch không quá 01 tháng; thời gian lập quy hoạch không quá 06 tháng.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Đối với quy hoạch không gian ngầm, quy hoạch chuyên ngành hạ tầng kỹ thuật của thành phố trực thuộc trung ương, thời gian lập nhiệm vụ quy hoạch không quá 01 tháng; thời gian lập quy hoạch không quá 09 tháng.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Trước khi lập nhiệm vụ quy hoạch và quy hoạch đô thị và nông thôn, cơ quan tổ chức lập quy hoạch có trách nhiệm xây dựng kế hoạch, tiến độ cụ thể bao gồm thời gian lựa chọn tổ chức tư vấn, báo cáo, xin ý kiến về quy hoạch và thời gian lập nhiệm vụ quy hoạch, lập quy hoạch đô thị và nông thôn bảo đảm đáp ứng yêu cầu quản lý, phát triển và tính khả thi. Việc điều chỉnh kế hoạch, tiến độ phải bảo đảm luận cứ đầy đủ lý do, sự cần thiết và các yếu tố tác động đến việc tổ chức lập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 xml:space="preserve">6. Đối với các quy hoạch phân khu được lập để cụ thể hóa nội dung quy hoạch chung, cơ quan có trách nhiệm tổ chức lập và ban hành kế hoạch thực hiện quy hoạch chung phải xác định rõ mốc thời gian hoàn thành các quy hoạch phân khu trong nội dung kế hoạch thực hiện quy hoạch chung, bảo đảm việc </w:t>
      </w:r>
      <w:r w:rsidRPr="007F3B93">
        <w:rPr>
          <w:rFonts w:ascii="Arial" w:eastAsia="Times New Roman" w:hAnsi="Arial" w:cs="Arial"/>
          <w:color w:val="000000"/>
          <w:sz w:val="20"/>
          <w:szCs w:val="20"/>
        </w:rPr>
        <w:lastRenderedPageBreak/>
        <w:t>hoàn thành lập, phê duyệt quy hoạch phân khu đáp ứng yêu cầu đầu tư, phát triển và tính khả thi trong tổ chức thực hiện.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5. Điều kiện của tổ chức tư vấn, cá nhân tham gia lập nhiệm vụ quy hoạch,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Cá nhân tham gia lập nhiệm vụ quy hoạch, quy hoạch đô thị và nông thôn phải có văn bằng, chứng chỉ đào tạo phù hợp với công việc đảm nhận do các cơ sở đào tạo hợp pháp cấp.</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Những chức danh, cá nhân tham gia hoạt động quy hoạch đô thị và nông thôn phải có chứng chỉ hành nghề hoạt động xây dựng theo quy định của pháp luật về xây dựng bao gồm chủ nhiệm lập nhiệm vụ quy hoạch, chủ nhiệm lập quy hoạch, chủ trì lĩnh vực chuyên môn lập quy hoạch đô thị và nông thôn. Chứng chỉ hành nghề của cá nhân được phân thành hạng I, hạng II, hạng III và được cấp theo quy định của pháp luật về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Cá nhân làm chủ trì thiết kế kiến trúc và thiết kế kiến trúc cảnh quan, thiết kế đô thị riêng trong quy hoạch đô thị và nông thôn phải có văn bằng chuyên môn phù hợp và được cấp chứng chỉ hành nghề quy hoạch đô thị và nông thôn hoặc được cấp chứng chỉ hành nghề kiến trúc theo quy định của pháp luật về kiến trúc.</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Tổ chức tư vấn tham gia lập quy hoạch đô thị và nông thôn phải có chứng chỉ năng lực hoạt động xây dựng theo quy định của pháp luật về xây dựng bao gồm tư vấn lập nhiệm vụ quy hoạch, tư vấn lập quy hoạch. Chứng chỉ năng lực của tổ chức tư vấn được phân thành hạng I, hạng II, hạng III và được cấp theo quy định của pháp luật về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Tổ chức tư vấn nước ngoài tham gia lập nhiệm vụ quy hoạch, quy hoạch đô thị và nông thôn phải tuân thủ quy định của pháp luật này, pháp luật về đấu thầu và được cơ quan quản lý nhà nước về xây dựng cấp giấy phép hoạt động theo pháp luật về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6. Quy định về trình tự, thủ tục báo cáo, quyết định quy hoạch được thực hiện khi có sự mâu thuẫn giữa các quy hoạch đô thị và nông thôn cùng cấp độ để bảo đảm sự phù hợp của dự án đầu tư xây dựng với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Trường hợp quy hoạch đô thị và nông thôn đã được phê duyệt có cùng cấp độ, cùng cấp thẩm quyền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Cơ quan tổ chức lập quy hoạch hoặc nhà đầu tư thực hiện dự án đầu tư xây dựng báo cáo cấp phê duyệt quy hoạch về tình hình thực hiện dự án đầu tư xây dựng theo quy hoạch đô thị và nông thôn đã được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Yêu cầu về nội dung báo cáo: Cơ sở khoa học, cơ sở thực tiễn và cơ sở pháp lý liên quan đến việc triển khai thực hiện dự án đầu tư xây dựng; xác định nội dung mâu thuẫn giữa các quy hoạch cần xem xét; kiến nghị nội dung của quy hoạch hoặc quy hoạch được thực hiện; đề xuất biện pháp khắc phục các vấn đề mới nảy sinh; đánh giá tác động, hiệu quả của việc thực hiện theo phương án đề xuất, bảo đảm tuân thủ quy chuẩn kỹ thuật quốc gia về quy hoạch đô thị và nông thôn và các quy chuẩn, tiêu chuẩn liên quan;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Cấp phê duyệt quy hoạch căn cứ ý kiến của cơ quan thẩm định quy hoạch để xem xét, chấp thuận bằng văn bản về nội dung quy hoạch đã được phê duyệt sẽ được thực hiện.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Trường hợp quy hoạch đô thị và nông thôn đã được phê duyệt có cùng cấp độ, khác cấp thẩm quyền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Cơ quan tổ chức lập quy hoạch hoặc nhà đầu tư thực hiện dự án đầu tư xây dựng có văn bản báo cáo cấp phê duyệt quy hoạch thấp hơn về tình hình thực hiện dự án đầu tư xây dựng theo quy hoạch đô thị và nông thôn đã được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Yêu cầu về nội dung báo cáo: Cơ sở khoa học, cơ sở thực tiễn và cơ sở pháp lý liên quan đến việc triển khai thực hiện dự án đầu tư xây dựng; xác định nội dung mâu thuẫn giữa các quy hoạch cần xem xét; kiến nghị nội dung của quy hoạch hoặc quy hoạch được thực hiện; đề xuất biện pháp khắc phục các vấn đề mới nảy sinh; đánh giá tác động, hiệu quả của việc thực hiện theo phương án đề xuất, bảo đảm tuân thủ quy chuẩn kỹ thuật quốc gia về quy hoạch đô thị và nông thôn và các quy chuẩn, tiêu chuẩn liên quan;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c) Cấp phê duyệt quy hoạch cao hơn căn cứ ý kiến của cấp phê duyệt quy hoạch thấp hơn, ý kiến của cơ quan thẩm định các quy hoạch để xem xét, quyết định quy hoạch được thực hiện. Văn bản của cấp phê duyệt quy hoạch quyết định quy hoạch được thực hiện là cơ sở pháp lý để triển khai các bước tiếp theo.</w:t>
      </w:r>
    </w:p>
    <w:p w:rsidR="007F3B93" w:rsidRPr="007F3B93" w:rsidRDefault="007F3B93" w:rsidP="00AC3538">
      <w:pPr>
        <w:shd w:val="clear" w:color="auto" w:fill="FFFFFF"/>
        <w:spacing w:after="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Cơ quan tổ chức lập quy hoạch hoặc nhà đầu tư thực hiện dự án đầu tư xây dựng phải cập nhật các nội dung đã được cấp phê duyệt quy hoạch quyết định thực hiện vào hồ sơ quy hoạch đô thị và nông thôn và nộp về cơ quan chuyên môn về quy hoạch đô thị và nông thôn trực thuộc cấp phê duyệt quy hoạch để quản lý.</w:t>
      </w:r>
    </w:p>
    <w:p w:rsidR="00AC3538" w:rsidRDefault="00AC3538" w:rsidP="00AC3538">
      <w:pPr>
        <w:shd w:val="clear" w:color="auto" w:fill="FFFFFF"/>
        <w:spacing w:after="0" w:line="240" w:lineRule="auto"/>
        <w:jc w:val="center"/>
        <w:rPr>
          <w:rFonts w:ascii="Arial" w:eastAsia="Times New Roman" w:hAnsi="Arial" w:cs="Arial"/>
          <w:b/>
          <w:bCs/>
          <w:color w:val="000000"/>
          <w:sz w:val="20"/>
          <w:szCs w:val="20"/>
        </w:rPr>
      </w:pPr>
    </w:p>
    <w:p w:rsidR="007F3B93" w:rsidRPr="007F3B93" w:rsidRDefault="007F3B93" w:rsidP="00AC3538">
      <w:pPr>
        <w:shd w:val="clear" w:color="auto" w:fill="FFFFFF"/>
        <w:spacing w:after="0" w:line="240" w:lineRule="auto"/>
        <w:jc w:val="center"/>
        <w:rPr>
          <w:rFonts w:ascii="Arial" w:eastAsia="Times New Roman" w:hAnsi="Arial" w:cs="Arial"/>
          <w:color w:val="000000"/>
          <w:sz w:val="20"/>
          <w:szCs w:val="20"/>
        </w:rPr>
      </w:pPr>
      <w:r w:rsidRPr="007F3B93">
        <w:rPr>
          <w:rFonts w:ascii="Arial" w:eastAsia="Times New Roman" w:hAnsi="Arial" w:cs="Arial"/>
          <w:b/>
          <w:bCs/>
          <w:color w:val="000000"/>
          <w:sz w:val="20"/>
          <w:szCs w:val="20"/>
        </w:rPr>
        <w:t>Chương II</w:t>
      </w:r>
    </w:p>
    <w:p w:rsidR="007F3B93" w:rsidRDefault="007F3B93" w:rsidP="00AC3538">
      <w:pPr>
        <w:shd w:val="clear" w:color="auto" w:fill="FFFFFF"/>
        <w:spacing w:after="0" w:line="240" w:lineRule="auto"/>
        <w:jc w:val="center"/>
        <w:rPr>
          <w:rFonts w:ascii="Arial" w:eastAsia="Times New Roman" w:hAnsi="Arial" w:cs="Arial"/>
          <w:b/>
          <w:bCs/>
          <w:color w:val="000000"/>
          <w:sz w:val="20"/>
          <w:szCs w:val="20"/>
        </w:rPr>
      </w:pPr>
      <w:r w:rsidRPr="007F3B93">
        <w:rPr>
          <w:rFonts w:ascii="Arial" w:eastAsia="Times New Roman" w:hAnsi="Arial" w:cs="Arial"/>
          <w:b/>
          <w:bCs/>
          <w:color w:val="000000"/>
          <w:sz w:val="20"/>
          <w:szCs w:val="20"/>
        </w:rPr>
        <w:t>TRÌNH TỰ, THỦ TỤC LẬP, THẨM ĐỊNH, PHÊ DUYỆT NHIỆM VỤ QUY HOẠCH, QUY HOẠCH ĐÔ THỊ VÀ NÔNG THÔN</w:t>
      </w:r>
    </w:p>
    <w:p w:rsidR="00AC3538" w:rsidRPr="007F3B93" w:rsidRDefault="00AC3538" w:rsidP="00AC3538">
      <w:pPr>
        <w:shd w:val="clear" w:color="auto" w:fill="FFFFFF"/>
        <w:spacing w:after="0" w:line="240" w:lineRule="auto"/>
        <w:jc w:val="center"/>
        <w:rPr>
          <w:rFonts w:ascii="Arial" w:eastAsia="Times New Roman" w:hAnsi="Arial" w:cs="Arial"/>
          <w:color w:val="000000"/>
          <w:sz w:val="20"/>
          <w:szCs w:val="20"/>
        </w:rPr>
      </w:pP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Mục 1. QUY ĐỊNH VỀ LẬP QUY HOẠCH CHUNG ĐÔ THỊ VÀ LẬP QUY HOẠCH PHÂN KHU, QUY HOẠCH CHI TIẾT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7. Các trường hợp lập quy hoạch chung đô thị</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Quy hoạch chung đô thị theo quy định tại khoản 4 Điều 3 Luật Quy hoạch đô thị và nông thôn được lập đối với phạm vi quy hoạch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Thành phố trực thuộc trung ương;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Đặc khu thuộc hệ thống đô thị theo định hướng tại quy hoạch tổng thể hệ thống đô thị và nông thôn hoặc quy hoạch vùng hoặc quy hoạch tỉnh;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Đô thị hiện hữu gồm một phường độc lập hoặc nhiều phường liền kề nhau, thuộc hệ thống đô thị theo định hướng tại quy hoạch tổng thể hệ thống đô thị và nông thôn hoặc quy hoạch vùng hoặc quy hoạch tỉnh, có phạm vi quy hoạch được xác định tại quyết định phê duyệt nhiệm vụ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Đô thị mở rộng gồm đô thị hiện hữu và xã liền kề, thuộc hệ thống đô thị theo định hướng tại quy hoạch tổng thể hệ thống đô thị và nông thôn hoặc quy hoạch vùng hoặc quy hoạch tỉnh, có phạm vi quy hoạch được xác định tại quyết định phê duyệt nhiệm vụ quy hoạch đô thị và nông thôn và đáp ứng các điều kiện diện tích tối thiểu 50 km2, mật độ dân số tối thiểu 500 người/km2 và tỷ lệ lao động phi nông nghiệp tối thiểu 30%;</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Đô thị mới thuộc hệ thống đô thị theo định hướng tại quy hoạch tổng thể hệ thống đô thị và nông thôn hoặc quy hoạch vùng hoặc quy hoạch tỉnh; có phạm vi quy hoạch tối thiểu 30 km2 và được xác định tại quyết định phê duyệt nhiệm vụ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Phạm vi ranh giới phát triển đô thị trong nội dung của quy hoạch chung đô thị được phê duyệt là căn cứ, cơ sở quản lý phát triển đô thị.</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8. Các trường hợp lập quy hoạch phân khu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Khu vực trong đô thị theo quy định tại điểm a khoản 5 Điều 3 Luật Quy hoạch đô thị và nông thôn được xác định trên cơ sở cấu trúc không gian tại quy hoạch chung đô thị và được Ủy ban nhân dân cấp tỉnh quyết định trong kế hoạch thực hiện quy hoạch chung.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Khu chức năng theo quy định tại điểm b khoản 5 Điều 3 Luật Quy hoạch đô thị và nông thôn có quy mô tối thiểu 200 ha hoặc khu vực được Ủy ban nhân dân cấp tỉnh xác định có mục tiêu, yêu cầu đầu tư xây dựng hạ tầng kỹ thuật theo pháp luật về xây dựng, quản lý dự án.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9. Các trường hợp lập quy hoạch chi tiết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Quy hoạch chi tiết theo quy định tại điểm a khoản 6 Điều 3 Luật Quy hoạch đô thị và nông thôn được lập đối với các trường hợp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Khu vực đã được lập quy hoạch phân khu theo quy định tại Điều 8 Nghị định này;</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Khu vực thuộc quy hoạch chung đã được phê duyệt đối với trường hợp không quy định lập quy hoạch phân khu;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c) Khu chức năng quy mô dưới 200 ha trừ trường hợp quy định tại khoản 2 Điều này.</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Đối với các lô đất đáp ứng các quy định tại khoản 3 và khoản 5 Điều 10 Nghị định này thì quy hoạch chi tiết được lập theo quy trình rút gọn (gọi là quy trình lập “quy hoạch tổng mặt bằng”), không phải lập, phê duyệt nhiệm vụ quy hoạch và không tổ chức thẩm định, phê duyệt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10. Quy hoạch tổng mặt bằng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Quy hoạch tổng mặt bằng được lập trong giai đoạn chuẩn bị dự án và phải được cấp phê duyệt quy hoạch chi tiết hoặc cơ quan được phân cấp, ủy quyền chấp thuận bằng văn bản.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Việc điều chỉnh quy hoạch tổng mặt bằng phải bảo đảm về điều kiện điều chỉnh quy hoạch theo quy định tại Luật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Lô đất thực hiện dự án đầu tư xây dựng đáp ứng đồng thời các điều kiện sau thì thực hiện việc lập, chấp thuận quy hoạch tổng mặt bằng: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Có quy mô sử dụng đất nhỏ hơn 02 ha đối với dự án đầu tư xây dựng nhà chung cư, khu chung cư; hoặc có quy mô sử dụng đất nhỏ hơn 10 ha đối với dự án đầu tư xây dựng nhà máy, xí nghiệp, cơ sở sản xuất công nghiệp, công trình hạ tầng kỹ thuật không theo tuyến được xác định theo quy hoạch chung hoặc quy hoạch chuyên ngành hạ tầng kỹ thuật hoặc quy hoạch tỉnh hoặc quy hoạch có tính chất kỹ thuật, chuyên ngành đã được phê duyệt; hoặc có quy mô sử dụng đất nhỏ hơn 05 ha đối với các trường hợp còn lại;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Trong khu vực đã có quy hoạch phân khu được phê duyệt hoặc trong khu vực đã có quy hoạch chung được phê duyệt đối với trường hợp không quy định lập quy hoạch phân khu;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Do một chủ đầu tư thực hiện đầu tư xây dựng hoặc do cơ quan nhà nước được giao thực hiện lập quy hoạch tổng mặt bằng.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Nội dung quy hoạch tổng mặt bằng: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Xác định yêu cầu về tổ chức không gian, kiến trúc cảnh quan, hạ tầng kỹ thuật đối với lô đất trên cơ sở phù hợp với quy hoạch phân khu hoặc quy hoạch chung đã được phê duyệt đối với trường hợp không quy định lập quy hoạch phân khu; các chỉ tiêu kinh tế - kỹ thuật, chỉ tiêu sử dụng đất quy hoạch phù hợp với quy chuẩn về quy hoạch đô thị và nông thôn và phù hợp với quy chuẩn, tiêu chuẩn chuyên ngành đối với dự án đầu tư xây dựng nhà máy, xí nghiệp, cơ sở sản xuất công nghiệp, công trình hạ tầng kỹ thuật;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Thể hiện vị trí quy mô công trình, hạng mục công trình trong lô đất; dự kiến hình thức kiến trúc công trình phù hợp với không gian kiến trúc cảnh quan khu vực xung quanh; phương án thiết kế hạ tầng kỹ thuật bảo đảm đấu nối đồng bộ với hệ thống hạ tầng của khu vực và phù hợp về không gian kiến trúc với khu vực xung quanh;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Bộ trưởng Bộ Xây dựng hướng dẫn về hồ sơ quy hoạch tổng mặt bằng.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Đối với dự án quốc phòng, an ninh cần bảo đảm bí mật nhà nước, việc áp dụng lập quy hoạch tổng mặt bằng thực hiện theo quy định, hướng dẫn của cơ quan, tổ chức, cá nhân được giao quản lý, thực hiện dự án cần bảo đảm bí mật nhà nước.</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6. Chấp thuận quy hoạch tổng mặt bằng: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Cơ quan tổ chức lập quy hoạch tổng mặt bằng gửi văn bản kèm theo hồ sơ quy hoạch tổng mặt bằng đến cấp phê duyệt quy hoạch chi tiết hoặc cơ quan được phân cấp, ủy quyền để đề nghị chấp thuận;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Trước khi gửi hồ sơ đề nghị chấp thuận quy hoạch tổng mặt bằng, cơ quan tổ chức lập quy hoạch tổng mặt bằng phải thực hiện việc lấy ý kiến cộng đồng dân cư có liên quan (nếu có) về nội dung quy hoạch theo quy định tại Điều 37 Luật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Cấp phê duyệt quy hoạch chi tiết hoặc cơ quan được phân cấp, ủy quyền xem xét, chấp thuận quy hoạch tổng mặt bằng, bảo đảm các yêu cầu tại khoản 5 Điều này. Thời gian cấp phê duyệt quy hoạch chi tiết hoặc cơ quan được phân cấp, ủy quyền xem xét, chấp thuận quy hoạch tổng mặt bằng không quá 15 ngày, kể từ ngày nhận được đầy đủ hồ sơ từ cơ quan tổ chức lập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lastRenderedPageBreak/>
        <w:t>Mục 2. TRÌNH TỰ LẬP, THẨM ĐỊNH, PHÊ DUYỆT NHIỆM VỤ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11. Lập nhiệm vụ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tổ chức lập quy hoạch trực tiếp lập nhiệm vụ quy hoạch đô thị và nông thôn hoặc lựa chọn tổ chức tư vấn đủ điều kiện quy định tại Điều 5 Nghị định này thực hiện lập; trong quá trình lập nhiệm vụ quy hoạch đô thị và nông thôn, phải thực hiện việc lấy ý kiến theo quy định tại Điều 36 Luật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Cơ quan tổ chức lập quy hoạch phải tiếp thu, giải trình đầy đủ các ý kiến tham gia trong quá trình lập nhiệm vụ quy hoạch và hoàn thiện hồ sơ nhiệm vụ quy hoạch đô thị và nông thôn trước khi trình thẩm định.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Nhiệm vụ quy hoạch đô thị và nông thôn cấp độ thấp hơn được cơ quan tổ chức lập quy hoạch quyết định lập đồng thời trong thời gian lập quy hoạch cấp độ cao hơn nhưng phải được phê duyệt sau khi quy hoạch đô thị và nông thôn cấp độ cao hơn đã được thẩm định, đã trình cấp phê duyệt và phải bảo đảm nội dung của nhiệm vụ quy hoạch đô thị và nông thôn cấp độ thấp hơn phù hợp, cụ thể hóa quy hoạch đô thị và nông thôn cấp độ cao hơn đó.</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Trường hợp lập, điều chỉnh quy hoạch phân khu theo quy định đặc thù của Chính phủ không áp dụng quy định tại khoản 3 Điều này.</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12. Trình thẩm định, thẩm định nhiệm vụ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tổ chức lập quy hoạch trình cơ quan thẩm định quy hoạch hồ sơ nhiệm vụ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Cơ quan thẩm định quy hoạch kiểm tra thành phần, nội dung hồ sơ nhiệm vụ quy hoạch bảo đảm theo quy định của pháp luật về quy hoạch đô thị và nông thôn; thành lập hoặc tham mưu cấp có thẩm quyền thành lập Hội đồng thẩm định; tổ chức lấy ý kiến các thành viên Hội đồng thẩm định trước khi tổ chức họp hội đồng thẩm định nhiệm vụ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Cơ quan thẩm định quy hoạch có trách nhiệm tổng hợp ý kiến thẩm định của các thành viên hội đồng thẩm định, của các cơ quan quản lý nhà nước có liên quan và gửi cơ quan tổ chức lập quy hoạch để nghiên cứu, tiếp thu, giải trình, hoàn thiện hồ sơ nhiệm vụ quy hoạch trước khi nhiệm vụ quy hoạch đô thị và nông thôn được trình cấp phê duyệt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Cơ quan tổ chức lập quy hoạch phải tiếp thu, giải trình đầy đủ các ý kiến thẩm định do cơ quan thẩm định tổng hợp; hoàn thiện hồ sơ nhiệm vụ quy hoạch đô thị và nông thôn, gửi lại để cơ quan thẩm định quy hoạch kiểm tra và làm cơ sở hoàn thiện, ban hành báo cáo thẩm định trước khi cơ quan tổ chức lập quy hoạch trình cấp phê duyệt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Việc thẩm định của cơ quan thẩm định theo quy định tại Luật Quy hoạch đô thị và nông thôn và tại Điều này không thay thế, không làm giảm trách nhiệm của cơ quan tổ chức lập nhiệm vụ quy hoạch và trách nhiệm của tổ chức tư vấn lập nhiệm vụ quy hoạch đô thị và nông thôn đối với phần việc do mình thực hiện theo quy định của pháp luật.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13. Trình phê duyệt, phê duyệt nhiệm vụ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tổ chức lập quy hoạch trình hồ sơ nhiệm vụ quy hoạch đô thị và nông thôn đến cấp phê duyệt quy hoạch đề nghị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Cấp phê duyệt quy hoạch căn cứ Tờ trình, kèm theo hồ sơ nhiệm vụ quy hoạch đã được hoàn thiện của cơ quan tổ chức lập quy hoạch và văn bản báo cáo thẩm định của cơ quan thẩm định để xem xét, phê duyệt nhiệm vụ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Thuyết minh và bản vẽ trong hồ sơ nhiệm vụ quy hoạch đô thị và nông thôn sau khi được phê duyệt phải được cơ quan thẩm định quy hoạch kiểm tra, đóng dấu xác nhận theo quy định của Bộ trưởng Bộ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Mục 3. TRÌNH TỰ LẬP, THẨM ĐỊNH, PHÊ DUYỆT, ĐIỀU CHỈNH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lastRenderedPageBreak/>
        <w:t>Điều 14. Lập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tổ chức lập quy hoạch hoặc cơ quan được giao theo quy định tại khoản 10 Điều 17 Luật Quy hoạch đô thị và nông thôn lựa chọn tổ chức tư vấn đủ điều kiện quy định tại Điều 5 Nghị định này thực hiện lập quy hoạch; trong quá trình lập quy hoạch đô thị và nông thôn, phải thực hiện việc lấy ý kiến theo quy định tại Điều 37 Luật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Cơ quan tổ chức lập quy hoạch phải tiếp thu, giải trình đầy đủ các ý kiến tham gia trong quá trình lập quy hoạch và hoàn thiện hồ sơ quy hoạch đô thị và nông thôn trước khi trình thẩm định.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15. Trình thẩm định, thẩm định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tổ chức lập quy hoạch trình cấp phê duyệt quy hoạch hồ sơ nhiệm vụ quy hoạch đô thị và nông thôn để đề nghị phê duyệt sau khi đã được hoàn thiện theo báo cáo thẩm định của cơ quan thẩm định.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Cơ quan thẩm định quy hoạch kiểm tra thành phần, nội dung hồ sơ quy hoạch đô thị và nông thôn bảo đảm theo quy định của pháp luật về quy hoạch đô thị và nông thôn; thành lập hoặc tham mưu cấp có thẩm quyền thành lập Hội đồng thẩm định; tổ chức lấy ý kiến các thành viên hội đồng thẩm định, lấy ý kiến phản biện của chuyên gia là thành viên hội đồng thẩm định trước khi tổ chức họp hội đồng thẩm định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Cơ quan thẩm định quy hoạch có trách nhiệm tổng hợp ý kiến của các thành viên hội đồng thẩm định, ý kiến phản biện và gửi cơ quan tổ chức lập quy hoạch để nghiên cứu, tiếp thu, giải trình, hoàn thiện hồ sơ quy hoạch đô thị và nông thôn trước khi trình cấp phê duyệt quy hoạch. Đối với nội dung còn có ý kiến khác nhau, chưa thống nhất với cơ quan tổ chức lập quy hoạch, cơ quan thẩm định quy hoạch báo cáo, nêu rõ quan điểm trong báo cáo thẩm định quy hoạch đô thị và nông thôn để cấp phê duyệt quy hoạch xem xét, quyết định.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Cơ quan tổ chức lập quy hoạch phải tiếp thu, giải trình đầy đủ các ý kiến thẩm định, ý kiến phản biện do cơ quan thẩm định tổng hợp; hoàn thiện hồ sơ quy hoạch đô thị và nông thôn, gửi lại để cơ quan thẩm định quy hoạch kiểm tra và hoàn thiện, ban hành báo cáo thẩm định trước khi cơ quan tổ chức lập quy hoạch trình cấp phê duyệt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Việc thẩm định của cơ quan thẩm định theo quy định tại Luật Quy hoạch đô thị và nông thôn và tại Điều này không thay thế, không làm giảm trách nhiệm của cơ quan tổ chức lập quy hoạch và trách nhiệm của tổ chức tư vấn lập quy hoạch đô thị và nông thôn đối với phần việc do mình thực hiện theo quy định của pháp luật.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16. Trình phê duyệt, phê duyệt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tổ chức lập quy hoạch trình cấp phê duyệt quy hoạch hồ sơ quy hoạch đô thị và nông thôn để đề nghị phê duyệt sau khi đã được hoàn thiện theo báo cáo thẩm định của cơ quan thẩm định.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Cấp phê duyệt quy hoạch căn cứ Tờ trình, kèm theo hồ sơ quy hoạch đô thị và nông thôn đã được hoàn thiện của cơ quan tổ chức lập quy hoạch và văn bản báo cáo thẩm định của cơ quan thẩm định quy hoạch để xem xét, phê duyệt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Thuyết minh và các bản vẽ trong hồ sơ quy hoạch đô thị và nông thôn sau khi được phê duyệt phải được cơ quan thẩm định quy hoạch kiểm tra, đóng dấu xác nhận theo quy định của Bộ trưởng Bộ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17. Trình tự chấp thuận chủ trương điều chỉnh tổng thể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Việc chấp thuận chủ trương điều chỉnh tổng thể quy hoạch đô thị và nông thôn quy định tại điểm a khoản 1 Điều 47 Luật Quy hoạch đô thị và nông thôn áp dụng đối với cấp độ quy hoạch chung.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Trình tự chấp thuận chủ trương điều chỉnh tổng thể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Cơ quan tổ chức lập quy hoạch có báo cáo bằng văn bản gửi cấp phê duyệt quy hoạch và cơ quan thẩm định, kiến nghị việc thực hiện điều chỉnh tổng thể quy hoạch đô thị và nông thôn. Nội dung báo cáo căn cứ theo kết quả rà soát, đánh giá quá trình thực hiện quy hoạch chung; nêu rõ lý do, sự cần thiết thực hiện điều chỉnh tổng thể quy hoạch; thời gian bắt đầu và hoàn thành việc lập điều chỉnh tổng thể quy hoạch chung.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b) Cơ quan thẩm định quy hoạch nghiên cứu nội dung báo cáo, đề xuất của cơ quan lập quy hoạch, đánh giá theo quy định về điều kiện điều chỉnh quy hoạch, có báo cáo bằng văn bản gửi cấp phê duyệt quy hoạch để được chấp thuận thực hiện điều chỉnh tổng thể quy hoạch chung.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Cấp phê duyệt quy hoạch chấp thuận việc điều chỉnh tổng thể quy hoạch chung bằng văn bản.</w:t>
      </w:r>
    </w:p>
    <w:p w:rsidR="007F3B93" w:rsidRPr="007F3B93" w:rsidRDefault="007F3B93" w:rsidP="00AC3538">
      <w:pPr>
        <w:shd w:val="clear" w:color="auto" w:fill="FFFFFF"/>
        <w:spacing w:after="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Trình tự tổ chức lập, thẩm định, phê duyệt và công bố điều chỉnh tổng thể quy hoạch chung quy định tại điều này được thực hiện theo pháp luật về quy hoạch đô thị và nông thôn.</w:t>
      </w:r>
    </w:p>
    <w:p w:rsidR="00AC3538" w:rsidRDefault="00AC3538" w:rsidP="00AC3538">
      <w:pPr>
        <w:shd w:val="clear" w:color="auto" w:fill="FFFFFF"/>
        <w:spacing w:after="0" w:line="240" w:lineRule="auto"/>
        <w:jc w:val="center"/>
        <w:rPr>
          <w:rFonts w:ascii="Arial" w:eastAsia="Times New Roman" w:hAnsi="Arial" w:cs="Arial"/>
          <w:b/>
          <w:bCs/>
          <w:color w:val="000000"/>
          <w:sz w:val="20"/>
          <w:szCs w:val="20"/>
        </w:rPr>
      </w:pPr>
    </w:p>
    <w:p w:rsidR="007F3B93" w:rsidRPr="007F3B93" w:rsidRDefault="007F3B93" w:rsidP="00AC3538">
      <w:pPr>
        <w:shd w:val="clear" w:color="auto" w:fill="FFFFFF"/>
        <w:spacing w:after="0" w:line="240" w:lineRule="auto"/>
        <w:jc w:val="center"/>
        <w:rPr>
          <w:rFonts w:ascii="Arial" w:eastAsia="Times New Roman" w:hAnsi="Arial" w:cs="Arial"/>
          <w:color w:val="000000"/>
          <w:sz w:val="20"/>
          <w:szCs w:val="20"/>
        </w:rPr>
      </w:pPr>
      <w:r w:rsidRPr="007F3B93">
        <w:rPr>
          <w:rFonts w:ascii="Arial" w:eastAsia="Times New Roman" w:hAnsi="Arial" w:cs="Arial"/>
          <w:b/>
          <w:bCs/>
          <w:color w:val="000000"/>
          <w:sz w:val="20"/>
          <w:szCs w:val="20"/>
        </w:rPr>
        <w:t>Chương III</w:t>
      </w:r>
    </w:p>
    <w:p w:rsidR="007F3B93" w:rsidRDefault="007F3B93" w:rsidP="00AC3538">
      <w:pPr>
        <w:shd w:val="clear" w:color="auto" w:fill="FFFFFF"/>
        <w:spacing w:after="0" w:line="240" w:lineRule="auto"/>
        <w:jc w:val="center"/>
        <w:rPr>
          <w:rFonts w:ascii="Arial" w:eastAsia="Times New Roman" w:hAnsi="Arial" w:cs="Arial"/>
          <w:b/>
          <w:bCs/>
          <w:color w:val="000000"/>
          <w:sz w:val="20"/>
          <w:szCs w:val="20"/>
        </w:rPr>
      </w:pPr>
      <w:r w:rsidRPr="007F3B93">
        <w:rPr>
          <w:rFonts w:ascii="Arial" w:eastAsia="Times New Roman" w:hAnsi="Arial" w:cs="Arial"/>
          <w:b/>
          <w:bCs/>
          <w:color w:val="000000"/>
          <w:sz w:val="20"/>
          <w:szCs w:val="20"/>
        </w:rPr>
        <w:t>CÁC QUY ĐỊNH BẢO ĐẢM CHẤT LƯỢNG, HIỆU QUẢ HOẠT ĐỘNG QUY HOẠCH ĐÔ THỊ VÀ NÔNG THÔN</w:t>
      </w:r>
    </w:p>
    <w:p w:rsidR="00AC3538" w:rsidRPr="007F3B93" w:rsidRDefault="00AC3538" w:rsidP="00AC3538">
      <w:pPr>
        <w:shd w:val="clear" w:color="auto" w:fill="FFFFFF"/>
        <w:spacing w:after="0" w:line="240" w:lineRule="auto"/>
        <w:jc w:val="center"/>
        <w:rPr>
          <w:rFonts w:ascii="Arial" w:eastAsia="Times New Roman" w:hAnsi="Arial" w:cs="Arial"/>
          <w:color w:val="000000"/>
          <w:sz w:val="20"/>
          <w:szCs w:val="20"/>
        </w:rPr>
      </w:pP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18. Bản đồ phục vụ lập nhiệm vụ quy hoạch,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Bản đồ địa hình phục vụ lập nhiệm vụ quy hoạch và lập quy hoạch phải do cơ quan quản lý nhà nước về bản đồ cấp hoặc do cơ quan chuyên môn khảo sát, đo đạc lập, bảo đảm yêu cầu về chất lượng và kỹ thuật theo quy định về hoạt động đo đạc và bản đồ; đồng thời, phù hợp với quy định về xây dựng cơ sở dữ liệu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Các thông tin, dữ liệu của bản đồ địa hình phải đáp ứng yêu cầu phục vụ việc lập nhiệm vụ quy hoạch và lập quy hoạch, phù hợp với từng loại, từng cấp độ quy hoạch. Trường hợp bản đồ địa hình không phù hợp với hiện trạng tại thời điểm lập quy hoạch thì cơ quan có thẩm quyền phê duyệt nhiệm vụ quy hoạch, quy hoạch đô thị và nông thôn quyết định việc thực hiện khảo sát địa hình bổ sung theo trình tự, thủ tục quy định tại pháp luật về đo đạc và bản đồ.</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19. Thi tuyển ý tưởng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Đối với trường hợp được xác định thực hiện thi tuyển ý tưởng quy hoạch đô thị và nông thôn theo quy định tại khoản 3 Điều 19 Luật Quy hoạch đô thị và nông thôn, căn cứ nhiệm vụ quy hoạch được phê duyệt, cơ quan tổ chức lập quy hoạch thực hiện các công việc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Lập và phê duyệt kế hoạch, dự toán kinh phí tổ chức thi tuyển;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Lập, ban hành quy chế thi tuyển kèm theo tài liệu thông tin về khu vực lập quy hoạch phục vụ thi tuyển;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Thành lập Hội đồng thi tuyển, Tổ kỹ thuật; quy định trách nhiệm của Hội đồng thi tuyển, Tổ kỹ thuật.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Thông báo, mời tối thiểu 03 tổ chức tư vấn đủ điều kiện tham dự thi tuyển ý tưởng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Tiếp nhận hồ sơ dự thi, bàn giao đến Hội đồng thi tuyển;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e) Quyết định, công bố kết quả thi tuyển.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Quy chế thi tuyển gồm những nội dung cơ bản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Hình thức, quy mô, tính chất, mục đích, yêu cầu của cuộc thi;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Quy định về điều kiện dự thi; tiêu chí, nội dung, trình tự tổ chức; thời gian, địa điểm tổ chức cuộc thi; hồ sơ dự thi; tính hợp lệ của hồ sơ dự thi;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Thành phần Hội đồng thi tuyển và thông tin cơ bản về chuyên môn, kinh nghiệm của các thành viên Hội đồng;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Chi phí tổ chức cuộc thi; cơ sở xác định chi phí lập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Cơ cấu và giá trị giải thưởng (nếu có giải thưởng);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e) Quyền, trách nhiệm của các bên liên quan, bản quyền tác giả;</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g) Mẫu phiếu đăng ký tham dự cuộc thi;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h) Các nội dung khác theo yêu cầu của mỗi cuộc thi (quy định về các vòng thi nếu có và trường hợp kết thúc vòng thi không có phương án tối ưu; nguyên tắc xác định chi phí lập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i) Tài liệu thông tin về khu vực lập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Tài liệu thông tin về khu vực lập quy hoạch phục vụ thi tuyển được ban hành kèm theo Quy chế thi tuyển gồm các thông tin pháp lý của khu vực lập quy hoạch; bản vẽ, số liệu hiện trạng; mục tiêu, yêu cầu phát triển và dự kiến lộ trình kêu gọi đầu tư, đầu tư; các yêu cầu về bố cục không gian, kiến trúc cảnh quan và các yêu cầu liên quan khác.</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Hồ sơ dự thi bao gồm thuyết minh, các bản vẽ thể hiện ý tưởng quy hoạch, giải pháp kỹ thuật và phim, ảnh, mô hình (nếu có), đề xuất tài chính và chi phí lập quy hoạch. Hồ sơ phải được quy định thống nhất về ngôn ngữ (tiếng Việt hoặc song ngữ), đơn vị đo lường, đơn vị tiền tệ và quy tắc ẩn danh, không đưa tên, biểu tượng của đơn vị tư vấn hay tác giả vào hồ sơ dự thi.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Hội đồng thi tuyển: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Hội đồng thi tuyển có số lượng thành viên là số lẻ, tối thiểu 09 người, gồm có 01 Chủ tịch và các thành viên;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Cơ cấu hội đồng gồm đại diện các cơ quan quản lý nhà nước, tổ chức xã hội nghề nghiệp có liên quan, chuyên gia chuyên ngành về quy hoạch đô thị và nông thôn và đại diện cơ quan tổ chức lập quy hoạch; trong đó, tối thiểu 1/3 số thành viên là các chuyên gia chuyên ngành có kinh nghiệm về quy hoạch đô thị và nông thôn. Chủ tịch hội đồng phải là chuyên gia quy hoạch đô thị và nông thôn có kinh nghiệm, uy tín nghề nghiệp do Hội đồng bầu ra hoặc cơ quan tổ chức lập quy hoạch mời;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Hội đồng thi tuyển thống nhất quy chế làm việc để Chủ tịch hội đồng ký ban hành. Hội đồng thi tuyển có trách nhiệm phân tích các ý tưởng quy hoạch trên cơ sở quy chế thi tuyển; tính khoa học, tính thực tiễn của phương án và đánh giá, xếp hạng tổ chức tư vấn. Tổng hợp và báo cáo kết quả thi tuyển ý tưởng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Kết quả thi tuyển được Hội đồng thi tuyển báo cáo cơ quan lập quy hoạch bằng văn bản do Chủ tịch hội đồng ký; nội dung báo cáo của hội đồng thi tuyển phải thể hiện các nội dung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Quá trình tiếp nhận hồ sơ dự thi;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Số lượng đơn vị dự thi, hồ sơ dự thi được tiếp nhận, các hồ sơ hợp lệ và không hợp lệ theo tiêu chí tại quy chế thi tuyển;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Xếp hạng kết quả thi tuyển do Hội đồng thi tuyển đánh giá theo tiêu chí</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tại Quy chế thi tuyển, tương ứng với giải thưởng;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Đề xuất đơn vị được lựa chọn để cung cấp dịch vụ tư vấn lập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20. Lựa chọn tổ chức tư vấn lập nhiệm vụ quy hoạch,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Việc lựa chọn tổ chức tư vấn lập nhiệm vụ quy hoạch đô thị và nông thôn được quy định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Theo quy định của pháp luật về đấu thầu trên cơ sở phải bảo đảm quy định về điều kiện năng lực của tổ chức theo pháp luật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Trường hợp dự kiến chi phí lập nhiệm vụ quy hoạch đô thị và nông thôn không thuộc quy định phải thực hiện theo quy định của pháp luật về đấu thầu, cơ quan tổ chức lập quy hoạch được lập nhiệm vụ quy hoạch đô thị và nông thôn theo hình thức tự thực hiện hoặc chỉ định tổ chức tư vấn để lập nhiệm vụ quy hoạch đô thị và nông thôn theo quy định tại pháp luật về đấu thầu.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Tổ chức tư vấn lập quy hoạch đô thị và nông thôn được lựa chọn thông qua các hình thức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Đấu thầu theo quy định của pháp luật về đấu thầu trên cơ sở phải bảo đảm về điều kiện năng lực của tổ chức theo quy định của pháp luật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Thi tuyển ý tưởng quy hoạch đô thị và nông thôn; cơ quan tổ chức lập quy hoạch tổ chức thi tuyển ý tưởng theo quy định tại Điều 19 Luật này.</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lastRenderedPageBreak/>
        <w:t>Điều 21. Quản lý kinh phí cho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Thủ trưởng cơ quan tổ chức lập quy hoạch chịu trách nhiệm quản lý kinh phí từ ngân sách nhà nước cho hoạt động quy hoạch đô thị và nông thôn; thực hiện kiểm soát việc tạm ứng, thanh toán, quyết toán theo khối lượng, theo quy định của pháp luật về ngân sách và thông qua Kho bạc nhà nước. Các cơ quan liên quan có trách nhiệm phối hợp kiểm tra, giám sát.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Bộ Xây dựng lập, ban hành danh mục dự án quy hoạch và kế hoạch kinh phí từ ngân sách nhà nước hàng năm đối với quy hoạch đô thị và nông thôn do Bộ Xây dựng tổ chức lập và các quy hoạch khác do Thủ tướng Chính phủ giao; phê duyệt dự toán chi phí, dự toán chi phí điều chỉnh (nếu có) cho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Ủy ban nhân dân các cấp có thẩm quyền phê duyệt quy hoạch lập, ban hành danh mục dự án quy hoạch và kế hoạch kinh phí từ ngân sách nhà nước hàng năm đối với các quy hoạch đô thị và nông thôn trong phạm vi quản lý hành chính của mình, trừ các quy hoạch do Bộ Xây dựng tổ chức lập; phê duyệt dự toán chi phí, dự toán chi phí điều chỉnh (nếu có) cho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22. Tiếp nhận, quản lý, sử dụng nguồn lực hỗ trợ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tiếp nhận, quản lý nguồn lực hỗ trợ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Đối với nhiệm vụ quy hoạch, quy hoạch đô thị và nông thôn thuộc thẩm quyền phê duyệt của Thủ tướng Chính phủ, Ủy ban nhân dân cấp tỉnh quyết định việc tiếp nhận nguồn lực hỗ trợ bằng kinh phí;</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Đối với nhiệm vụ quy hoạch, quy hoạch đô thị và nông thôn không thuộc trường hợp quy định tại điểm a khoản này, cấp phê duyệt quy hoạch quyết định việc tiếp nhận nguồn lực hỗ trợ bằng kinh phí;</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Cơ quan tổ chức lập quy hoạch tiếp nhận nguồn lực hỗ trợ bằng kết quả nghiên cứu và bằng giải thưởng cho các kết quả thi tuyển ý tưởng quy hoạch đô thị và nông thôn; tài trợ tổ chức hội nghị, hội thảo, tập huấn, nghiên cứu, khảo sát, đào tạo trong nước và nước ngoài.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Quản lý, sử dụng nguồn lực hỗ trợ hoạt động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Đối với nguồn lực hỗ trợ bằng kinh phí: Nộp vào ngân sách của địa phương và quản lý, sử dụng theo quy định của pháp luật về ngân sách nhà nước;</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Đối với nguồn lực hỗ trợ bằng kết quả nghiên cứu và bằng giải thưởng cho các kết quả thi tuyển ý tưởng quy hoạch đô thị và nông thôn; tài trợ tổ chức hội nghị, hội thảo, tập huấn, nghiên cứu, khảo sát, đào tạo trong nước và nước ngoài: Nhà tài trợ trực tiếp quản lý, quyết định chi phí thực hiện.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Việc lập, thẩm định, phê duyệt, điều chỉnh và công bố quy hoạch đô thị và nông thôn trong trường hợp sử dụng nguồn kinh phí tài trợ được thực hiện theo quy định của pháp luật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23. Quy định quản lý theo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Quy định quản lý theo quy hoạch chung phải phù hợp với quy hoạch đã được phê duyệt và cụ thể các nội dung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Ranh giới, phạm vi, tính chất khu vực lập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Chỉ tiêu kinh tế - kỹ thuật, quy định về kiểm soát không gian, kiến trúc cảnh quan, cốt xây dựng khống chế từng khu vực;</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Chỉ giới đường đỏ, chỉ giới xây dựng đến từng tuyến đường cấp đô thị hoặc cấp khu vực đối với trường hợp quy hoạch chung các đô thị không phải là thành phố trực thuộc trung ương, quy hoạch chung khu kinh tế, quy hoạch chung khu du lịch quốc gia;</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Xác định các khu vực cấm xây dựng; phạm vi bảo vệ, hành lang an toàn công trình hạ tầng kỹ thuật, công trình có chức năng đặc thù, công trình ngầm; khu vực bảo tồn, tôn tạo công trình kiến trúc, di tích lịch sử, văn hóa, danh lam thắng cảnh, địa hình cảnh quan;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Yêu cầu, biện pháp bảo vệ môi trường;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e) Trách nhiệm tổ chức thực hiện; nguyên tắc để tổ chức thực hiện và triển khai theo quy hoạch chung đã được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Quy định quản lý theo quy hoạch phân khu phải phù hợp với quy hoạch đã được phê duyệt và cụ thể các nội dung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Phạm vi, quy mô khu vực quy hoạch; vị trí, ranh giới, tính chất, quy mô các khu chức năng trong khu vực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Chỉ tiêu kinh tế - kỹ thuật và chỉ tiêu sử dụng đất quy hoạch, cốt xây dựng đối với từng ô đất;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Chỉ giới đường đỏ, chỉ giới xây dựng đến từng tuyến đường cấp khu vực, cốt xây dựng và các yêu cầu cụ thể về kỹ thuật đối với từng tuyến đường, khu vực;</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Phạm vi bảo vệ, hành lang an toàn công trình hạ tầng kỹ thuật, công trình có chức năng đặc thù, công trình ngầm; phạm vi khu vực bảo tồn, cải tạo, chỉnh trang di tích lịch sử, văn hóa, danh lam thắng cảnh, địa hình cảnh quan;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Yêu cầu, biện pháp bảo vệ môi trường;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e) Trách nhiệm tổ chức thực hiện; nguyên tắc để tổ chức thực hiện và triển khai theo quy hoạch phân khu đã được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Quy định quản lý theo quy hoạch chi tiết phải phù hợp với quy hoạch đã được phê duyệt và cụ thể các nội dung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Ranh giới, phạm vi và tính chất, chức năng khu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Chỉ tiêu kinh tế - kỹ thuật và chỉ tiêu sử dụng đất quy hoạch, cốt xây dựng đối với từng lô đất;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Quy định về chiều cao công trình, cốt sàn và chiều cao tầng một hoặc phần để công trình cao tầng, hình thức kiến trúc và hàng rào công trình, vật liệu xây dựng của các công trình;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Chỉ giới đường đỏ, chỉ giới xây dựng và các yêu cầu cụ thể về kỹ thuật đến từng tuyến đường cấp nội bộ; phạm vi bảo vệ, hành lang an toàn công trình hạ tầng kỹ thuật, công trình có chức năng đặc thù, công trình ngầm;</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Danh mục và quy định về bảo tồn, cải tạo, chỉnh trang các công trình kiến trúc, di tích lịch sử, văn hóa, danh lam thắng cảnh, địa hình cảnh quan;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e) Yêu cầu, biện pháp bảo vệ môi trường;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g) Trách nhiệm tổ chức thực hiện; nguyên tắc để tổ chức thực hiện và triển khai theo quy hoạch chi tiết đã được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Quy định quản lý theo quy hoạch không gian ngầm đối với thành phố trực thuộc trung ương phải phù hợp với quy hoạch đã được phê duyệt và cụ thể các nội dung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Ranh giới, phạm vi lập quy hoạch không gian ngầm;</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Quy định về cao độ quy hoạch; mối quan hệ với các công trình, khu vực công trình có liên quan;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Chỉ giới xây dựng và các yêu cầu cụ thể về kỹ thuật đối với từng tuyến, khu vực công trình ngầm; phạm vi bảo vệ, hành lang an toàn công trình ngầm;</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Yêu cầu, biện pháp bảo vệ môi trường;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Trách nhiệm tổ chức thực hiện; nguyên tắc để tổ chức thực hiện và triển khai theo quy hoạch không gian ngầm đã được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Quy định quản lý theo quy hoạch chuyên ngành hạ tầng kỹ thuật đối với thành phố trực thuộc trung ương phải phù hợp với quy hoạch đã được phê duyệt và cụ thể các nội dung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Ranh giới, phạm vi lập quy hoạch chuyên ngành hạ tầng kỹ thuật;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Quy định về cao độ quy hoạch; mối quan hệ với các công trình, khu vực công trình có liên quan;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c) Chỉ giới xây dựng và các yêu cầu cụ thể về kỹ thuật đối với từng tuyến, khu vực công trình hạ tầng kỹ thuật; phạm vi bảo vệ, hành lang an toàn các công trình hạ tầng kỹ thuật;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Yêu cầu, biện pháp bảo vệ môi trường;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Trách nhiệm tổ chức thực hiện; nguyên tắc để tổ chức thực hiện và triển khai theo quy hoạch chuyên ngành hạ tầng kỹ thuật đã được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24. Xây dựng, quản lý, vận hành, khai thác cơ sở dữ liệu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Nguyên tắc xây dựng, cập nhật, quản lý, khai thác và sử dụng cơ sở dữ liệu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Cơ sở dữ liệu quy hoạch đô thị và nông thôn được xây dựng đồng thời trong toàn bộ quá trình khảo sát, đo đạc, lập nhiệm vụ quy hoạch, lập quy hoạch và tổ chức thực hiện;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Cơ sở dữ liệu quy hoạch đô thị và nông thôn được xây dựng, quản lý tập trung, thống nhất, đồng bộ từ trung ương đến địa phương;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Cơ sở dữ liệu quy hoạch đô thị và nông thôn được xây dựng, cập nhật nhằm cung cấp đầy đủ, chính xác, kịp thời, đồng bộ trong hệ thống thông tin, cơ sở dữ liệu quốc gia về hoạt động xây dựng, đáp ứng yêu cầu quản lý nhà nước về đầu tư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Cơ sở dữ liệu quy hoạch đô thị và nông thôn được duy trì hoạt động liên tục, ổn định, thông suốt và được lưu trữ lâu dài, đáp ứng nhu cầu khai thác và sử dụng của các cơ quan, tổ chức, cá nhân theo quy định pháp luật;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Cơ sở dữ liệu bao gồm các hồ sơ quy hoạch đã được số hóa theo định dạng điện tử phải được Ủy ban nhân dân cấp tỉnh công bố trên Cổng thông tin quy hoạch của Bộ Xây dựng để công bố, công khai theo quy định.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Việc xây dựng, cập nhật, quản lý, khai thác và sử dụng cơ sở dữ liệu quy hoạch đô thị và nông thôn tuân thủ quy định của Chính phủ về hệ thống thông tin, cơ sở dữ liệu quốc gia về hoạt động xây dựng và các quy định pháp luật về công nghệ thông tin, giao dịch điện tử, an toàn thông tin mạng, an ninh mạng, tiếp cận thông tin; quy định về quản lý, kết nối và chia sẻ dữ liệu số của cơ quan nhà nước.</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Trách nhiệm và kinh phí quản lý vận hành hệ thống cơ sở dữ liệu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Cơ quan tổ chức lập quy hoạch có trách nhiệm xây dựng, cập nhật cơ sở dữ liệu quy hoạch đô thị và nông thôn thông qua công tác lập, thẩm định, phê duyệt và điều chỉnh quy hoạch đô thị và nông thôn; cơ quan chuyên môn về quy hoạch đô thị và nông thôn cấp tỉnh, cấp xã có trách nhiệm quản lý, khai thác và sử dụng hệ thống cơ sở dữ liệu quy hoạch đô thị và nông thôn;</w:t>
      </w:r>
    </w:p>
    <w:p w:rsidR="007F3B93" w:rsidRPr="007F3B93" w:rsidRDefault="007F3B93" w:rsidP="00AC3538">
      <w:pPr>
        <w:shd w:val="clear" w:color="auto" w:fill="FFFFFF"/>
        <w:spacing w:after="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Kinh phí xây dựng, cập nhật, quản lý, khai thác và sử dụng cơ sở dữ liệu quy hoạch đô thị và nông thôn được sử dụng nguồn kinh phí chi thường xuyên từ ngân sách nhà nước và được xác định theo hướng dẫn của Bộ trưởng Bộ Xây dựng.</w:t>
      </w:r>
    </w:p>
    <w:p w:rsidR="00AC3538" w:rsidRDefault="00AC3538" w:rsidP="00AC3538">
      <w:pPr>
        <w:shd w:val="clear" w:color="auto" w:fill="FFFFFF"/>
        <w:spacing w:after="0" w:line="240" w:lineRule="auto"/>
        <w:jc w:val="center"/>
        <w:rPr>
          <w:rFonts w:ascii="Arial" w:eastAsia="Times New Roman" w:hAnsi="Arial" w:cs="Arial"/>
          <w:b/>
          <w:bCs/>
          <w:color w:val="000000"/>
          <w:sz w:val="20"/>
          <w:szCs w:val="20"/>
        </w:rPr>
      </w:pPr>
    </w:p>
    <w:p w:rsidR="007F3B93" w:rsidRPr="007F3B93" w:rsidRDefault="007F3B93" w:rsidP="00AC3538">
      <w:pPr>
        <w:shd w:val="clear" w:color="auto" w:fill="FFFFFF"/>
        <w:spacing w:after="0" w:line="240" w:lineRule="auto"/>
        <w:jc w:val="center"/>
        <w:rPr>
          <w:rFonts w:ascii="Arial" w:eastAsia="Times New Roman" w:hAnsi="Arial" w:cs="Arial"/>
          <w:color w:val="000000"/>
          <w:sz w:val="20"/>
          <w:szCs w:val="20"/>
        </w:rPr>
      </w:pPr>
      <w:r w:rsidRPr="007F3B93">
        <w:rPr>
          <w:rFonts w:ascii="Arial" w:eastAsia="Times New Roman" w:hAnsi="Arial" w:cs="Arial"/>
          <w:b/>
          <w:bCs/>
          <w:color w:val="000000"/>
          <w:sz w:val="20"/>
          <w:szCs w:val="20"/>
        </w:rPr>
        <w:t>Chương IV</w:t>
      </w:r>
    </w:p>
    <w:p w:rsidR="007F3B93" w:rsidRDefault="007F3B93" w:rsidP="007F3B93">
      <w:pPr>
        <w:shd w:val="clear" w:color="auto" w:fill="FFFFFF"/>
        <w:spacing w:after="0" w:line="240" w:lineRule="auto"/>
        <w:jc w:val="center"/>
        <w:rPr>
          <w:rFonts w:ascii="Arial" w:eastAsia="Times New Roman" w:hAnsi="Arial" w:cs="Arial"/>
          <w:b/>
          <w:bCs/>
          <w:color w:val="000000"/>
          <w:sz w:val="20"/>
          <w:szCs w:val="20"/>
        </w:rPr>
      </w:pPr>
      <w:r w:rsidRPr="007F3B93">
        <w:rPr>
          <w:rFonts w:ascii="Arial" w:eastAsia="Times New Roman" w:hAnsi="Arial" w:cs="Arial"/>
          <w:b/>
          <w:bCs/>
          <w:color w:val="000000"/>
          <w:sz w:val="20"/>
          <w:szCs w:val="20"/>
        </w:rPr>
        <w:t>QUY ĐỊNH VỀ CHUYỂN TIẾP</w:t>
      </w:r>
    </w:p>
    <w:p w:rsidR="00AC3538" w:rsidRPr="007F3B93" w:rsidRDefault="00AC3538" w:rsidP="007F3B93">
      <w:pPr>
        <w:shd w:val="clear" w:color="auto" w:fill="FFFFFF"/>
        <w:spacing w:after="0" w:line="240" w:lineRule="auto"/>
        <w:jc w:val="center"/>
        <w:rPr>
          <w:rFonts w:ascii="Arial" w:eastAsia="Times New Roman" w:hAnsi="Arial" w:cs="Arial"/>
          <w:color w:val="000000"/>
          <w:sz w:val="20"/>
          <w:szCs w:val="20"/>
        </w:rPr>
      </w:pP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25. Quy định chuyển tiếp tại khoản 8 Điều 59 Luật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Cơ quan tổ chức lập quy hoạch tổng hợp kết quả lập, phê duyệt quy hoạch phân khu sau khi quy hoạch chung được phê duyệt; xây dựng kế hoạch trong đó xác định các khu vực chức năng cần lập hoặc điều chỉnh quy hoạch phân khu trên cơ sở quy hoạch chung đã được phê duyệt và báo cáo cấp phê duyệt quy hoạch chung ban hành để tổ chức thực hiện trong thời hạn 02 năm theo quy định tại Luật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Hết thời hạn 02 năm nếu chưa hoàn thành các quy hoạch phân khu theo kế hoạch đã ban hành, cơ quan tổ chức lập quy hoạch phải thực hiện điều chỉnh quy hoạch chung theo quy định tại Luật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26. Chuyển tiếp sau ngày Nghị định này có hiệu lực thi hành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1. Quy hoạch chi tiết theo quy trình rút gọn đã được phê duyệt, trong quá trình triển khai dự án sau ngày Nghị định này có hiệu lực thi hành tiếp tục có hiệu lực đến khi được điều chỉnh theo quy định của Nghị định này về quy hoạch tổng mặt bằng. Trường hợp quy hoạch chi tiết theo quy trình rút gọn đang trong quá trình lập, chưa được phê duyệt thì thực hiện theo quy định của Nghị định này về lập, chấp thuận quy hoạch tổng mặt bằng.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Các khu vực nông thôn đã có quy hoạch nông thôn đã được phê duyệt, còn hiệu lực, nếu đáp ứng điều kiện điều chỉnh cục bộ quy hoạch thì thực hiện điều chỉnh cục bộ quy hoạch theo quy định của pháp luật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Quy hoạch xây dựng vùng liên huyện, quy hoạch xây dựng vùng huyện thực hiện chuyển tiếp theo quy định tại khoản 1 Điều 59 Luật Quy hoạch đô thị và nông thôn; trường hợp chưa có quy hoạch khác thay thế, một số nội dung về hạ tầng kỹ thuật của quy hoạch xây dựng vùng liên huyện hoặc quy hoạch xây dựng vùng huyện nếu đáp ứng điều kiện điều chỉnh cục bộ quy hoạch thì được thực hiện điều chỉnh cục bộ quy hoạch theo quy định của pháp luật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Các khu vực thị trấn hoặc đô thị mới đã được phê duyệt quy hoạch đô thị trước thời điểm Nghị định này có hiệu lực thi hành, nay thuộc địa bàn xã, thì tiếp tục quản lý, thực hiện theo quy hoạch đô thị đã được phê duyệt và khi lập, phê duyệt quy hoạch chung xã sau sắp xếp phải kế thừa nội dung quy hoạch đô thị đã được phê duyệt.</w:t>
      </w:r>
    </w:p>
    <w:p w:rsidR="007F3B93" w:rsidRPr="007F3B93" w:rsidRDefault="007F3B93" w:rsidP="00AC3538">
      <w:pPr>
        <w:shd w:val="clear" w:color="auto" w:fill="FFFFFF"/>
        <w:spacing w:after="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Các quyết định về phân loại đô thị của cơ quan có thẩm quyền ban hành trước ngày 01 tháng 7 năm 2025 theo kết quả đánh giá chất lượng đô thị trên cơ sở quy hoạch đô thị và nông thôn đã được phê duyệt tiếp tục có hiệu lực cho đến khi được thay thế, sửa đổi hoặc bãi bỏ theo quy định của pháp luật.</w:t>
      </w:r>
    </w:p>
    <w:p w:rsidR="00AC3538" w:rsidRDefault="00AC3538" w:rsidP="00AC3538">
      <w:pPr>
        <w:shd w:val="clear" w:color="auto" w:fill="FFFFFF"/>
        <w:spacing w:after="0" w:line="240" w:lineRule="auto"/>
        <w:jc w:val="center"/>
        <w:rPr>
          <w:rFonts w:ascii="Arial" w:eastAsia="Times New Roman" w:hAnsi="Arial" w:cs="Arial"/>
          <w:b/>
          <w:bCs/>
          <w:color w:val="000000"/>
          <w:sz w:val="20"/>
          <w:szCs w:val="20"/>
        </w:rPr>
      </w:pPr>
    </w:p>
    <w:p w:rsidR="007F3B93" w:rsidRPr="007F3B93" w:rsidRDefault="007F3B93" w:rsidP="00AC3538">
      <w:pPr>
        <w:shd w:val="clear" w:color="auto" w:fill="FFFFFF"/>
        <w:spacing w:after="0" w:line="240" w:lineRule="auto"/>
        <w:jc w:val="center"/>
        <w:rPr>
          <w:rFonts w:ascii="Arial" w:eastAsia="Times New Roman" w:hAnsi="Arial" w:cs="Arial"/>
          <w:color w:val="000000"/>
          <w:sz w:val="20"/>
          <w:szCs w:val="20"/>
        </w:rPr>
      </w:pPr>
      <w:r w:rsidRPr="007F3B93">
        <w:rPr>
          <w:rFonts w:ascii="Arial" w:eastAsia="Times New Roman" w:hAnsi="Arial" w:cs="Arial"/>
          <w:b/>
          <w:bCs/>
          <w:color w:val="000000"/>
          <w:sz w:val="20"/>
          <w:szCs w:val="20"/>
        </w:rPr>
        <w:t>Chương V</w:t>
      </w:r>
    </w:p>
    <w:p w:rsidR="007F3B93" w:rsidRDefault="007F3B93" w:rsidP="007F3B93">
      <w:pPr>
        <w:shd w:val="clear" w:color="auto" w:fill="FFFFFF"/>
        <w:spacing w:after="0" w:line="240" w:lineRule="auto"/>
        <w:jc w:val="center"/>
        <w:rPr>
          <w:rFonts w:ascii="Arial" w:eastAsia="Times New Roman" w:hAnsi="Arial" w:cs="Arial"/>
          <w:b/>
          <w:bCs/>
          <w:color w:val="000000"/>
          <w:sz w:val="20"/>
          <w:szCs w:val="20"/>
        </w:rPr>
      </w:pPr>
      <w:r w:rsidRPr="007F3B93">
        <w:rPr>
          <w:rFonts w:ascii="Arial" w:eastAsia="Times New Roman" w:hAnsi="Arial" w:cs="Arial"/>
          <w:b/>
          <w:bCs/>
          <w:color w:val="000000"/>
          <w:sz w:val="20"/>
          <w:szCs w:val="20"/>
        </w:rPr>
        <w:t>ĐIỀU KHOẢN THI HÀNH</w:t>
      </w:r>
    </w:p>
    <w:p w:rsidR="00AC3538" w:rsidRPr="007F3B93" w:rsidRDefault="00AC3538" w:rsidP="007F3B93">
      <w:pPr>
        <w:shd w:val="clear" w:color="auto" w:fill="FFFFFF"/>
        <w:spacing w:after="0" w:line="240" w:lineRule="auto"/>
        <w:jc w:val="center"/>
        <w:rPr>
          <w:rFonts w:ascii="Arial" w:eastAsia="Times New Roman" w:hAnsi="Arial" w:cs="Arial"/>
          <w:color w:val="000000"/>
          <w:sz w:val="20"/>
          <w:szCs w:val="20"/>
        </w:rPr>
      </w:pP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27. Tổ chức thực hiện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Các Bộ trưởng, Thủ trưởng cơ quan ngang bộ, Thủ trưởng cơ quan thuộc Chính phủ, Chủ tịch Ủy ban nhân dân các tỉnh, thành phố trực thuộc trung ương, Thủ tướng các cơ quan, tổ chức chính trị, chính trị - xã hội, tổ chức chính trị xã hội - nghề nghiệp và các tổ chức, cá nhân có liên quan chịu trách nhiệm thi hành Nghị định này.</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Bộ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Chủ trì phối hợp với các bộ, ngành và Ủy ban nhân dân cấp tỉnh trong tổ chức thực hiện quản lý nhà nước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Định kỳ kiểm tra, đôn đốc và hướng dẫn các địa phương trong tổ chức thực hiện theo pháp luật về quy hoạch đô thị và nông thôn; kịp thời phát hiện các vướng mắc, bất cập về hoạt động quy hoạch đô thị và nông thôn để nghiên cứu, đề xuất Chính phủ, Thủ tướng Chính phủ và các bộ ngành liên quan về giải pháp xử lý;</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Rà soát, điều chỉnh, bổ sung và ban hành mới quy chuẩn kỹ thuật quốc gia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Ủy ban nhân dân các cấp:</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Bố trí kinh phí từ nguồn ngân sách nhà nước cấp cho địa phương để triển khai hoạt động quy hoạch đô thị và nông thôn theo quy định của pháp luật và hướng dẫn của Bộ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Tổ chức kiểm tra việc thực hiện pháp luật về quy hoạch đô thị và nông thôn; kịp thời phát hiện, tổng hợp các bất cập, vướng mắc và báo cáo cấp có thẩm quyền làm cơ sở tiếp tục hoàn thiện hệ thống văn bản pháp luật.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28. Sửa đổi, bổ sung nội dung quy định tại một số điều, khoản tại các Nghị định liên quan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Sửa đổi, bổ sung một số điều, khoản, điểm của Nghị định số 175/2024/NĐ-CP ngày 30 tháng 12 năm 2024 của Chính phủ quy định chi tiết một số điều và biện pháp thi hành Luật Xây dựng về quản lý hoạt động xây dựng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a) Thay thế cụm từ “quy hoạch xây dựng” tại khoản 3 Điều 1, điểm g khoản 2 Điều 17, khoản 1 Điều 61, điểm c khoản 4 và điểm c khoản 5 Điều 70, điểm c khoản 2 Điều 71, điểm a khoản 2 Điều 119, khoản 5 và khoản 6 Điều 121, khoản 5 Điều 122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Thay thế cụm từ “quy hoạch xây dựng hoặc quy hoạch không gian ngầm” tại khoản 4 Điều 3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Thay thế cụm từ “thiết kế quy hoạch xây dựng” tại khoản 13 và khoản 14 Điều 3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Sửa đổi, bổ sung khoản 21 Điều 3 như sau: “21. Quy hoạch đô thị và nông thôn trong Nghị định này được gọi chung cho các loại, cấp độ quy hoạch theo Luật Quy hoạch đô thị và nông thôn và các quy hoạch theo pháp luật về quy hoạch đô thị, pháp luật về xây dựng đã được lập, phê duyệt mà còn hiệu lực thực hiện theo quy định của pháp luật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Thay thế cụm từ “quy hoạch xây dựng” tại điểm a khoản 1 Điều 4 thành cụm từ “quy hoạch theo pháp luật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e) Sửa đổi, bổ sung điểm a khoản 2 Điều 13 như sau: “a) Đối với dự án đầu tư xây dựng hạ tầng kỹ thuật khung của vùng liên huyện, vùng huyện: quy hoạch xây dựng vùng liên huyện, vùng huyện còn hiệu lực thực hiện theo quy định của pháp luật về quy hoạch đô thị và nông thôn là căn cứ để lập dự án đầu tư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g) Thay thế cụm từ “quy hoạch xây dựng hoặc quy hoạch có tính chất kỹ thuật chuyên ngành” tại điểm g khoản 2 Điều 13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h) Sửa đổi, bổ sung điểm a khoản 3 Điều 13 như sau: “a) Điều chỉnh về bố cục, hình khối, thông số kỹ thuật công trình khi bảo đảm các chỉ tiêu sử dụng đất quy hoạch của khu đất thực hiện dự án đã được phê duyệt trong quy hoạch theo pháp luật về quy hoạch đô thị và nông thôn, quy định về quản lý không gian và thiết kế đô thị, quy chế quản lý kiến trúc (nếu có), quy chuẩn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i) Sửa đổi, bổ sung điểm a khoản 2 Điều 18 như sau: “a) Đối với quy hoạch đô thị và nông thôn: đánh giá sự phù hợp của thiết kế cơ sở với chỉ tiêu sử dụng đất quy hoạch được xác định tại quy hoạch đô thị và nông thôn được sử dụng làm căn cứ lập dự án theo quy định tại khoản 2 Điều 13 Nghị định này; kiểm tra sự phù hợp về chức năng sử dụng đất tại quy hoạch chung; sự phù hợp về chức năng, chỉ tiêu sử dụng đất, quy mô dân số khống chế tại quy hoạch phân khu (nếu có) của khu vực lập dự án;”;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k) Thay thế cụm từ “quy hoạch đô thị, quy hoạch xây dựng khu chức năng hoặc quy hoạch chi tiết xây dựng điểm dân cư nông thôn” tại điểm d khoản 1 Điều 44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l) Thay thế cụm từ “quy hoạch xây dựng” tại khoản 1, khoản 2 Điều 65 thành cụm từ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m) Thay thế cụm từ “Thiết kế quy hoạch xây dựng” tại điểm b khoản 1 Điều 74, điểm b khoản 1 Điều 94 và điểm h khoản 1 Điều 99 thành cụm từ</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“Lập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n) Sửa đổi, bổ sung Điều 81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81. Điều kiện kinh nghiệm nghề nghiệp để được cấp chứng chỉ hành nghề lập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Cá nhân được xét cấp chứng chỉ hành nghề lập quy hoạch đô thị và nông thôn khi đáp ứng điều kiện chung quy định tại Điều 79 Nghị định này và điều kiện kinh nghiệm nghề nghiệp tương ứng với các hạng chứng chỉ hành nghề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Hạng I: Đã làm chủ nhiệm hoặc chủ trì lập quy hoạch đô thị và nông thôn của lĩnh vực chuyên môn 01 quy hoạch đô thị và nông thôn đã được Thủ tướng Chính phủ phê duyệt hoặc 02 quy hoạch đô thị và nông thôn (trong đó có 01 quy hoạch chung hoặc quy hoạch phân khu) đã được Ủy ban nhân dân cấp tỉnh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2. Hạng II: Đã làm chủ nhiệm hoặc chủ trì lập quy hoạch đô thị và nông thôn của lĩnh vực chuyên môn 01 quy hoạch đô thị và nông thôn đã được Ủy ban nhân dân cấp tỉnh phê duyệt hoặc 02 quy hoạch đô thị và nông thôn đã được Ủy ban nhân dân cấp xã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Hạng III: Đã tham gia lập quy hoạch đô thị và nông thôn của lĩnh vực chuyên môn 02 quy hoạch đô thị và nông thôn đã được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o) Sửa đổi, bổ sung điểm b khoản 5 Điều 98 như sau: “b) Đối với tổ chức lập quy hoạch đô thị và nông thôn: cá nhân đảm nhận chức danh chủ nhiệm, chủ trì các lĩnh vực chuyên môn về quy hoạch đô thị và nông thôn, kiến trúc, giao thông, điện, cấp - thoát nước của quy hoạch đô thị và nông thôn phải có chứng chỉ hành nghề tương ứng theo quy định tại Mục 2 Phụ lục VII Nghị định này, phù hợp với hạng đề nghị cấp chứng chỉ của tổ chức;”;</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p) Sửa đổi, bổ sung Điều 103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103. Điều kiện năng lực của tổ chức lập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Tổ chức lập quy hoạch đô thị và nông thôn phải đáp ứng các điều kiện tương ứng đối với các hạng năng lực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Hạng 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Có ít nhất 02 cá nhân đảm nhận chức danh chủ nhiệm, chủ trì đối với mỗi lĩnh vực chuyên môn về quy hoạch đô thị và nông thôn, kiến trúc, giao thông, điện, cấp - thoát nước của quy hoạch đô thị và nông thôn có chứng chỉ hành nghề hạng I phù hợp với lĩnh vực chuyên môn đảm nhận;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Đã thực hiện lập ít nhất 01 quy hoạch đô thị và nông thôn thuộc thẩm quyền và đã được Thủ tướng Chính phủ phê duyệt hoặc 02 quy hoạch đô thị và nông thôn (trong đó ít nhất 01 quy hoạch chung) thuộc thẩm quyền và đã được Ủy ban nhân dân cấp tỉnh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Hạng II: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Cá nhân đảm nhận chức danh chủ nhiệm, chủ trì các lĩnh vực chuyên môn về quy hoạch đô thị và nông thôn, kiến trúc, giao thông, điện, cấp thoát - nước của quy hoạch đô thị và nông thôn có chứng chỉ hành nghề từ hạng II trở lên phù hợp với lĩnh vực chuyên môn đảm nhận;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Đã thực hiện lập ít nhất 01 quy hoạch đô thị và nông thôn thuộc thẩm quyền và đã được Ủy ban nhân dân cấp tỉnh phê duyệt.</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Hạng III:</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Cá nhân đảm nhận chức danh chủ nhiệm, chủ trì các lĩnh vực chuyên môn về quy hoạch đô thị và nông thôn, kiến trúc, giao thông, điện, cấp thoát - nước của quy hoạch đô thị và nông thôn có chứng chỉ hành nghề từ hạng III trở lên phù hợp với lĩnh vực chuyên môn đảm nhận.”;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q) Thay thế cụm từ “quy hoạch đô thị, quy hoạch xây dựng” tại khoản 13 Điều 122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r) Sửa đổi, bổ sung tại số thứ tự 2 tại Phụ lục VIII kèm theo Nghị định số 175/2024/NĐ-CP ngày 30 tháng 12 năm 2024 của Chính phủ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
        <w:gridCol w:w="1334"/>
        <w:gridCol w:w="1715"/>
        <w:gridCol w:w="2479"/>
        <w:gridCol w:w="2765"/>
        <w:gridCol w:w="572"/>
      </w:tblGrid>
      <w:tr w:rsidR="007F3B93" w:rsidRPr="007F3B93" w:rsidTr="007F3B93">
        <w:trPr>
          <w:tblCellSpacing w:w="0" w:type="dxa"/>
        </w:trPr>
        <w:tc>
          <w:tcPr>
            <w:tcW w:w="250" w:type="pct"/>
            <w:tcBorders>
              <w:top w:val="single" w:sz="8" w:space="0" w:color="000000"/>
              <w:left w:val="single" w:sz="8" w:space="0" w:color="000000"/>
              <w:bottom w:val="single" w:sz="8" w:space="0" w:color="000000"/>
              <w:right w:val="single" w:sz="8" w:space="0" w:color="000000"/>
            </w:tcBorders>
            <w:shd w:val="clear" w:color="auto" w:fill="FFFFFF"/>
            <w:hideMark/>
          </w:tcPr>
          <w:p w:rsidR="007F3B93" w:rsidRPr="007F3B93" w:rsidRDefault="007F3B93" w:rsidP="007F3B93">
            <w:pPr>
              <w:spacing w:after="0" w:line="240" w:lineRule="auto"/>
              <w:jc w:val="center"/>
              <w:rPr>
                <w:rFonts w:ascii="Arial" w:eastAsia="Times New Roman" w:hAnsi="Arial" w:cs="Arial"/>
                <w:color w:val="000000"/>
                <w:sz w:val="20"/>
                <w:szCs w:val="20"/>
              </w:rPr>
            </w:pPr>
            <w:r w:rsidRPr="007F3B93">
              <w:rPr>
                <w:rFonts w:ascii="Arial" w:eastAsia="Times New Roman" w:hAnsi="Arial" w:cs="Arial"/>
                <w:color w:val="000000"/>
                <w:sz w:val="20"/>
                <w:szCs w:val="20"/>
              </w:rPr>
              <w:t>2</w:t>
            </w:r>
          </w:p>
        </w:tc>
        <w:tc>
          <w:tcPr>
            <w:tcW w:w="700" w:type="pct"/>
            <w:tcBorders>
              <w:top w:val="single" w:sz="8" w:space="0" w:color="000000"/>
              <w:left w:val="nil"/>
              <w:bottom w:val="single" w:sz="8" w:space="0" w:color="000000"/>
              <w:right w:val="single" w:sz="8" w:space="0" w:color="000000"/>
            </w:tcBorders>
            <w:shd w:val="clear" w:color="auto" w:fill="FFFFFF"/>
            <w:hideMark/>
          </w:tcPr>
          <w:p w:rsidR="007F3B93" w:rsidRPr="007F3B93" w:rsidRDefault="007F3B93" w:rsidP="007F3B93">
            <w:pPr>
              <w:spacing w:after="0" w:line="240" w:lineRule="auto"/>
              <w:rPr>
                <w:rFonts w:ascii="Arial" w:eastAsia="Times New Roman" w:hAnsi="Arial" w:cs="Arial"/>
                <w:color w:val="000000"/>
                <w:sz w:val="20"/>
                <w:szCs w:val="20"/>
              </w:rPr>
            </w:pPr>
            <w:r w:rsidRPr="007F3B93">
              <w:rPr>
                <w:rFonts w:ascii="Arial" w:eastAsia="Times New Roman" w:hAnsi="Arial" w:cs="Arial"/>
                <w:color w:val="000000"/>
                <w:sz w:val="20"/>
                <w:szCs w:val="20"/>
              </w:rPr>
              <w:t>Lập quy hoạch đô thị và nông thôn</w:t>
            </w:r>
          </w:p>
        </w:tc>
        <w:tc>
          <w:tcPr>
            <w:tcW w:w="900" w:type="pct"/>
            <w:tcBorders>
              <w:top w:val="single" w:sz="8" w:space="0" w:color="000000"/>
              <w:left w:val="nil"/>
              <w:bottom w:val="single" w:sz="8" w:space="0" w:color="000000"/>
              <w:right w:val="single" w:sz="8" w:space="0" w:color="000000"/>
            </w:tcBorders>
            <w:shd w:val="clear" w:color="auto" w:fill="FFFFFF"/>
            <w:hideMark/>
          </w:tcPr>
          <w:p w:rsidR="007F3B93" w:rsidRPr="007F3B93" w:rsidRDefault="007F3B93" w:rsidP="007F3B93">
            <w:pPr>
              <w:spacing w:after="0" w:line="240" w:lineRule="auto"/>
              <w:rPr>
                <w:rFonts w:ascii="Arial" w:eastAsia="Times New Roman" w:hAnsi="Arial" w:cs="Arial"/>
                <w:color w:val="000000"/>
                <w:sz w:val="20"/>
                <w:szCs w:val="20"/>
              </w:rPr>
            </w:pPr>
            <w:r w:rsidRPr="007F3B93">
              <w:rPr>
                <w:rFonts w:ascii="Arial" w:eastAsia="Times New Roman" w:hAnsi="Arial" w:cs="Arial"/>
                <w:color w:val="000000"/>
                <w:sz w:val="20"/>
                <w:szCs w:val="20"/>
              </w:rPr>
              <w:t>Được lập nhiệm vụ quy hoạch, tất cả các quy hoạch đô thị và nông thôn</w:t>
            </w:r>
          </w:p>
        </w:tc>
        <w:tc>
          <w:tcPr>
            <w:tcW w:w="1300" w:type="pct"/>
            <w:tcBorders>
              <w:top w:val="single" w:sz="8" w:space="0" w:color="000000"/>
              <w:left w:val="nil"/>
              <w:bottom w:val="single" w:sz="8" w:space="0" w:color="000000"/>
              <w:right w:val="single" w:sz="8" w:space="0" w:color="000000"/>
            </w:tcBorders>
            <w:shd w:val="clear" w:color="auto" w:fill="FFFFFF"/>
            <w:hideMark/>
          </w:tcPr>
          <w:p w:rsidR="007F3B93" w:rsidRPr="007F3B93" w:rsidRDefault="007F3B93" w:rsidP="007F3B93">
            <w:pPr>
              <w:spacing w:after="0" w:line="240" w:lineRule="auto"/>
              <w:rPr>
                <w:rFonts w:ascii="Arial" w:eastAsia="Times New Roman" w:hAnsi="Arial" w:cs="Arial"/>
                <w:color w:val="000000"/>
                <w:sz w:val="20"/>
                <w:szCs w:val="20"/>
              </w:rPr>
            </w:pPr>
            <w:r w:rsidRPr="007F3B93">
              <w:rPr>
                <w:rFonts w:ascii="Arial" w:eastAsia="Times New Roman" w:hAnsi="Arial" w:cs="Arial"/>
                <w:color w:val="000000"/>
                <w:sz w:val="20"/>
                <w:szCs w:val="20"/>
              </w:rPr>
              <w:t>Được lập nhiệm vụ quy hoạch, lập các quy hoạch đô thị và nông thôn thuộc thẩm quyền phê duyệt của Ủy ban nhân dân cấp tỉnh</w:t>
            </w:r>
          </w:p>
        </w:tc>
        <w:tc>
          <w:tcPr>
            <w:tcW w:w="1450" w:type="pct"/>
            <w:tcBorders>
              <w:top w:val="single" w:sz="8" w:space="0" w:color="000000"/>
              <w:left w:val="nil"/>
              <w:bottom w:val="single" w:sz="8" w:space="0" w:color="000000"/>
              <w:right w:val="single" w:sz="8" w:space="0" w:color="000000"/>
            </w:tcBorders>
            <w:shd w:val="clear" w:color="auto" w:fill="FFFFFF"/>
            <w:hideMark/>
          </w:tcPr>
          <w:p w:rsidR="007F3B93" w:rsidRPr="007F3B93" w:rsidRDefault="007F3B93" w:rsidP="007F3B93">
            <w:pPr>
              <w:spacing w:after="0" w:line="240" w:lineRule="auto"/>
              <w:rPr>
                <w:rFonts w:ascii="Arial" w:eastAsia="Times New Roman" w:hAnsi="Arial" w:cs="Arial"/>
                <w:color w:val="000000"/>
                <w:sz w:val="20"/>
                <w:szCs w:val="20"/>
              </w:rPr>
            </w:pPr>
            <w:r w:rsidRPr="007F3B93">
              <w:rPr>
                <w:rFonts w:ascii="Arial" w:eastAsia="Times New Roman" w:hAnsi="Arial" w:cs="Arial"/>
                <w:color w:val="000000"/>
                <w:sz w:val="20"/>
                <w:szCs w:val="20"/>
              </w:rPr>
              <w:t>Được lập nhiệm vụ quy hoạch, lập các quy hoạch đô thị và nông thôn thuộc thẩm quyền phê duyệt của Ủy ban nhân dân cấp xã phê duyệt</w:t>
            </w:r>
          </w:p>
        </w:tc>
        <w:tc>
          <w:tcPr>
            <w:tcW w:w="300" w:type="pct"/>
            <w:tcBorders>
              <w:top w:val="single" w:sz="8" w:space="0" w:color="000000"/>
              <w:left w:val="nil"/>
              <w:bottom w:val="single" w:sz="8" w:space="0" w:color="000000"/>
              <w:right w:val="single" w:sz="8" w:space="0" w:color="000000"/>
            </w:tcBorders>
            <w:shd w:val="clear" w:color="auto" w:fill="FFFFFF"/>
            <w:hideMark/>
          </w:tcPr>
          <w:p w:rsidR="007F3B93" w:rsidRPr="007F3B93" w:rsidRDefault="007F3B93" w:rsidP="007F3B93">
            <w:pPr>
              <w:spacing w:after="0" w:line="240" w:lineRule="auto"/>
              <w:jc w:val="center"/>
              <w:rPr>
                <w:rFonts w:ascii="Arial" w:eastAsia="Times New Roman" w:hAnsi="Arial" w:cs="Arial"/>
                <w:color w:val="000000"/>
                <w:sz w:val="20"/>
                <w:szCs w:val="20"/>
              </w:rPr>
            </w:pPr>
            <w:r w:rsidRPr="007F3B93">
              <w:rPr>
                <w:rFonts w:ascii="Arial" w:eastAsia="Times New Roman" w:hAnsi="Arial" w:cs="Arial"/>
                <w:color w:val="000000"/>
                <w:sz w:val="20"/>
                <w:szCs w:val="20"/>
              </w:rPr>
              <w:t> </w:t>
            </w:r>
          </w:p>
        </w:tc>
      </w:tr>
    </w:tbl>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Sửa đổi, bổ sung một số điều, khoản, điểm của Nghị định số 111/2024/NĐ-CP ngày 06 tháng 9 năm 2024 của Chính phủ quy định về hệ thống thông tin, cơ sở dữ liệu quốc gia về hoạt động xây dựng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Thay thế cụm từ “quy hoạch xây dựng” tại khoản 2 Điều 1, khoản 3 Điều 3, điểm b khoản 1 Điều 7, khoản 4 Điều 8, tên khoản 5 và điểm b khoản 5 Điều 10, khoản 5 Điều 12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b) Sửa đổi, bổ sung Điều 6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6. Cơ sở dữ liệu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Thông tin, dữ liệu trong cơ sở dữ liệu quy hoạch đô thị và nông thôn được phân loại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Quy hoạch đô thị;</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Quy hoạch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Quy hoạch khu chức năng;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Quy hoạch không gian ngầm đối với thành phố trực thuộc trung ương;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đ) Quy hoạch chuyên ngành hạ tầng kỹ thuật đô thị đối với thành phố trực thuộc trung ương.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Thông tin về quy hoạch đô thị và nông thôn được thu thập, cập nhật trong cơ sở dữ liệu quy hoạch đô thị và nông thôn bao gồm:</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Thông tin chung: Tên quy hoạch, loại quy hoạch; địa điểm, quy mô diện tích khu vực lập quy hoạch; cơ quan, tổ chức lập quy hoạch; cơ quan thẩm định, phê duyệt quy hoạch; năm phê duyệt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Thông tin chi tiết: Các hồ sơ, văn bản về quy hoạch đô thị và nông thôn và một số hoặc các thông tin tại các hồ sơ, văn bản này, bao gồm: Quyết định phê duyệt nhiệm vụ quy hoạch, quy hoạch đô thị và nông thôn của cấp có thẩm quyền; các bản vẽ, thuyết minh tổng hợp, thiết kế đô thị (nếu có), quy định quản lý theo quy hoạch đã được phê duyệt (nếu có); kế hoạch thực hiện quy hoạch đô thị và nông thôn; thông tin liên quan khác (nếu có).</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Thông tin chung và một số thông tin chi tiết trong cơ sở dữ liệu về quy hoạch đô thị và nông thôn là dữ liệu mở được công bố trên cổng dữ liệu quốc gia, cổng thông tin điện tử của Bộ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Dữ liệu chủ trong cơ sở dữ liệu quy hoạch đô thị và nông thôn gồm mã số thông tin quy định tại điểm a khoản 2 Điều 8 Nghị định này và các thông tin chung nêu tại điểm a khoản 2 Điều này.”;</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Thay thế cụm từ “đồ án quy hoạch xây dựng” tại tên khoản 2 Điều 8, khoản 1 Điều 10 thành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Sửa đổi, bổ sung một số điều, khoản, điểm của Nghị định số 100/2024/NĐ-CP ngày 26 tháng 7 năm 2024 của Chính phủ quy định chi tiết một số điều của Luật Nhà ở về phát triển và quản lý nhà ở xã hội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Thay thế cụm từ “quy hoạch xây dựng” tại Điều 5 và điểm a khoản 2 Điều 27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Thay thế cụm từ “quy hoạch xây dựng” tại khoản 1 Điều 58 thành cụm từ “quy hoạch”.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4. Sửa đổi, bổ sung một số điều, khoản, điểm của Nghị định số 98/2024/NĐ-CP ngày 25 tháng 7 năm 2024 của Chính phủ quy định chi tiết một số điều của Luật Nhà ở về cải tạo, xây dựng lại nhà chung cư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Bổ sung “Căn cứ Luật Quy hoạch đô thị và nông thôn ngày 26 tháng 11 năm 2024” tại phần về căn cứ</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Thay thế cụm từ “quy hoạch xây dựng” tại điểm c khoản 2 Điều 24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Thay thế cụm từ “quy hoạch đô thị” tại khoản 5 Điều 6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5. Sửa đổi, bổ sung một số điều, khoản, điểm của Nghị định số 96/2024/NĐ-CP ngày 24 tháng 7 năm 2024 của Chính phủ quy định chi tiết một số điều của Luật Kinh doanh bất động sản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Thay thế cụm từ “quy hoạch xây dựng” tại khoản 2 Điều 37 và Phụ lục X, Phụ lục XII và Phụ lục XIII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b) Thay thế cụm từ “quy hoạch xây dựng” tại điểm a khoản 2 Điều 4, điểm b khoản 2 Điều 9, điểm d khoản 3 Điều 10 và khoản 2 Điều 35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6. Sửa đổi, bổ sung một số điều, khoản, điểm của Nghị định số 95/2024/NĐ-CP ngày 24 tháng 7 năm 2024 của Chính phủ quy định chi tiết một số điều của Luật Nhà ở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Thay thế cụm từ “quy hoạch xây dựng, quy hoạch đô thị” tại Điều 14 và Phụ lục II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Thay thế cụm từ “quy hoạch xây dựng nhà ở công vụ, quy hoạch xây dựng công trình thuộc dự án quan trọng quốc gia” tại điểm a khoản 1 Điều 68 thành cụm từ “quy hoạch để xây dựng nhà ở công vụ, công trình thuộc dự án quan trọng quốc gia”;</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Thay thế cụm từ “quy hoạch xây dựng” tại Mẫu đơn số 02 Phụ lục V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7. Sửa đổi, bổ sung một số điều, khoản, điểm của Nghị định số 10/2024/NĐ-CP ngày 01 tháng 02 năm 2024 của Chính phủ quy định về khu công nghệ cao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Thay thế cụm từ “quy hoạch xây dựng khu công nghệ cao” tại khoản 5 Điều 4, khoản 2 Điều 9, khoản 5 Điều 10, điểm c khoản 3 Điều 24, khoản 6 Điều 45, điểm d khoản 4 Điều 47 thành cụm từ “quy hoạch khu công nghệ cao”;</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Bỏ cụm từ “xây dựng” trong cụm từ “quy hoạch xây dựng” tại khoản 1 Điều 17, khoản 6 Điều 44, khoản 7 Điều 45;</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Thay thế cụm từ “quy hoạch xây dựng” tại điểm a khoản 4 Điều 21, khoản 2 Điều 40, điểm b khoản 6 và điểm a khoản 7 Điều 47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8. Sửa đổi, bổ sung một số điều, khoản, điểm của Nghị định số 35/2022/NĐ-CP ngày 28 tháng 5 năm 2022 của Chính phủ quy định về quản lý khu công nghiệp và khu kinh tế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Bỏ cụm từ “xây dựng” trong các cụm từ “quy hoạch xây dựng khu công nghiệp’, “quy hoạch xây dựng khu kinh tế”, “quy hoạch chung xây dựng”, “quy hoạch phân khu xây dựng” và “quy hoạch chi tiết xây dựng” tại nội dung quy định của Nghị định số 35/2022/NĐ-CP ngày 28 tháng 5 năm 2022 của Chính phủ quy định về quản lý khu công nghiệp và khu kinh tế;</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Sửa đổi, bổ sung cụm từ “quy hoạch xây dựng nhà ở” tại điểm d khoản 4 Điều 4, khoản 7 Điều 9, khoản 5 Điều 29 thành cụm từ “quy hoạch, xây dựng nhà ở”;</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Thay thế cụm từ “quy hoạch xây dựng” tại khoản 12 Điều 7, điểm a khoản 3 Điều 27, điểm a khoản 3 Điều 29, khoản 1 Điều 38, điểm a khoản 2 Điều 68 thành cụm từ “quy hoạch theo pháp luật về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d) Thay thế cụm từ “quy hoạch xây dựng” tại khoản 2 Điều 51, điểm l khoản 3 Điều 69 thành cụm từ “quy hoạch đô thị và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9. Sửa đổi, bổ sung một số điều, khoản, điểm của Nghị định số 85/2020/NĐ-CP ngày 17 tháng 7 năm 2020 của Chính phủ quy định chi tiết một số điều của Luật Kiến trúc như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Sửa đổi, bổ sung khoản 1 Điều 17 như sau: “1. Có nhiệm vụ thiết kế phù hợp với quy hoạch đô thị và nông thôn, quy chế quản lý kiến trúc (nếu có) được cấp có thẩm quyền phê duyệt, ban hành.”;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b) Thay thế cụm từ “quy hoạch xây dựng nông thôn” tại điểm e khoản 1 Điều 13 thành cụm từ “quy hoạch nông thôn”.</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b/>
          <w:bCs/>
          <w:color w:val="000000"/>
          <w:sz w:val="20"/>
          <w:szCs w:val="20"/>
        </w:rPr>
        <w:t>Điều 29. Hiệu lực thi hành</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1. Nghị định này có hiệu lực thi hành từ ngày 01 tháng 7 năm 2025.</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2. Bãi bỏ các văn bản pháp luật sau:</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a) Nghị định số 37/2010/NĐ-CP ngày 07 tháng 4 năm 2010 của Chính phủ về lập, thẩm định, phê duyệt và quản lý quy hoạch đô thị;</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lastRenderedPageBreak/>
        <w:t>b) Nghị định số 44/2015/NĐ-CP ngày 06 tháng 5 năm 2015 của Chính phủ quy định chi tiết một số nội dung về quy hoạch xây dựng;</w:t>
      </w:r>
    </w:p>
    <w:p w:rsidR="007F3B93" w:rsidRPr="007F3B93" w:rsidRDefault="007F3B93" w:rsidP="007F3B93">
      <w:pPr>
        <w:shd w:val="clear" w:color="auto" w:fill="FFFFFF"/>
        <w:spacing w:after="12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c)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sidR="007F3B93" w:rsidRPr="007F3B93" w:rsidRDefault="007F3B93" w:rsidP="007F3B93">
      <w:pPr>
        <w:shd w:val="clear" w:color="auto" w:fill="FFFFFF"/>
        <w:spacing w:after="0" w:line="240" w:lineRule="auto"/>
        <w:ind w:firstLine="720"/>
        <w:jc w:val="both"/>
        <w:rPr>
          <w:rFonts w:ascii="Arial" w:eastAsia="Times New Roman" w:hAnsi="Arial" w:cs="Arial"/>
          <w:color w:val="000000"/>
          <w:sz w:val="20"/>
          <w:szCs w:val="20"/>
        </w:rPr>
      </w:pPr>
      <w:r w:rsidRPr="007F3B93">
        <w:rPr>
          <w:rFonts w:ascii="Arial" w:eastAsia="Times New Roman" w:hAnsi="Arial" w:cs="Arial"/>
          <w:color w:val="000000"/>
          <w:sz w:val="20"/>
          <w:szCs w:val="20"/>
        </w:rPr>
        <w:t>3. Bãi bỏ Điều 1 và Điều 2 quy định về quy hoạch chi tiết theo quy trình rút gọn tại Nghị định số 35/2023/NĐ-CP ngày 20 tháng 6 năm 2023 của Chính phủ sửa đổi, bổ sung một số điều của các Nghị định thuộc lĩnh vực quản lý nhà nước của Bộ Xây dựng.</w:t>
      </w:r>
    </w:p>
    <w:p w:rsidR="007F3B93" w:rsidRPr="007F3B93" w:rsidRDefault="007F3B93" w:rsidP="007F3B93">
      <w:pPr>
        <w:shd w:val="clear" w:color="auto" w:fill="FFFFFF"/>
        <w:spacing w:after="0" w:line="240" w:lineRule="auto"/>
        <w:rPr>
          <w:rFonts w:ascii="Arial" w:eastAsia="Times New Roman" w:hAnsi="Arial" w:cs="Arial"/>
          <w:color w:val="000000"/>
          <w:sz w:val="20"/>
          <w:szCs w:val="20"/>
        </w:rPr>
      </w:pPr>
      <w:r w:rsidRPr="007F3B93">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F3B93" w:rsidRPr="007F3B93" w:rsidTr="007F3B93">
        <w:trPr>
          <w:tblCellSpacing w:w="0" w:type="dxa"/>
        </w:trPr>
        <w:tc>
          <w:tcPr>
            <w:tcW w:w="2500" w:type="pct"/>
            <w:shd w:val="clear" w:color="auto" w:fill="FFFFFF"/>
            <w:tcMar>
              <w:top w:w="0" w:type="dxa"/>
              <w:left w:w="108" w:type="dxa"/>
              <w:bottom w:w="0" w:type="dxa"/>
              <w:right w:w="108" w:type="dxa"/>
            </w:tcMar>
            <w:hideMark/>
          </w:tcPr>
          <w:p w:rsidR="007F3B93" w:rsidRPr="007F3B93" w:rsidRDefault="007F3B93" w:rsidP="007F3B93">
            <w:pPr>
              <w:spacing w:after="0" w:line="240" w:lineRule="auto"/>
              <w:rPr>
                <w:rFonts w:ascii="Arial" w:eastAsia="Times New Roman" w:hAnsi="Arial" w:cs="Arial"/>
                <w:color w:val="000000"/>
                <w:sz w:val="20"/>
                <w:szCs w:val="20"/>
              </w:rPr>
            </w:pPr>
            <w:r w:rsidRPr="007F3B93">
              <w:rPr>
                <w:rFonts w:ascii="Arial" w:eastAsia="Times New Roman" w:hAnsi="Arial" w:cs="Arial"/>
                <w:b/>
                <w:bCs/>
                <w:i/>
                <w:iCs/>
                <w:color w:val="000000"/>
                <w:sz w:val="20"/>
                <w:szCs w:val="20"/>
              </w:rPr>
              <w:t>Nơi nhận:</w:t>
            </w:r>
            <w:r w:rsidRPr="007F3B93">
              <w:rPr>
                <w:rFonts w:ascii="Arial" w:eastAsia="Times New Roman" w:hAnsi="Arial" w:cs="Arial"/>
                <w:b/>
                <w:bCs/>
                <w:i/>
                <w:iCs/>
                <w:color w:val="000000"/>
                <w:sz w:val="20"/>
                <w:szCs w:val="20"/>
              </w:rPr>
              <w:br/>
            </w:r>
            <w:r w:rsidRPr="007F3B93">
              <w:rPr>
                <w:rFonts w:ascii="Arial" w:eastAsia="Times New Roman" w:hAnsi="Arial" w:cs="Arial"/>
                <w:color w:val="000000"/>
                <w:sz w:val="20"/>
                <w:szCs w:val="20"/>
              </w:rPr>
              <w:t>- Ban Bí thư Trung ương Đảng;</w:t>
            </w:r>
            <w:r w:rsidRPr="007F3B93">
              <w:rPr>
                <w:rFonts w:ascii="Arial" w:eastAsia="Times New Roman" w:hAnsi="Arial" w:cs="Arial"/>
                <w:color w:val="000000"/>
                <w:sz w:val="20"/>
                <w:szCs w:val="20"/>
              </w:rPr>
              <w:br/>
              <w:t>- Thủ tướng, các Phó Thủ tướng Chính phủ;</w:t>
            </w:r>
            <w:r w:rsidRPr="007F3B93">
              <w:rPr>
                <w:rFonts w:ascii="Arial" w:eastAsia="Times New Roman" w:hAnsi="Arial" w:cs="Arial"/>
                <w:color w:val="000000"/>
                <w:sz w:val="20"/>
                <w:szCs w:val="20"/>
              </w:rPr>
              <w:br/>
              <w:t>- Các bộ, cơ quan ngang bộ, cơ quan thuộc Chính phủ;</w:t>
            </w:r>
            <w:r w:rsidRPr="007F3B93">
              <w:rPr>
                <w:rFonts w:ascii="Arial" w:eastAsia="Times New Roman" w:hAnsi="Arial" w:cs="Arial"/>
                <w:color w:val="000000"/>
                <w:sz w:val="20"/>
                <w:szCs w:val="20"/>
              </w:rPr>
              <w:br/>
              <w:t>- HĐND, UBND các tỉnh, thành phố trực thuộc trung ương;</w:t>
            </w:r>
            <w:r w:rsidRPr="007F3B93">
              <w:rPr>
                <w:rFonts w:ascii="Arial" w:eastAsia="Times New Roman" w:hAnsi="Arial" w:cs="Arial"/>
                <w:color w:val="000000"/>
                <w:sz w:val="20"/>
                <w:szCs w:val="20"/>
              </w:rPr>
              <w:br/>
              <w:t>- Văn phòng Trung ương và các Ban của Đảng;</w:t>
            </w:r>
            <w:r w:rsidRPr="007F3B93">
              <w:rPr>
                <w:rFonts w:ascii="Arial" w:eastAsia="Times New Roman" w:hAnsi="Arial" w:cs="Arial"/>
                <w:color w:val="000000"/>
                <w:sz w:val="20"/>
                <w:szCs w:val="20"/>
              </w:rPr>
              <w:br/>
              <w:t>- Văn phòng Tổng Bí thư;</w:t>
            </w:r>
            <w:r w:rsidRPr="007F3B93">
              <w:rPr>
                <w:rFonts w:ascii="Arial" w:eastAsia="Times New Roman" w:hAnsi="Arial" w:cs="Arial"/>
                <w:color w:val="000000"/>
                <w:sz w:val="20"/>
                <w:szCs w:val="20"/>
              </w:rPr>
              <w:br/>
              <w:t>- Văn phòng Chủ tịch nước;</w:t>
            </w:r>
            <w:r w:rsidRPr="007F3B93">
              <w:rPr>
                <w:rFonts w:ascii="Arial" w:eastAsia="Times New Roman" w:hAnsi="Arial" w:cs="Arial"/>
                <w:color w:val="000000"/>
                <w:sz w:val="20"/>
                <w:szCs w:val="20"/>
              </w:rPr>
              <w:br/>
              <w:t>- Hội đồng Dân tộc và các Ủy ban của Quốc hội;</w:t>
            </w:r>
            <w:r w:rsidRPr="007F3B93">
              <w:rPr>
                <w:rFonts w:ascii="Arial" w:eastAsia="Times New Roman" w:hAnsi="Arial" w:cs="Arial"/>
                <w:color w:val="000000"/>
                <w:sz w:val="20"/>
                <w:szCs w:val="20"/>
              </w:rPr>
              <w:br/>
              <w:t>- Văn phòng Quốc hội;</w:t>
            </w:r>
            <w:r w:rsidRPr="007F3B93">
              <w:rPr>
                <w:rFonts w:ascii="Arial" w:eastAsia="Times New Roman" w:hAnsi="Arial" w:cs="Arial"/>
                <w:color w:val="000000"/>
                <w:sz w:val="20"/>
                <w:szCs w:val="20"/>
              </w:rPr>
              <w:br/>
              <w:t>- Tòa án nhân dân tối cao;</w:t>
            </w:r>
            <w:r w:rsidRPr="007F3B93">
              <w:rPr>
                <w:rFonts w:ascii="Arial" w:eastAsia="Times New Roman" w:hAnsi="Arial" w:cs="Arial"/>
                <w:color w:val="000000"/>
                <w:sz w:val="20"/>
                <w:szCs w:val="20"/>
              </w:rPr>
              <w:br/>
              <w:t>- Viện kiểm sát nhân dân tối cao;</w:t>
            </w:r>
            <w:r w:rsidRPr="007F3B93">
              <w:rPr>
                <w:rFonts w:ascii="Arial" w:eastAsia="Times New Roman" w:hAnsi="Arial" w:cs="Arial"/>
                <w:color w:val="000000"/>
                <w:sz w:val="20"/>
                <w:szCs w:val="20"/>
              </w:rPr>
              <w:br/>
              <w:t>- Kiểm toán nhà nước;</w:t>
            </w:r>
            <w:r w:rsidRPr="007F3B93">
              <w:rPr>
                <w:rFonts w:ascii="Arial" w:eastAsia="Times New Roman" w:hAnsi="Arial" w:cs="Arial"/>
                <w:color w:val="000000"/>
                <w:sz w:val="20"/>
                <w:szCs w:val="20"/>
              </w:rPr>
              <w:br/>
              <w:t>- Ủy ban Trung ương Mặt trận Tổ quốc Việt Nam;</w:t>
            </w:r>
            <w:r w:rsidRPr="007F3B93">
              <w:rPr>
                <w:rFonts w:ascii="Arial" w:eastAsia="Times New Roman" w:hAnsi="Arial" w:cs="Arial"/>
                <w:color w:val="000000"/>
                <w:sz w:val="20"/>
                <w:szCs w:val="20"/>
              </w:rPr>
              <w:br/>
              <w:t>- Cơ quan trung ương của các đoàn thể;</w:t>
            </w:r>
            <w:r w:rsidRPr="007F3B93">
              <w:rPr>
                <w:rFonts w:ascii="Arial" w:eastAsia="Times New Roman" w:hAnsi="Arial" w:cs="Arial"/>
                <w:color w:val="000000"/>
                <w:sz w:val="20"/>
                <w:szCs w:val="20"/>
              </w:rPr>
              <w:br/>
              <w:t>- VPCP: BTCN, các PCN, Trợ lý TTg, TGĐ Cổng TTĐT,</w:t>
            </w:r>
            <w:r w:rsidRPr="007F3B93">
              <w:rPr>
                <w:rFonts w:ascii="Arial" w:eastAsia="Times New Roman" w:hAnsi="Arial" w:cs="Arial"/>
                <w:color w:val="000000"/>
                <w:sz w:val="20"/>
                <w:szCs w:val="20"/>
              </w:rPr>
              <w:br/>
              <w:t>các Vụ, Cục, đơn vị trực thuộc, Công báo;</w:t>
            </w:r>
            <w:r w:rsidRPr="007F3B93">
              <w:rPr>
                <w:rFonts w:ascii="Arial" w:eastAsia="Times New Roman" w:hAnsi="Arial" w:cs="Arial"/>
                <w:color w:val="000000"/>
                <w:sz w:val="20"/>
                <w:szCs w:val="20"/>
              </w:rPr>
              <w:br/>
              <w:t>- Lưu: VT, CN (2b). </w:t>
            </w:r>
            <w:r w:rsidRPr="007F3B93">
              <w:rPr>
                <w:rFonts w:ascii="Arial" w:eastAsia="Times New Roman" w:hAnsi="Arial" w:cs="Arial"/>
                <w:color w:val="000000"/>
                <w:sz w:val="20"/>
                <w:szCs w:val="20"/>
                <w:vertAlign w:val="subscript"/>
              </w:rPr>
              <w:t>Tuấn</w:t>
            </w:r>
          </w:p>
        </w:tc>
        <w:tc>
          <w:tcPr>
            <w:tcW w:w="2500" w:type="pct"/>
            <w:shd w:val="clear" w:color="auto" w:fill="FFFFFF"/>
            <w:tcMar>
              <w:top w:w="0" w:type="dxa"/>
              <w:left w:w="108" w:type="dxa"/>
              <w:bottom w:w="0" w:type="dxa"/>
              <w:right w:w="108" w:type="dxa"/>
            </w:tcMar>
            <w:hideMark/>
          </w:tcPr>
          <w:p w:rsidR="007F7FED" w:rsidRDefault="007F3B93" w:rsidP="007F3B93">
            <w:pPr>
              <w:spacing w:after="0" w:line="240" w:lineRule="auto"/>
              <w:jc w:val="center"/>
              <w:rPr>
                <w:rFonts w:ascii="Arial" w:eastAsia="Times New Roman" w:hAnsi="Arial" w:cs="Arial"/>
                <w:color w:val="000000"/>
                <w:sz w:val="20"/>
                <w:szCs w:val="20"/>
              </w:rPr>
            </w:pPr>
            <w:r w:rsidRPr="007F3B93">
              <w:rPr>
                <w:rFonts w:ascii="Arial" w:eastAsia="Times New Roman" w:hAnsi="Arial" w:cs="Arial"/>
                <w:b/>
                <w:bCs/>
                <w:color w:val="000000"/>
                <w:sz w:val="20"/>
                <w:szCs w:val="20"/>
              </w:rPr>
              <w:t>TM. CHÍNH PHỦ</w:t>
            </w:r>
            <w:r w:rsidRPr="007F3B93">
              <w:rPr>
                <w:rFonts w:ascii="Arial" w:eastAsia="Times New Roman" w:hAnsi="Arial" w:cs="Arial"/>
                <w:b/>
                <w:bCs/>
                <w:color w:val="000000"/>
                <w:sz w:val="20"/>
                <w:szCs w:val="20"/>
              </w:rPr>
              <w:br/>
              <w:t>KT. THỦ TƯỚNG</w:t>
            </w:r>
            <w:r w:rsidRPr="007F3B93">
              <w:rPr>
                <w:rFonts w:ascii="Arial" w:eastAsia="Times New Roman" w:hAnsi="Arial" w:cs="Arial"/>
                <w:b/>
                <w:bCs/>
                <w:color w:val="000000"/>
                <w:sz w:val="20"/>
                <w:szCs w:val="20"/>
              </w:rPr>
              <w:br/>
              <w:t>PHÓ THỦ TƯỚNG</w:t>
            </w:r>
            <w:r w:rsidRPr="007F3B93">
              <w:rPr>
                <w:rFonts w:ascii="Arial" w:eastAsia="Times New Roman" w:hAnsi="Arial" w:cs="Arial"/>
                <w:b/>
                <w:bCs/>
                <w:color w:val="000000"/>
                <w:sz w:val="20"/>
                <w:szCs w:val="20"/>
              </w:rPr>
              <w:br/>
            </w:r>
            <w:r w:rsidRPr="007F3B93">
              <w:rPr>
                <w:rFonts w:ascii="Arial" w:eastAsia="Times New Roman" w:hAnsi="Arial" w:cs="Arial"/>
                <w:b/>
                <w:bCs/>
                <w:color w:val="000000"/>
                <w:sz w:val="20"/>
                <w:szCs w:val="20"/>
              </w:rPr>
              <w:br/>
            </w:r>
            <w:r w:rsidRPr="007F3B93">
              <w:rPr>
                <w:rFonts w:ascii="Arial" w:eastAsia="Times New Roman" w:hAnsi="Arial" w:cs="Arial"/>
                <w:b/>
                <w:bCs/>
                <w:color w:val="000000"/>
                <w:sz w:val="20"/>
                <w:szCs w:val="20"/>
              </w:rPr>
              <w:br/>
            </w:r>
            <w:r w:rsidRPr="007F3B93">
              <w:rPr>
                <w:rFonts w:ascii="Arial" w:eastAsia="Times New Roman" w:hAnsi="Arial" w:cs="Arial"/>
                <w:b/>
                <w:bCs/>
                <w:color w:val="000000"/>
                <w:sz w:val="20"/>
                <w:szCs w:val="20"/>
              </w:rPr>
              <w:br/>
            </w:r>
          </w:p>
          <w:p w:rsidR="007F7FED" w:rsidRPr="007F7FED" w:rsidRDefault="007F7FED" w:rsidP="007F7FED">
            <w:pPr>
              <w:rPr>
                <w:rFonts w:ascii="Arial" w:eastAsia="Times New Roman" w:hAnsi="Arial" w:cs="Arial"/>
                <w:sz w:val="20"/>
                <w:szCs w:val="20"/>
              </w:rPr>
            </w:pPr>
          </w:p>
          <w:p w:rsidR="007F7FED" w:rsidRDefault="007F7FED" w:rsidP="007F7FED">
            <w:pPr>
              <w:rPr>
                <w:rFonts w:ascii="Arial" w:eastAsia="Times New Roman" w:hAnsi="Arial" w:cs="Arial"/>
                <w:sz w:val="20"/>
                <w:szCs w:val="20"/>
              </w:rPr>
            </w:pPr>
          </w:p>
          <w:p w:rsidR="007F3B93" w:rsidRPr="007F7FED" w:rsidRDefault="007F7FED" w:rsidP="007F7FED">
            <w:pPr>
              <w:jc w:val="center"/>
              <w:rPr>
                <w:rFonts w:ascii="Arial" w:eastAsia="Times New Roman" w:hAnsi="Arial" w:cs="Arial"/>
                <w:b/>
                <w:sz w:val="20"/>
                <w:szCs w:val="20"/>
              </w:rPr>
            </w:pPr>
            <w:r w:rsidRPr="007F7FED">
              <w:rPr>
                <w:rFonts w:ascii="Arial" w:eastAsia="Times New Roman" w:hAnsi="Arial" w:cs="Arial"/>
                <w:b/>
                <w:sz w:val="20"/>
                <w:szCs w:val="20"/>
              </w:rPr>
              <w:t>Trần Hồng Hà</w:t>
            </w:r>
          </w:p>
        </w:tc>
      </w:tr>
    </w:tbl>
    <w:p w:rsidR="00EA64DB" w:rsidRPr="007F3B93" w:rsidRDefault="00EA64DB" w:rsidP="007F3B93">
      <w:pPr>
        <w:spacing w:after="0" w:line="240" w:lineRule="auto"/>
        <w:rPr>
          <w:rFonts w:ascii="Arial" w:hAnsi="Arial" w:cs="Arial"/>
          <w:sz w:val="20"/>
          <w:szCs w:val="20"/>
        </w:rPr>
      </w:pPr>
    </w:p>
    <w:sectPr w:rsidR="00EA64DB" w:rsidRPr="007F3B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34" w:rsidRDefault="00F65C34" w:rsidP="00776462">
      <w:pPr>
        <w:spacing w:after="0" w:line="240" w:lineRule="auto"/>
      </w:pPr>
      <w:r>
        <w:separator/>
      </w:r>
    </w:p>
  </w:endnote>
  <w:endnote w:type="continuationSeparator" w:id="0">
    <w:p w:rsidR="00F65C34" w:rsidRDefault="00F65C34" w:rsidP="0077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34" w:rsidRDefault="00F65C34" w:rsidP="00776462">
      <w:pPr>
        <w:spacing w:after="0" w:line="240" w:lineRule="auto"/>
      </w:pPr>
      <w:r>
        <w:separator/>
      </w:r>
    </w:p>
  </w:footnote>
  <w:footnote w:type="continuationSeparator" w:id="0">
    <w:p w:rsidR="00F65C34" w:rsidRDefault="00F65C34" w:rsidP="007764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93"/>
    <w:rsid w:val="00776462"/>
    <w:rsid w:val="007F3B93"/>
    <w:rsid w:val="007F7FED"/>
    <w:rsid w:val="00AC3538"/>
    <w:rsid w:val="00EA64DB"/>
    <w:rsid w:val="00F6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532E6-0ADA-458C-B4F6-1ADC1AFB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B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6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62"/>
  </w:style>
  <w:style w:type="paragraph" w:styleId="Footer">
    <w:name w:val="footer"/>
    <w:basedOn w:val="Normal"/>
    <w:link w:val="FooterChar"/>
    <w:uiPriority w:val="99"/>
    <w:unhideWhenUsed/>
    <w:rsid w:val="00776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8800</Words>
  <Characters>50162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XUÂN HUY</cp:lastModifiedBy>
  <cp:revision>4</cp:revision>
  <dcterms:created xsi:type="dcterms:W3CDTF">2025-07-02T15:10:00Z</dcterms:created>
  <dcterms:modified xsi:type="dcterms:W3CDTF">2025-07-03T01:36:00Z</dcterms:modified>
</cp:coreProperties>
</file>