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7"/>
        <w:gridCol w:w="5813"/>
      </w:tblGrid>
      <w:tr w:rsidR="004B51B5" w:rsidRPr="004B51B5" w:rsidTr="00E91EF2">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4B51B5" w:rsidRPr="004B51B5" w:rsidRDefault="004B51B5" w:rsidP="004B51B5">
            <w:pPr>
              <w:jc w:val="center"/>
              <w:rPr>
                <w:rFonts w:ascii="Arial" w:hAnsi="Arial" w:cs="Arial"/>
                <w:sz w:val="20"/>
                <w:szCs w:val="20"/>
                <w:vertAlign w:val="superscript"/>
              </w:rPr>
            </w:pPr>
            <w:r w:rsidRPr="004B51B5">
              <w:rPr>
                <w:rFonts w:ascii="Arial" w:hAnsi="Arial" w:cs="Arial"/>
                <w:b/>
                <w:bCs/>
                <w:sz w:val="20"/>
                <w:szCs w:val="20"/>
              </w:rPr>
              <w:t>CHÍNH PHỦ</w:t>
            </w:r>
            <w:r w:rsidRPr="004B51B5">
              <w:rPr>
                <w:rFonts w:ascii="Arial" w:hAnsi="Arial" w:cs="Arial"/>
                <w:b/>
                <w:bCs/>
                <w:sz w:val="20"/>
                <w:szCs w:val="20"/>
              </w:rPr>
              <w:br/>
            </w:r>
            <w:r>
              <w:rPr>
                <w:rFonts w:ascii="Arial" w:hAnsi="Arial" w:cs="Arial"/>
                <w:b/>
                <w:bCs/>
                <w:sz w:val="20"/>
                <w:szCs w:val="20"/>
                <w:vertAlign w:val="superscript"/>
              </w:rPr>
              <w:t>________</w:t>
            </w:r>
          </w:p>
          <w:p w:rsidR="004B51B5" w:rsidRPr="004B51B5" w:rsidRDefault="004B51B5" w:rsidP="004B51B5">
            <w:pPr>
              <w:jc w:val="center"/>
              <w:rPr>
                <w:rFonts w:ascii="Arial" w:hAnsi="Arial" w:cs="Arial"/>
                <w:sz w:val="20"/>
                <w:szCs w:val="20"/>
              </w:rPr>
            </w:pPr>
            <w:r w:rsidRPr="004B51B5">
              <w:rPr>
                <w:rFonts w:ascii="Arial" w:hAnsi="Arial" w:cs="Arial"/>
                <w:sz w:val="20"/>
                <w:szCs w:val="20"/>
              </w:rPr>
              <w:t>Số: 134/2024/NĐ-CP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4B51B5" w:rsidRPr="004B51B5" w:rsidRDefault="004B51B5" w:rsidP="004B51B5">
            <w:pPr>
              <w:jc w:val="center"/>
              <w:rPr>
                <w:rFonts w:ascii="Arial" w:hAnsi="Arial" w:cs="Arial"/>
                <w:sz w:val="20"/>
                <w:szCs w:val="20"/>
                <w:vertAlign w:val="superscript"/>
              </w:rPr>
            </w:pPr>
            <w:r w:rsidRPr="004B51B5">
              <w:rPr>
                <w:rFonts w:ascii="Arial" w:hAnsi="Arial" w:cs="Arial"/>
                <w:b/>
                <w:bCs/>
                <w:sz w:val="20"/>
                <w:szCs w:val="20"/>
              </w:rPr>
              <w:t>CỘNG HÒA XÃ HỘI CHỦ NGHĨA VIỆT NAM</w:t>
            </w:r>
            <w:r w:rsidRPr="004B51B5">
              <w:rPr>
                <w:rFonts w:ascii="Arial" w:hAnsi="Arial" w:cs="Arial"/>
                <w:b/>
                <w:bCs/>
                <w:sz w:val="20"/>
                <w:szCs w:val="20"/>
              </w:rPr>
              <w:br/>
              <w:t xml:space="preserve">Độc lập - Tự do - Hạnh phúc </w:t>
            </w:r>
            <w:r w:rsidRPr="004B51B5">
              <w:rPr>
                <w:rFonts w:ascii="Arial" w:hAnsi="Arial" w:cs="Arial"/>
                <w:b/>
                <w:bCs/>
                <w:sz w:val="20"/>
                <w:szCs w:val="20"/>
              </w:rPr>
              <w:br/>
            </w:r>
            <w:r>
              <w:rPr>
                <w:rFonts w:ascii="Arial" w:hAnsi="Arial" w:cs="Arial"/>
                <w:b/>
                <w:bCs/>
                <w:sz w:val="20"/>
                <w:szCs w:val="20"/>
                <w:vertAlign w:val="superscript"/>
              </w:rPr>
              <w:t>_____________________</w:t>
            </w:r>
          </w:p>
          <w:p w:rsidR="004B51B5" w:rsidRPr="004B51B5" w:rsidRDefault="004B51B5" w:rsidP="004B51B5">
            <w:pPr>
              <w:jc w:val="center"/>
              <w:rPr>
                <w:rFonts w:ascii="Arial" w:hAnsi="Arial" w:cs="Arial"/>
                <w:sz w:val="20"/>
                <w:szCs w:val="20"/>
              </w:rPr>
            </w:pPr>
            <w:r w:rsidRPr="004B51B5">
              <w:rPr>
                <w:rFonts w:ascii="Arial" w:hAnsi="Arial" w:cs="Arial"/>
                <w:i/>
                <w:iCs/>
                <w:sz w:val="20"/>
                <w:szCs w:val="20"/>
              </w:rPr>
              <w:t>Hà Nội, ngày 21 tháng 10 năm 2024</w:t>
            </w:r>
          </w:p>
        </w:tc>
      </w:tr>
    </w:tbl>
    <w:p w:rsidR="00207083" w:rsidRPr="004B51B5" w:rsidRDefault="007A15FB" w:rsidP="004B51B5">
      <w:pPr>
        <w:rPr>
          <w:rFonts w:ascii="Arial" w:hAnsi="Arial" w:cs="Arial"/>
          <w:sz w:val="20"/>
          <w:szCs w:val="20"/>
        </w:rPr>
      </w:pPr>
      <w:r w:rsidRPr="004B51B5">
        <w:rPr>
          <w:rFonts w:ascii="Arial" w:hAnsi="Arial" w:cs="Arial"/>
          <w:sz w:val="20"/>
          <w:szCs w:val="20"/>
        </w:rPr>
        <w:t> </w:t>
      </w:r>
    </w:p>
    <w:p w:rsidR="004B51B5" w:rsidRDefault="004B51B5" w:rsidP="004B51B5">
      <w:pPr>
        <w:jc w:val="center"/>
        <w:rPr>
          <w:rFonts w:ascii="Arial" w:hAnsi="Arial" w:cs="Arial"/>
          <w:b/>
          <w:bCs/>
          <w:sz w:val="20"/>
          <w:szCs w:val="20"/>
        </w:rPr>
      </w:pPr>
    </w:p>
    <w:p w:rsidR="00207083" w:rsidRPr="004B51B5" w:rsidRDefault="007A15FB" w:rsidP="004B51B5">
      <w:pPr>
        <w:jc w:val="center"/>
        <w:rPr>
          <w:rFonts w:ascii="Arial" w:hAnsi="Arial" w:cs="Arial"/>
          <w:b/>
          <w:sz w:val="20"/>
          <w:szCs w:val="20"/>
        </w:rPr>
      </w:pPr>
      <w:r w:rsidRPr="004B51B5">
        <w:rPr>
          <w:rFonts w:ascii="Arial" w:hAnsi="Arial" w:cs="Arial"/>
          <w:b/>
          <w:bCs/>
          <w:sz w:val="20"/>
          <w:szCs w:val="20"/>
        </w:rPr>
        <w:t>NGHỊ ĐỊNH</w:t>
      </w:r>
    </w:p>
    <w:p w:rsidR="00207083" w:rsidRPr="004B51B5" w:rsidRDefault="004B51B5" w:rsidP="004B51B5">
      <w:pPr>
        <w:jc w:val="center"/>
        <w:rPr>
          <w:rFonts w:ascii="Arial" w:hAnsi="Arial" w:cs="Arial"/>
          <w:b/>
          <w:sz w:val="20"/>
          <w:szCs w:val="20"/>
        </w:rPr>
      </w:pPr>
      <w:r w:rsidRPr="004B51B5">
        <w:rPr>
          <w:rFonts w:ascii="Arial" w:hAnsi="Arial" w:cs="Arial"/>
          <w:b/>
          <w:sz w:val="20"/>
          <w:szCs w:val="20"/>
        </w:rPr>
        <w:t>Về chính sách tăng thu từ hoạt động xuất nhập khẩu qua Cảng biển Nghi Sơn tỉnh Thanh Hóa</w:t>
      </w:r>
    </w:p>
    <w:p w:rsidR="004B51B5" w:rsidRPr="004B51B5" w:rsidRDefault="004B51B5" w:rsidP="004B51B5">
      <w:pPr>
        <w:jc w:val="center"/>
        <w:rPr>
          <w:rFonts w:ascii="Arial" w:hAnsi="Arial" w:cs="Arial"/>
          <w:sz w:val="20"/>
          <w:szCs w:val="20"/>
        </w:rPr>
      </w:pP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i/>
          <w:iCs/>
          <w:sz w:val="20"/>
          <w:szCs w:val="20"/>
        </w:rPr>
        <w:t>Căn cứ Luật Ngân sách nhà nước ngày 25 tháng 6 năm 2015;</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i/>
          <w:iCs/>
          <w:sz w:val="20"/>
          <w:szCs w:val="20"/>
        </w:rPr>
        <w:t>Căn cứ Luật Thuế giá trị gia tăng ngày 03 tháng 6 năm 2008; Luật sửa đổi, bổ sung một số điều của Luật Thuế giá trị gia tăng ngày 19 tháng 6 năm 2013; Luật sửa đổi, bổ sung một số điều của Luật Thuế giá trị gia tăng, Luật Thuế tiêu thụ đặc biệt và Luật Quản lý thuế ngày 06 tháng 4 năm 2016;</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i/>
          <w:iCs/>
          <w:sz w:val="20"/>
          <w:szCs w:val="20"/>
        </w:rPr>
        <w:t>Căn cứ Nghị quyết số 37/2021/QH15 ngày 13 tháng 11 năm 2021 của Quốc hội về thí điểm một số cơ chế, chính sách đặc thù phát triển tỉnh Thanh Hóa;</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i/>
          <w:iCs/>
          <w:sz w:val="20"/>
          <w:szCs w:val="20"/>
        </w:rPr>
        <w:t>Theo đề nghị của Bộ trưởng Bộ Tài chính;</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i/>
          <w:iCs/>
          <w:sz w:val="20"/>
          <w:szCs w:val="20"/>
        </w:rPr>
        <w:t>Chính phủ ban hành Nghị định quy định về chính sách tăng thu từ hoạt động xuất nhập khẩu qua Cảng biển Nghi Sơn tỉnh Thanh Hóa.</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b/>
          <w:bCs/>
          <w:sz w:val="20"/>
          <w:szCs w:val="20"/>
        </w:rPr>
        <w:t>Điều 1. Phạm vi và đối tượng áp dụng</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 xml:space="preserve">1. Nghị định này quy định về việc thực hiện chính sách tăng thu từ hoạt động xuất nhập khẩu qua Cảng biển Nghi Sơn tỉnh Thanh Hóa theo quy định tại </w:t>
      </w:r>
      <w:bookmarkStart w:id="0" w:name="dc_1"/>
      <w:r w:rsidRPr="004B51B5">
        <w:rPr>
          <w:rFonts w:ascii="Arial" w:hAnsi="Arial" w:cs="Arial"/>
          <w:sz w:val="20"/>
          <w:szCs w:val="20"/>
        </w:rPr>
        <w:t>khoản 2 Điều 3 Nghị quyết số 37/2021/QH15</w:t>
      </w:r>
      <w:bookmarkEnd w:id="0"/>
      <w:r w:rsidRPr="004B51B5">
        <w:rPr>
          <w:rFonts w:ascii="Arial" w:hAnsi="Arial" w:cs="Arial"/>
          <w:sz w:val="20"/>
          <w:szCs w:val="20"/>
        </w:rPr>
        <w:t xml:space="preserve"> ngày 13 tháng 11 năm 2021 của Quốc hội về thí điểm một số cơ chế, chính sách đặc thù phát triển tỉnh Thanh Hóa.</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2. Nghị định này áp dụng đối với Ủy ban nhân dân tỉnh Thanh Hóa và các cơ quan, tổ chức, cá nhân có liên quan đến việc xác định số thu từ hoạt động xuất khẩu, nhập khẩu qua Cảng biển Nghi Sơn.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b/>
          <w:bCs/>
          <w:sz w:val="20"/>
          <w:szCs w:val="20"/>
        </w:rPr>
        <w:t>Điều 2. Xác định số thu từ hoạt động xuất khẩu, nhập khẩu qua Cảng biển Nghi Sơn và số thuế giá trị gia tăng của hàng hóa nhập khẩu qua Cảng biển Nghi Sơn để đầu tư hình thành tài sản cố định hoặc để sản xuất hàng hóa xuất khẩu được ngân sách trung ương hoàn thuế giá trị gia tăng</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1. Phạm vi xác định số thu từ hoạt động xuất khẩu, nhập khẩu qua Cảng biển Nghi Sơn: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Chỉ xác định phạm vi số thu ngân sách từ hoạt động xuất nhập khẩu qua Cảng biển Nghi Sơn của các doanh nghiệp trên địa bàn tỉnh Thanh Hóa đăng ký tờ khai hải quan tại Cục Hải quan tỉnh Thanh Hóa.</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2. Phạm vi xác định số thuế giá trị gia tăng của hàng hóa nhập khẩu để đầu tư hình thành tài sản cố định hoặc để sản xuất hàng hóa xuất khẩu được ngân sách trung ương hoàn thuế:</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Chỉ tính đối với số thuế giá trị gia tăng được hoàn của doanh nghiệp trên địa bàn tỉnh Thanh Hóa (không tính trừ thu hồi hoàn thuế giá trị gia tăng).</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3. Số thuế giá trị gia tăng nhập khẩu được ngân sách trung ương hoàn thuế:</w:t>
      </w:r>
    </w:p>
    <w:p w:rsidR="00207083" w:rsidRDefault="007A15FB" w:rsidP="004B51B5">
      <w:pPr>
        <w:spacing w:after="120"/>
        <w:ind w:firstLine="720"/>
        <w:jc w:val="both"/>
        <w:rPr>
          <w:rFonts w:ascii="Arial" w:hAnsi="Arial" w:cs="Arial"/>
          <w:sz w:val="20"/>
          <w:szCs w:val="20"/>
        </w:rPr>
      </w:pPr>
      <w:r w:rsidRPr="004B51B5">
        <w:rPr>
          <w:rFonts w:ascii="Arial" w:hAnsi="Arial" w:cs="Arial"/>
          <w:sz w:val="20"/>
          <w:szCs w:val="20"/>
        </w:rPr>
        <w:t>Số thuế giá trị gia tăng nhập khẩu được ngân sách trung ương hoàn thuế là số thuế giá trị gia tăng nhập khẩu tương ứng với số đã chi hoàn trong năm ngân sách, được xác định bằng công thức sau đây:</w:t>
      </w:r>
    </w:p>
    <w:p w:rsidR="004B51B5" w:rsidRDefault="004B51B5" w:rsidP="004B51B5">
      <w:pPr>
        <w:spacing w:after="120"/>
        <w:ind w:firstLine="720"/>
        <w:jc w:val="both"/>
        <w:rPr>
          <w:rFonts w:ascii="Arial" w:hAnsi="Arial" w:cs="Arial"/>
          <w:sz w:val="20"/>
          <w:szCs w:val="20"/>
        </w:rPr>
      </w:pPr>
    </w:p>
    <w:p w:rsidR="004B51B5" w:rsidRDefault="004B51B5" w:rsidP="004B51B5">
      <w:pPr>
        <w:spacing w:after="120"/>
        <w:ind w:firstLine="720"/>
        <w:jc w:val="both"/>
        <w:rPr>
          <w:rFonts w:ascii="Arial" w:hAnsi="Arial" w:cs="Arial"/>
          <w:sz w:val="20"/>
          <w:szCs w:val="20"/>
        </w:rPr>
      </w:pPr>
    </w:p>
    <w:p w:rsidR="004B51B5" w:rsidRDefault="004B51B5" w:rsidP="004B51B5">
      <w:pPr>
        <w:spacing w:after="120"/>
        <w:ind w:firstLine="720"/>
        <w:jc w:val="both"/>
        <w:rPr>
          <w:rFonts w:ascii="Arial" w:hAnsi="Arial" w:cs="Arial"/>
          <w:sz w:val="20"/>
          <w:szCs w:val="20"/>
        </w:rPr>
      </w:pPr>
    </w:p>
    <w:p w:rsidR="004B51B5" w:rsidRPr="004B51B5" w:rsidRDefault="004B51B5" w:rsidP="004B51B5">
      <w:pPr>
        <w:spacing w:after="120"/>
        <w:ind w:firstLine="720"/>
        <w:jc w:val="both"/>
        <w:rPr>
          <w:rFonts w:ascii="Arial" w:hAnsi="Arial" w:cs="Arial"/>
          <w:sz w:val="20"/>
          <w:szCs w:val="20"/>
        </w:rPr>
      </w:pPr>
      <w:bookmarkStart w:id="1" w:name="_GoBack"/>
      <w:bookmarkEnd w:id="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74"/>
        <w:gridCol w:w="389"/>
        <w:gridCol w:w="2209"/>
        <w:gridCol w:w="389"/>
        <w:gridCol w:w="3899"/>
      </w:tblGrid>
      <w:tr w:rsidR="00207083" w:rsidRPr="004B51B5">
        <w:tc>
          <w:tcPr>
            <w:tcW w:w="1321"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207083" w:rsidRPr="004B51B5" w:rsidRDefault="007A15FB" w:rsidP="004B51B5">
            <w:pPr>
              <w:rPr>
                <w:rFonts w:ascii="Arial" w:hAnsi="Arial" w:cs="Arial"/>
                <w:sz w:val="20"/>
                <w:szCs w:val="20"/>
              </w:rPr>
            </w:pPr>
            <w:r w:rsidRPr="004B51B5">
              <w:rPr>
                <w:rFonts w:ascii="Arial" w:hAnsi="Arial" w:cs="Arial"/>
                <w:sz w:val="20"/>
                <w:szCs w:val="20"/>
              </w:rPr>
              <w:lastRenderedPageBreak/>
              <w:t>Số thuế giá trị gia tăng được ngân sách trung ương hoàn thuế từng kỳ của hàng hóa nhập khẩu qua Cảng biển Nghi Sơn đối với hàng hóa nhập khẩu để đầu tư hình thành tài sản cố định hoặc để sản xuất hàng hóa xuất khẩu</w:t>
            </w:r>
          </w:p>
        </w:tc>
        <w:tc>
          <w:tcPr>
            <w:tcW w:w="20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207083" w:rsidRPr="004B51B5" w:rsidRDefault="007A15FB" w:rsidP="004B51B5">
            <w:pPr>
              <w:jc w:val="center"/>
              <w:rPr>
                <w:rFonts w:ascii="Arial" w:hAnsi="Arial" w:cs="Arial"/>
                <w:sz w:val="20"/>
                <w:szCs w:val="20"/>
              </w:rPr>
            </w:pPr>
            <w:r w:rsidRPr="004B51B5">
              <w:rPr>
                <w:rFonts w:ascii="Arial" w:hAnsi="Arial" w:cs="Arial"/>
                <w:sz w:val="20"/>
                <w:szCs w:val="20"/>
              </w:rPr>
              <w:t>=</w:t>
            </w:r>
          </w:p>
        </w:tc>
        <w:tc>
          <w:tcPr>
            <w:tcW w:w="1180"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207083" w:rsidRPr="004B51B5" w:rsidRDefault="007A15FB" w:rsidP="004B51B5">
            <w:pPr>
              <w:rPr>
                <w:rFonts w:ascii="Arial" w:hAnsi="Arial" w:cs="Arial"/>
                <w:sz w:val="20"/>
                <w:szCs w:val="20"/>
              </w:rPr>
            </w:pPr>
            <w:r w:rsidRPr="004B51B5">
              <w:rPr>
                <w:rFonts w:ascii="Arial" w:hAnsi="Arial" w:cs="Arial"/>
                <w:sz w:val="20"/>
                <w:szCs w:val="20"/>
              </w:rPr>
              <w:t>Số thuế đã hoàn từng kỳ</w:t>
            </w:r>
          </w:p>
        </w:tc>
        <w:tc>
          <w:tcPr>
            <w:tcW w:w="20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207083" w:rsidRPr="004B51B5" w:rsidRDefault="007A15FB" w:rsidP="004B51B5">
            <w:pPr>
              <w:jc w:val="center"/>
              <w:rPr>
                <w:rFonts w:ascii="Arial" w:hAnsi="Arial" w:cs="Arial"/>
                <w:sz w:val="20"/>
                <w:szCs w:val="20"/>
              </w:rPr>
            </w:pPr>
            <w:r w:rsidRPr="004B51B5">
              <w:rPr>
                <w:rFonts w:ascii="Arial" w:hAnsi="Arial" w:cs="Arial"/>
                <w:sz w:val="20"/>
                <w:szCs w:val="20"/>
              </w:rPr>
              <w:t>x</w:t>
            </w:r>
          </w:p>
        </w:tc>
        <w:tc>
          <w:tcPr>
            <w:tcW w:w="2084"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rsidR="00207083" w:rsidRPr="004B51B5" w:rsidRDefault="007A15FB" w:rsidP="004B51B5">
            <w:pPr>
              <w:rPr>
                <w:rFonts w:ascii="Arial" w:hAnsi="Arial" w:cs="Arial"/>
                <w:sz w:val="20"/>
                <w:szCs w:val="20"/>
              </w:rPr>
            </w:pPr>
            <w:r w:rsidRPr="004B51B5">
              <w:rPr>
                <w:rFonts w:ascii="Arial" w:hAnsi="Arial" w:cs="Arial"/>
                <w:sz w:val="20"/>
                <w:szCs w:val="20"/>
              </w:rPr>
              <w:t>Số thuế giá trị gia tăng đã nộp của hàng hóa nhập khẩu qua Cảng biển Nghi Sơn để đầu tư hình thành tài sản cố định hoặc để sản xuất hàng hóa xuất khẩu từng kỳ hoàn</w:t>
            </w:r>
          </w:p>
        </w:tc>
      </w:tr>
      <w:tr w:rsidR="00207083" w:rsidRPr="004B51B5">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207083" w:rsidRPr="004B51B5" w:rsidRDefault="00207083" w:rsidP="004B51B5">
            <w:pP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207083" w:rsidRPr="004B51B5" w:rsidRDefault="00207083" w:rsidP="004B51B5">
            <w:pP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207083" w:rsidRPr="004B51B5" w:rsidRDefault="00207083" w:rsidP="004B51B5">
            <w:pP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rsidR="00207083" w:rsidRPr="004B51B5" w:rsidRDefault="00207083" w:rsidP="004B51B5">
            <w:pPr>
              <w:rPr>
                <w:rFonts w:ascii="Arial" w:hAnsi="Arial" w:cs="Arial"/>
                <w:sz w:val="20"/>
                <w:szCs w:val="20"/>
              </w:rPr>
            </w:pPr>
          </w:p>
        </w:tc>
        <w:tc>
          <w:tcPr>
            <w:tcW w:w="208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207083" w:rsidRPr="004B51B5" w:rsidRDefault="007A15FB" w:rsidP="004B51B5">
            <w:pPr>
              <w:rPr>
                <w:rFonts w:ascii="Arial" w:hAnsi="Arial" w:cs="Arial"/>
                <w:sz w:val="20"/>
                <w:szCs w:val="20"/>
              </w:rPr>
            </w:pPr>
            <w:r w:rsidRPr="004B51B5">
              <w:rPr>
                <w:rFonts w:ascii="Arial" w:hAnsi="Arial" w:cs="Arial"/>
                <w:sz w:val="20"/>
                <w:szCs w:val="20"/>
              </w:rPr>
              <w:t>Tổng số thuế giá trị gia tăng đầu vào trong kỳ hoàn</w:t>
            </w:r>
          </w:p>
        </w:tc>
      </w:tr>
    </w:tbl>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Trong đó:</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a) Số thuế đã hoàn từng kỳ là số tiền hoàn thuế giá trị gia tăng theo Lệnh chi hoàn thuế đã được ngân sách trung ương chi hoàn trong năm ngân sách của các doanh nghiệp nhập khẩu qua Cảng biển Nghi Sơn, không tính trừ số thu hồi hoàn thuế giá trị gia tăng (nếu phát sinh).</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b) Số thuế giá trị gia tăng đã nộp của hàng hóa nhập khẩu qua Cảng biển Nghi Sơn để đầu tư hình thành tài sản cố định hoặc để sản xuất hàng hóa xuất khẩu từng kỳ hoàn là tổng số thuế giá trị gia tăng đã nộp khâu nhập khẩu của các doanh nghiệp nhập khẩu qua Cảng biển Nghi Sơn tương ứng kỳ hoàn thuế (căn cứ số hải quan cung cấp và số người nộp thuế kê khai).</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c) Tổng số thuế giá trị gia tăng đầu vào trong kỳ hoàn của từng hồ sơ là tổng số thuế giá trị gia tăng đã nộp khâu nhập khẩu cộng với số thuế giá trị gia tăng mua vào trong nước đủ điều kiện khấu trừ của các doanh nghiệp nhập khẩu qua Cảng biển Nghi Sơn.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b/>
          <w:bCs/>
          <w:sz w:val="20"/>
          <w:szCs w:val="20"/>
        </w:rPr>
        <w:t>Điều 3. Trách nhiệm của các cơ quan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1. Bộ Tài chính có trách nhiệm chủ trì, phối hợp với Bộ Kế hoạch và Đầu tư, các bộ, ngành có liên quan và Ủy ban nhân dân tỉnh Thanh Hóa kiểm tra tình hình thực hiện chính sách tăng thu từ hoạt động xuất nhập khẩu qua Cảng biển Nghi Sơn.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2. Ủy ban nhân dân tỉnh Thanh Hóa có trách nhiệm:</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a) Chỉ đạo các cơ quan liên quan tại địa phương thực hiện chính sách tăng thu từ hoạt động xuất nhập khẩu qua Cảng biển Nghi Sơn theo quy định tại Nghị định này và các văn bản pháp luật có liên quan.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b) Phối hợp với Bộ Tài chính và các bộ, cơ quan ngang bộ, cơ quan thuộc Chính phủ liên quan kiểm tra, giám sát tình hình thực hiện chính sách tăng thu từ hoạt động xuất nhập khẩu qua Cảng biển Nghi Sơn.</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b/>
          <w:bCs/>
          <w:sz w:val="20"/>
          <w:szCs w:val="20"/>
        </w:rPr>
        <w:t>Điều 4. Hiệu lực thi hành</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sz w:val="20"/>
          <w:szCs w:val="20"/>
        </w:rPr>
        <w:t>Nghị định này có hiệu lực thi hành từ ngày 21 tháng 10 năm 2024, áp dụng cho 05 năm từ năm ngân sách 2022 đến năm ngân sách 2026.</w:t>
      </w:r>
    </w:p>
    <w:p w:rsidR="00207083" w:rsidRPr="004B51B5" w:rsidRDefault="007A15FB" w:rsidP="004B51B5">
      <w:pPr>
        <w:spacing w:after="120"/>
        <w:ind w:firstLine="720"/>
        <w:jc w:val="both"/>
        <w:rPr>
          <w:rFonts w:ascii="Arial" w:hAnsi="Arial" w:cs="Arial"/>
          <w:sz w:val="20"/>
          <w:szCs w:val="20"/>
        </w:rPr>
      </w:pPr>
      <w:r w:rsidRPr="004B51B5">
        <w:rPr>
          <w:rFonts w:ascii="Arial" w:hAnsi="Arial" w:cs="Arial"/>
          <w:b/>
          <w:bCs/>
          <w:sz w:val="20"/>
          <w:szCs w:val="20"/>
        </w:rPr>
        <w:t>Điều 5. Tổ chức thực hiện</w:t>
      </w:r>
    </w:p>
    <w:p w:rsidR="00207083" w:rsidRPr="004B51B5" w:rsidRDefault="007A15FB" w:rsidP="004B51B5">
      <w:pPr>
        <w:ind w:firstLine="720"/>
        <w:jc w:val="both"/>
        <w:rPr>
          <w:rFonts w:ascii="Arial" w:hAnsi="Arial" w:cs="Arial"/>
          <w:sz w:val="20"/>
          <w:szCs w:val="20"/>
        </w:rPr>
      </w:pPr>
      <w:r w:rsidRPr="004B51B5">
        <w:rPr>
          <w:rFonts w:ascii="Arial" w:hAnsi="Arial" w:cs="Arial"/>
          <w:sz w:val="20"/>
          <w:szCs w:val="20"/>
        </w:rPr>
        <w:t>Bộ trưởng, Thủ trưởng cơ quan ngang bộ, Thủ trưởng cơ quan thuộc Chính phủ, Chủ tịch Ủy ban nhân dân tỉnh Thanh Hóa và các cơ quan, tổ chức, cá nhân có liên quan chịu trách nhiệm thi hành Nghị định này.</w:t>
      </w:r>
    </w:p>
    <w:p w:rsidR="00207083" w:rsidRPr="004B51B5" w:rsidRDefault="007A15FB" w:rsidP="004B51B5">
      <w:pPr>
        <w:rPr>
          <w:rFonts w:ascii="Arial" w:hAnsi="Arial" w:cs="Arial"/>
          <w:sz w:val="20"/>
          <w:szCs w:val="20"/>
        </w:rPr>
      </w:pPr>
      <w:r w:rsidRPr="004B51B5">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207083" w:rsidRPr="004B51B5">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rsidR="00207083" w:rsidRPr="004B51B5" w:rsidRDefault="007A15FB" w:rsidP="004B51B5">
            <w:pPr>
              <w:rPr>
                <w:rFonts w:ascii="Arial" w:hAnsi="Arial" w:cs="Arial"/>
                <w:sz w:val="20"/>
                <w:szCs w:val="20"/>
              </w:rPr>
            </w:pPr>
            <w:r w:rsidRPr="004B51B5">
              <w:rPr>
                <w:rFonts w:ascii="Arial" w:hAnsi="Arial" w:cs="Arial"/>
                <w:b/>
                <w:bCs/>
                <w:i/>
                <w:iCs/>
                <w:sz w:val="20"/>
                <w:szCs w:val="20"/>
              </w:rPr>
              <w:t>Nơi nhận:</w:t>
            </w:r>
            <w:r w:rsidRPr="004B51B5">
              <w:rPr>
                <w:rFonts w:ascii="Arial" w:hAnsi="Arial" w:cs="Arial"/>
                <w:b/>
                <w:bCs/>
                <w:i/>
                <w:iCs/>
                <w:sz w:val="20"/>
                <w:szCs w:val="20"/>
              </w:rPr>
              <w:br/>
            </w:r>
            <w:r w:rsidRPr="004B51B5">
              <w:rPr>
                <w:rFonts w:ascii="Arial" w:hAnsi="Arial" w:cs="Arial"/>
                <w:sz w:val="20"/>
                <w:szCs w:val="20"/>
              </w:rPr>
              <w:t>- Ban Bí thư Trung ương Đảng;</w:t>
            </w:r>
            <w:r w:rsidRPr="004B51B5">
              <w:rPr>
                <w:rFonts w:ascii="Arial" w:hAnsi="Arial" w:cs="Arial"/>
                <w:sz w:val="20"/>
                <w:szCs w:val="20"/>
              </w:rPr>
              <w:br/>
              <w:t>- Thủ tướng, các Phó Thủ tướng Chính phủ;</w:t>
            </w:r>
            <w:r w:rsidRPr="004B51B5">
              <w:rPr>
                <w:rFonts w:ascii="Arial" w:hAnsi="Arial" w:cs="Arial"/>
                <w:sz w:val="20"/>
                <w:szCs w:val="20"/>
              </w:rPr>
              <w:br/>
              <w:t>- Các bộ, cơ quan ngang bộ, cơ quan thuộc Chính phủ;</w:t>
            </w:r>
            <w:r w:rsidRPr="004B51B5">
              <w:rPr>
                <w:rFonts w:ascii="Arial" w:hAnsi="Arial" w:cs="Arial"/>
                <w:sz w:val="20"/>
                <w:szCs w:val="20"/>
              </w:rPr>
              <w:br/>
              <w:t>- HĐND, UBND các tỉnh, thành phố trực thuộc trung ương;</w:t>
            </w:r>
            <w:r w:rsidRPr="004B51B5">
              <w:rPr>
                <w:rFonts w:ascii="Arial" w:hAnsi="Arial" w:cs="Arial"/>
                <w:sz w:val="20"/>
                <w:szCs w:val="20"/>
              </w:rPr>
              <w:br/>
              <w:t>- Văn phòng Trung ương và các Ban của Đảng;</w:t>
            </w:r>
            <w:r w:rsidRPr="004B51B5">
              <w:rPr>
                <w:rFonts w:ascii="Arial" w:hAnsi="Arial" w:cs="Arial"/>
                <w:sz w:val="20"/>
                <w:szCs w:val="20"/>
              </w:rPr>
              <w:br/>
              <w:t>- Văn phòng Tổng Bí thư;</w:t>
            </w:r>
            <w:r w:rsidRPr="004B51B5">
              <w:rPr>
                <w:rFonts w:ascii="Arial" w:hAnsi="Arial" w:cs="Arial"/>
                <w:sz w:val="20"/>
                <w:szCs w:val="20"/>
              </w:rPr>
              <w:br/>
              <w:t>- Văn phòng Chủ tịch nước;</w:t>
            </w:r>
            <w:r w:rsidRPr="004B51B5">
              <w:rPr>
                <w:rFonts w:ascii="Arial" w:hAnsi="Arial" w:cs="Arial"/>
                <w:sz w:val="20"/>
                <w:szCs w:val="20"/>
              </w:rPr>
              <w:br/>
              <w:t>- Hội đồng Dân tộc và các Ủy ban của Quốc hội;</w:t>
            </w:r>
            <w:r w:rsidRPr="004B51B5">
              <w:rPr>
                <w:rFonts w:ascii="Arial" w:hAnsi="Arial" w:cs="Arial"/>
                <w:sz w:val="20"/>
                <w:szCs w:val="20"/>
              </w:rPr>
              <w:br/>
              <w:t>- Văn phòng Quốc hội;</w:t>
            </w:r>
            <w:r w:rsidRPr="004B51B5">
              <w:rPr>
                <w:rFonts w:ascii="Arial" w:hAnsi="Arial" w:cs="Arial"/>
                <w:sz w:val="20"/>
                <w:szCs w:val="20"/>
              </w:rPr>
              <w:br/>
            </w:r>
            <w:r w:rsidRPr="004B51B5">
              <w:rPr>
                <w:rFonts w:ascii="Arial" w:hAnsi="Arial" w:cs="Arial"/>
                <w:sz w:val="20"/>
                <w:szCs w:val="20"/>
              </w:rPr>
              <w:lastRenderedPageBreak/>
              <w:t>- Tòa án nhân dân tối cao;</w:t>
            </w:r>
            <w:r w:rsidRPr="004B51B5">
              <w:rPr>
                <w:rFonts w:ascii="Arial" w:hAnsi="Arial" w:cs="Arial"/>
                <w:sz w:val="20"/>
                <w:szCs w:val="20"/>
              </w:rPr>
              <w:br/>
              <w:t>- Viện kiểm sát nhân dân tối cao;</w:t>
            </w:r>
            <w:r w:rsidRPr="004B51B5">
              <w:rPr>
                <w:rFonts w:ascii="Arial" w:hAnsi="Arial" w:cs="Arial"/>
                <w:sz w:val="20"/>
                <w:szCs w:val="20"/>
              </w:rPr>
              <w:br/>
              <w:t>- Kiểm toán nhà nước;</w:t>
            </w:r>
            <w:r w:rsidRPr="004B51B5">
              <w:rPr>
                <w:rFonts w:ascii="Arial" w:hAnsi="Arial" w:cs="Arial"/>
                <w:sz w:val="20"/>
                <w:szCs w:val="20"/>
              </w:rPr>
              <w:br/>
              <w:t>- Ủy ban Giám sát tài chính Quốc gia;</w:t>
            </w:r>
            <w:r w:rsidRPr="004B51B5">
              <w:rPr>
                <w:rFonts w:ascii="Arial" w:hAnsi="Arial" w:cs="Arial"/>
                <w:sz w:val="20"/>
                <w:szCs w:val="20"/>
              </w:rPr>
              <w:br/>
              <w:t>- Ngân hàng Chính sách xã hội;</w:t>
            </w:r>
            <w:r w:rsidRPr="004B51B5">
              <w:rPr>
                <w:rFonts w:ascii="Arial" w:hAnsi="Arial" w:cs="Arial"/>
                <w:sz w:val="20"/>
                <w:szCs w:val="20"/>
              </w:rPr>
              <w:br/>
              <w:t>- Ngân hàng Phát triển Việt Nam;</w:t>
            </w:r>
            <w:r w:rsidRPr="004B51B5">
              <w:rPr>
                <w:rFonts w:ascii="Arial" w:hAnsi="Arial" w:cs="Arial"/>
                <w:sz w:val="20"/>
                <w:szCs w:val="20"/>
              </w:rPr>
              <w:br/>
              <w:t>- Ủy ban trung ương Mặt trận Tổ quốc Việt Nam;</w:t>
            </w:r>
            <w:r w:rsidRPr="004B51B5">
              <w:rPr>
                <w:rFonts w:ascii="Arial" w:hAnsi="Arial" w:cs="Arial"/>
                <w:sz w:val="20"/>
                <w:szCs w:val="20"/>
              </w:rPr>
              <w:br/>
              <w:t>- Cơ quan trung ương của các đoàn thể;</w:t>
            </w:r>
            <w:r w:rsidRPr="004B51B5">
              <w:rPr>
                <w:rFonts w:ascii="Arial" w:hAnsi="Arial" w:cs="Arial"/>
                <w:sz w:val="20"/>
                <w:szCs w:val="20"/>
              </w:rPr>
              <w:br/>
              <w:t>- VPCP: BTCN, các PCN, Trợ lý TTg, TGĐ Cổng TTĐT, các Vụ, Cục, đơn vị trực thuộc, Công báo;</w:t>
            </w:r>
            <w:r w:rsidRPr="004B51B5">
              <w:rPr>
                <w:rFonts w:ascii="Arial" w:hAnsi="Arial" w:cs="Arial"/>
                <w:sz w:val="20"/>
                <w:szCs w:val="20"/>
              </w:rPr>
              <w:br/>
              <w:t xml:space="preserve">- Lưu: VT, KTTH (2b). </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rsidR="00207083" w:rsidRPr="004B51B5" w:rsidRDefault="007A15FB" w:rsidP="004B51B5">
            <w:pPr>
              <w:jc w:val="center"/>
              <w:rPr>
                <w:rFonts w:ascii="Arial" w:hAnsi="Arial" w:cs="Arial"/>
                <w:sz w:val="20"/>
                <w:szCs w:val="20"/>
              </w:rPr>
            </w:pPr>
            <w:r w:rsidRPr="004B51B5">
              <w:rPr>
                <w:rFonts w:ascii="Arial" w:hAnsi="Arial" w:cs="Arial"/>
                <w:b/>
                <w:bCs/>
                <w:sz w:val="20"/>
                <w:szCs w:val="20"/>
              </w:rPr>
              <w:lastRenderedPageBreak/>
              <w:t xml:space="preserve">TM. CHÍNH PHỦ </w:t>
            </w:r>
            <w:r w:rsidRPr="004B51B5">
              <w:rPr>
                <w:rFonts w:ascii="Arial" w:hAnsi="Arial" w:cs="Arial"/>
                <w:b/>
                <w:bCs/>
                <w:sz w:val="20"/>
                <w:szCs w:val="20"/>
              </w:rPr>
              <w:br/>
              <w:t xml:space="preserve">KT. THỦ TƯỚNG </w:t>
            </w:r>
            <w:r w:rsidRPr="004B51B5">
              <w:rPr>
                <w:rFonts w:ascii="Arial" w:hAnsi="Arial" w:cs="Arial"/>
                <w:b/>
                <w:bCs/>
                <w:sz w:val="20"/>
                <w:szCs w:val="20"/>
              </w:rPr>
              <w:br/>
              <w:t>PHÓ THỦ TƯỚNG</w:t>
            </w:r>
            <w:r w:rsidRPr="004B51B5">
              <w:rPr>
                <w:rFonts w:ascii="Arial" w:hAnsi="Arial" w:cs="Arial"/>
                <w:b/>
                <w:bCs/>
                <w:sz w:val="20"/>
                <w:szCs w:val="20"/>
              </w:rPr>
              <w:br/>
            </w:r>
            <w:r w:rsidRPr="004B51B5">
              <w:rPr>
                <w:rFonts w:ascii="Arial" w:hAnsi="Arial" w:cs="Arial"/>
                <w:b/>
                <w:bCs/>
                <w:sz w:val="20"/>
                <w:szCs w:val="20"/>
              </w:rPr>
              <w:br/>
            </w:r>
            <w:r w:rsidRPr="004B51B5">
              <w:rPr>
                <w:rFonts w:ascii="Arial" w:hAnsi="Arial" w:cs="Arial"/>
                <w:b/>
                <w:bCs/>
                <w:sz w:val="20"/>
                <w:szCs w:val="20"/>
              </w:rPr>
              <w:br/>
            </w:r>
            <w:r w:rsidRPr="004B51B5">
              <w:rPr>
                <w:rFonts w:ascii="Arial" w:hAnsi="Arial" w:cs="Arial"/>
                <w:b/>
                <w:bCs/>
                <w:sz w:val="20"/>
                <w:szCs w:val="20"/>
              </w:rPr>
              <w:br/>
            </w:r>
            <w:r w:rsidRPr="004B51B5">
              <w:rPr>
                <w:rFonts w:ascii="Arial" w:hAnsi="Arial" w:cs="Arial"/>
                <w:b/>
                <w:bCs/>
                <w:sz w:val="20"/>
                <w:szCs w:val="20"/>
              </w:rPr>
              <w:br/>
              <w:t>Hồ Đức Phớc</w:t>
            </w:r>
          </w:p>
        </w:tc>
      </w:tr>
    </w:tbl>
    <w:p w:rsidR="007A15FB" w:rsidRPr="004B51B5" w:rsidRDefault="007A15FB" w:rsidP="004B51B5">
      <w:pPr>
        <w:rPr>
          <w:rFonts w:ascii="Arial" w:hAnsi="Arial" w:cs="Arial"/>
          <w:sz w:val="20"/>
          <w:szCs w:val="20"/>
        </w:rPr>
      </w:pPr>
      <w:r w:rsidRPr="004B51B5">
        <w:rPr>
          <w:rFonts w:ascii="Arial" w:hAnsi="Arial" w:cs="Arial"/>
          <w:sz w:val="20"/>
          <w:szCs w:val="20"/>
        </w:rPr>
        <w:lastRenderedPageBreak/>
        <w:t> </w:t>
      </w:r>
    </w:p>
    <w:sectPr w:rsidR="007A15FB" w:rsidRPr="004B51B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BF0" w:rsidRDefault="00132BF0" w:rsidP="0076378B">
      <w:r>
        <w:separator/>
      </w:r>
    </w:p>
  </w:endnote>
  <w:endnote w:type="continuationSeparator" w:id="0">
    <w:p w:rsidR="00132BF0" w:rsidRDefault="00132BF0" w:rsidP="0076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BF0" w:rsidRDefault="00132BF0" w:rsidP="0076378B">
      <w:r>
        <w:separator/>
      </w:r>
    </w:p>
  </w:footnote>
  <w:footnote w:type="continuationSeparator" w:id="0">
    <w:p w:rsidR="00132BF0" w:rsidRDefault="00132BF0" w:rsidP="007637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B5"/>
    <w:rsid w:val="00132BF0"/>
    <w:rsid w:val="00207083"/>
    <w:rsid w:val="004B51B5"/>
    <w:rsid w:val="0076378B"/>
    <w:rsid w:val="007A15F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F8C3008-3FD9-4972-BA9B-F046063D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78B"/>
    <w:pPr>
      <w:tabs>
        <w:tab w:val="center" w:pos="4680"/>
        <w:tab w:val="right" w:pos="9360"/>
      </w:tabs>
    </w:pPr>
  </w:style>
  <w:style w:type="character" w:customStyle="1" w:styleId="HeaderChar">
    <w:name w:val="Header Char"/>
    <w:basedOn w:val="DefaultParagraphFont"/>
    <w:link w:val="Header"/>
    <w:uiPriority w:val="99"/>
    <w:rsid w:val="0076378B"/>
    <w:rPr>
      <w:sz w:val="24"/>
      <w:szCs w:val="24"/>
    </w:rPr>
  </w:style>
  <w:style w:type="paragraph" w:styleId="Footer">
    <w:name w:val="footer"/>
    <w:basedOn w:val="Normal"/>
    <w:link w:val="FooterChar"/>
    <w:uiPriority w:val="99"/>
    <w:unhideWhenUsed/>
    <w:rsid w:val="0076378B"/>
    <w:pPr>
      <w:tabs>
        <w:tab w:val="center" w:pos="4680"/>
        <w:tab w:val="right" w:pos="9360"/>
      </w:tabs>
    </w:pPr>
  </w:style>
  <w:style w:type="character" w:customStyle="1" w:styleId="FooterChar">
    <w:name w:val="Footer Char"/>
    <w:basedOn w:val="DefaultParagraphFont"/>
    <w:link w:val="Footer"/>
    <w:uiPriority w:val="99"/>
    <w:rsid w:val="007637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4</cp:revision>
  <cp:lastPrinted>1899-12-31T17:00:00Z</cp:lastPrinted>
  <dcterms:created xsi:type="dcterms:W3CDTF">2024-10-23T13:10:00Z</dcterms:created>
  <dcterms:modified xsi:type="dcterms:W3CDTF">2024-10-24T01:20:00Z</dcterms:modified>
</cp:coreProperties>
</file>