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961"/>
        <w:gridCol w:w="5065"/>
      </w:tblGrid>
      <w:tr w:rsidR="00BF0EFF" w:rsidRPr="00333349" w14:paraId="6CAC105C" w14:textId="77777777" w:rsidTr="00333349">
        <w:tc>
          <w:tcPr>
            <w:tcW w:w="2194" w:type="pct"/>
          </w:tcPr>
          <w:p w14:paraId="7A3795AE" w14:textId="5BBEB896" w:rsidR="00BF0EFF" w:rsidRPr="00333349" w:rsidRDefault="00000000" w:rsidP="00333349">
            <w:pPr>
              <w:adjustRightInd w:val="0"/>
              <w:snapToGrid w:val="0"/>
              <w:spacing w:after="0" w:line="240" w:lineRule="auto"/>
              <w:jc w:val="center"/>
              <w:rPr>
                <w:rFonts w:ascii="Arial" w:hAnsi="Arial" w:cs="Arial"/>
                <w:color w:val="000000" w:themeColor="text1"/>
                <w:sz w:val="20"/>
                <w:szCs w:val="20"/>
              </w:rPr>
            </w:pPr>
            <w:r w:rsidRPr="00333349">
              <w:rPr>
                <w:rFonts w:ascii="Arial" w:hAnsi="Arial" w:cs="Arial"/>
                <w:b/>
                <w:color w:val="000000" w:themeColor="text1"/>
                <w:sz w:val="20"/>
                <w:szCs w:val="20"/>
              </w:rPr>
              <w:t>BỘ</w:t>
            </w:r>
            <w:r w:rsidR="00333349" w:rsidRPr="00333349">
              <w:rPr>
                <w:rFonts w:ascii="Arial" w:hAnsi="Arial" w:cs="Arial"/>
                <w:b/>
                <w:color w:val="000000" w:themeColor="text1"/>
                <w:sz w:val="20"/>
                <w:szCs w:val="20"/>
              </w:rPr>
              <w:t xml:space="preserve"> </w:t>
            </w:r>
            <w:r w:rsidRPr="00333349">
              <w:rPr>
                <w:rFonts w:ascii="Arial" w:hAnsi="Arial" w:cs="Arial"/>
                <w:b/>
                <w:color w:val="000000" w:themeColor="text1"/>
                <w:sz w:val="20"/>
                <w:szCs w:val="20"/>
              </w:rPr>
              <w:t>TÀI</w:t>
            </w:r>
            <w:r w:rsidR="00333349" w:rsidRPr="00333349">
              <w:rPr>
                <w:rFonts w:ascii="Arial" w:hAnsi="Arial" w:cs="Arial"/>
                <w:b/>
                <w:color w:val="000000" w:themeColor="text1"/>
                <w:sz w:val="20"/>
                <w:szCs w:val="20"/>
              </w:rPr>
              <w:t xml:space="preserve"> </w:t>
            </w:r>
            <w:r w:rsidRPr="00333349">
              <w:rPr>
                <w:rFonts w:ascii="Arial" w:hAnsi="Arial" w:cs="Arial"/>
                <w:b/>
                <w:color w:val="000000" w:themeColor="text1"/>
                <w:sz w:val="20"/>
                <w:szCs w:val="20"/>
              </w:rPr>
              <w:t>CHÍNH</w:t>
            </w:r>
            <w:r w:rsidRPr="00333349">
              <w:rPr>
                <w:rFonts w:ascii="Arial" w:hAnsi="Arial" w:cs="Arial"/>
                <w:color w:val="000000" w:themeColor="text1"/>
                <w:sz w:val="20"/>
                <w:szCs w:val="20"/>
              </w:rPr>
              <w:br/>
            </w:r>
            <w:r w:rsidRPr="00333349">
              <w:rPr>
                <w:rFonts w:ascii="Arial" w:hAnsi="Arial" w:cs="Arial"/>
                <w:color w:val="000000" w:themeColor="text1"/>
                <w:sz w:val="20"/>
                <w:szCs w:val="20"/>
                <w:vertAlign w:val="superscript"/>
              </w:rPr>
              <w:t>_______</w:t>
            </w:r>
            <w:r w:rsidRPr="00333349">
              <w:rPr>
                <w:rFonts w:ascii="Arial" w:hAnsi="Arial" w:cs="Arial"/>
                <w:color w:val="000000" w:themeColor="text1"/>
                <w:sz w:val="20"/>
                <w:szCs w:val="20"/>
              </w:rPr>
              <w:br/>
            </w:r>
            <w:r w:rsidR="00333349" w:rsidRPr="00333349">
              <w:rPr>
                <w:rFonts w:ascii="Arial" w:hAnsi="Arial" w:cs="Arial"/>
                <w:color w:val="000000" w:themeColor="text1"/>
                <w:sz w:val="20"/>
                <w:szCs w:val="20"/>
              </w:rPr>
              <w:br/>
            </w:r>
            <w:r w:rsidRPr="00333349">
              <w:rPr>
                <w:rFonts w:ascii="Arial" w:hAnsi="Arial" w:cs="Arial"/>
                <w:color w:val="000000" w:themeColor="text1"/>
                <w:sz w:val="20"/>
                <w:szCs w:val="20"/>
              </w:rPr>
              <w:t>Số:</w:t>
            </w:r>
            <w:r w:rsidR="00333349" w:rsidRPr="00333349">
              <w:rPr>
                <w:rFonts w:ascii="Arial" w:hAnsi="Arial" w:cs="Arial"/>
                <w:color w:val="000000" w:themeColor="text1"/>
                <w:sz w:val="20"/>
                <w:szCs w:val="20"/>
              </w:rPr>
              <w:t xml:space="preserve"> </w:t>
            </w:r>
            <w:r w:rsidRPr="00333349">
              <w:rPr>
                <w:rFonts w:ascii="Arial" w:hAnsi="Arial" w:cs="Arial"/>
                <w:color w:val="000000" w:themeColor="text1"/>
                <w:sz w:val="20"/>
                <w:szCs w:val="20"/>
              </w:rPr>
              <w:t>110/2026/TT-BTC</w:t>
            </w:r>
          </w:p>
        </w:tc>
        <w:tc>
          <w:tcPr>
            <w:tcW w:w="2806" w:type="pct"/>
          </w:tcPr>
          <w:p w14:paraId="41762667" w14:textId="3EBC3DF1" w:rsidR="00BF0EFF" w:rsidRPr="00333349" w:rsidRDefault="00000000" w:rsidP="00333349">
            <w:pPr>
              <w:adjustRightInd w:val="0"/>
              <w:snapToGrid w:val="0"/>
              <w:spacing w:after="0" w:line="240" w:lineRule="auto"/>
              <w:jc w:val="center"/>
              <w:rPr>
                <w:rFonts w:ascii="Arial" w:hAnsi="Arial" w:cs="Arial"/>
                <w:color w:val="000000" w:themeColor="text1"/>
                <w:sz w:val="20"/>
                <w:szCs w:val="20"/>
              </w:rPr>
            </w:pPr>
            <w:r w:rsidRPr="00333349">
              <w:rPr>
                <w:rFonts w:ascii="Arial" w:hAnsi="Arial" w:cs="Arial"/>
                <w:b/>
                <w:color w:val="000000" w:themeColor="text1"/>
                <w:sz w:val="20"/>
                <w:szCs w:val="20"/>
              </w:rPr>
              <w:t>CỘNG</w:t>
            </w:r>
            <w:r w:rsidR="00333349" w:rsidRPr="00333349">
              <w:rPr>
                <w:rFonts w:ascii="Arial" w:hAnsi="Arial" w:cs="Arial"/>
                <w:b/>
                <w:color w:val="000000" w:themeColor="text1"/>
                <w:sz w:val="20"/>
                <w:szCs w:val="20"/>
              </w:rPr>
              <w:t xml:space="preserve"> </w:t>
            </w:r>
            <w:r w:rsidRPr="00333349">
              <w:rPr>
                <w:rFonts w:ascii="Arial" w:hAnsi="Arial" w:cs="Arial"/>
                <w:b/>
                <w:color w:val="000000" w:themeColor="text1"/>
                <w:sz w:val="20"/>
                <w:szCs w:val="20"/>
              </w:rPr>
              <w:t>HÒA</w:t>
            </w:r>
            <w:r w:rsidR="00333349" w:rsidRPr="00333349">
              <w:rPr>
                <w:rFonts w:ascii="Arial" w:hAnsi="Arial" w:cs="Arial"/>
                <w:b/>
                <w:color w:val="000000" w:themeColor="text1"/>
                <w:sz w:val="20"/>
                <w:szCs w:val="20"/>
              </w:rPr>
              <w:t xml:space="preserve"> </w:t>
            </w:r>
            <w:r w:rsidRPr="00333349">
              <w:rPr>
                <w:rFonts w:ascii="Arial" w:hAnsi="Arial" w:cs="Arial"/>
                <w:b/>
                <w:color w:val="000000" w:themeColor="text1"/>
                <w:sz w:val="20"/>
                <w:szCs w:val="20"/>
              </w:rPr>
              <w:t>XÃ</w:t>
            </w:r>
            <w:r w:rsidR="00333349" w:rsidRPr="00333349">
              <w:rPr>
                <w:rFonts w:ascii="Arial" w:hAnsi="Arial" w:cs="Arial"/>
                <w:b/>
                <w:color w:val="000000" w:themeColor="text1"/>
                <w:sz w:val="20"/>
                <w:szCs w:val="20"/>
              </w:rPr>
              <w:t xml:space="preserve"> </w:t>
            </w:r>
            <w:r w:rsidRPr="00333349">
              <w:rPr>
                <w:rFonts w:ascii="Arial" w:hAnsi="Arial" w:cs="Arial"/>
                <w:b/>
                <w:color w:val="000000" w:themeColor="text1"/>
                <w:sz w:val="20"/>
                <w:szCs w:val="20"/>
              </w:rPr>
              <w:t>HỘI</w:t>
            </w:r>
            <w:r w:rsidR="00333349" w:rsidRPr="00333349">
              <w:rPr>
                <w:rFonts w:ascii="Arial" w:hAnsi="Arial" w:cs="Arial"/>
                <w:b/>
                <w:color w:val="000000" w:themeColor="text1"/>
                <w:sz w:val="20"/>
                <w:szCs w:val="20"/>
              </w:rPr>
              <w:t xml:space="preserve"> </w:t>
            </w:r>
            <w:r w:rsidRPr="00333349">
              <w:rPr>
                <w:rFonts w:ascii="Arial" w:hAnsi="Arial" w:cs="Arial"/>
                <w:b/>
                <w:color w:val="000000" w:themeColor="text1"/>
                <w:sz w:val="20"/>
                <w:szCs w:val="20"/>
              </w:rPr>
              <w:t>CHỦ</w:t>
            </w:r>
            <w:r w:rsidR="00333349" w:rsidRPr="00333349">
              <w:rPr>
                <w:rFonts w:ascii="Arial" w:hAnsi="Arial" w:cs="Arial"/>
                <w:b/>
                <w:color w:val="000000" w:themeColor="text1"/>
                <w:sz w:val="20"/>
                <w:szCs w:val="20"/>
              </w:rPr>
              <w:t xml:space="preserve"> </w:t>
            </w:r>
            <w:r w:rsidRPr="00333349">
              <w:rPr>
                <w:rFonts w:ascii="Arial" w:hAnsi="Arial" w:cs="Arial"/>
                <w:b/>
                <w:color w:val="000000" w:themeColor="text1"/>
                <w:sz w:val="20"/>
                <w:szCs w:val="20"/>
              </w:rPr>
              <w:t>NGHĨA</w:t>
            </w:r>
            <w:r w:rsidR="00333349" w:rsidRPr="00333349">
              <w:rPr>
                <w:rFonts w:ascii="Arial" w:hAnsi="Arial" w:cs="Arial"/>
                <w:b/>
                <w:color w:val="000000" w:themeColor="text1"/>
                <w:sz w:val="20"/>
                <w:szCs w:val="20"/>
              </w:rPr>
              <w:t xml:space="preserve"> </w:t>
            </w:r>
            <w:r w:rsidRPr="00333349">
              <w:rPr>
                <w:rFonts w:ascii="Arial" w:hAnsi="Arial" w:cs="Arial"/>
                <w:b/>
                <w:color w:val="000000" w:themeColor="text1"/>
                <w:sz w:val="20"/>
                <w:szCs w:val="20"/>
              </w:rPr>
              <w:t>VIỆT</w:t>
            </w:r>
            <w:r w:rsidR="00333349" w:rsidRPr="00333349">
              <w:rPr>
                <w:rFonts w:ascii="Arial" w:hAnsi="Arial" w:cs="Arial"/>
                <w:b/>
                <w:color w:val="000000" w:themeColor="text1"/>
                <w:sz w:val="20"/>
                <w:szCs w:val="20"/>
              </w:rPr>
              <w:t xml:space="preserve"> </w:t>
            </w:r>
            <w:r w:rsidRPr="00333349">
              <w:rPr>
                <w:rFonts w:ascii="Arial" w:hAnsi="Arial" w:cs="Arial"/>
                <w:b/>
                <w:color w:val="000000" w:themeColor="text1"/>
                <w:sz w:val="20"/>
                <w:szCs w:val="20"/>
              </w:rPr>
              <w:t>NAM</w:t>
            </w:r>
            <w:r w:rsidRPr="00333349">
              <w:rPr>
                <w:rFonts w:ascii="Arial" w:hAnsi="Arial" w:cs="Arial"/>
                <w:color w:val="000000" w:themeColor="text1"/>
                <w:sz w:val="20"/>
                <w:szCs w:val="20"/>
              </w:rPr>
              <w:br/>
            </w:r>
            <w:r w:rsidRPr="00333349">
              <w:rPr>
                <w:rFonts w:ascii="Arial" w:hAnsi="Arial" w:cs="Arial"/>
                <w:b/>
                <w:color w:val="000000" w:themeColor="text1"/>
                <w:sz w:val="20"/>
                <w:szCs w:val="20"/>
              </w:rPr>
              <w:t>Độc</w:t>
            </w:r>
            <w:r w:rsidR="00333349" w:rsidRPr="00333349">
              <w:rPr>
                <w:rFonts w:ascii="Arial" w:hAnsi="Arial" w:cs="Arial"/>
                <w:b/>
                <w:color w:val="000000" w:themeColor="text1"/>
                <w:sz w:val="20"/>
                <w:szCs w:val="20"/>
              </w:rPr>
              <w:t xml:space="preserve"> </w:t>
            </w:r>
            <w:r w:rsidRPr="00333349">
              <w:rPr>
                <w:rFonts w:ascii="Arial" w:hAnsi="Arial" w:cs="Arial"/>
                <w:b/>
                <w:color w:val="000000" w:themeColor="text1"/>
                <w:sz w:val="20"/>
                <w:szCs w:val="20"/>
              </w:rPr>
              <w:t>lập</w:t>
            </w:r>
            <w:r w:rsidR="00333349" w:rsidRPr="00333349">
              <w:rPr>
                <w:rFonts w:ascii="Arial" w:hAnsi="Arial" w:cs="Arial"/>
                <w:b/>
                <w:color w:val="000000" w:themeColor="text1"/>
                <w:sz w:val="20"/>
                <w:szCs w:val="20"/>
              </w:rPr>
              <w:t xml:space="preserve"> </w:t>
            </w:r>
            <w:r w:rsidRPr="00333349">
              <w:rPr>
                <w:rFonts w:ascii="Arial" w:hAnsi="Arial" w:cs="Arial"/>
                <w:b/>
                <w:color w:val="000000" w:themeColor="text1"/>
                <w:sz w:val="20"/>
                <w:szCs w:val="20"/>
              </w:rPr>
              <w:t>–</w:t>
            </w:r>
            <w:r w:rsidR="00333349" w:rsidRPr="00333349">
              <w:rPr>
                <w:rFonts w:ascii="Arial" w:hAnsi="Arial" w:cs="Arial"/>
                <w:b/>
                <w:color w:val="000000" w:themeColor="text1"/>
                <w:sz w:val="20"/>
                <w:szCs w:val="20"/>
              </w:rPr>
              <w:t xml:space="preserve"> </w:t>
            </w:r>
            <w:r w:rsidRPr="00333349">
              <w:rPr>
                <w:rFonts w:ascii="Arial" w:hAnsi="Arial" w:cs="Arial"/>
                <w:b/>
                <w:color w:val="000000" w:themeColor="text1"/>
                <w:sz w:val="20"/>
                <w:szCs w:val="20"/>
              </w:rPr>
              <w:t>Tự</w:t>
            </w:r>
            <w:r w:rsidR="00333349" w:rsidRPr="00333349">
              <w:rPr>
                <w:rFonts w:ascii="Arial" w:hAnsi="Arial" w:cs="Arial"/>
                <w:b/>
                <w:color w:val="000000" w:themeColor="text1"/>
                <w:sz w:val="20"/>
                <w:szCs w:val="20"/>
              </w:rPr>
              <w:t xml:space="preserve"> </w:t>
            </w:r>
            <w:r w:rsidRPr="00333349">
              <w:rPr>
                <w:rFonts w:ascii="Arial" w:hAnsi="Arial" w:cs="Arial"/>
                <w:b/>
                <w:color w:val="000000" w:themeColor="text1"/>
                <w:sz w:val="20"/>
                <w:szCs w:val="20"/>
              </w:rPr>
              <w:t>do</w:t>
            </w:r>
            <w:r w:rsidR="00333349" w:rsidRPr="00333349">
              <w:rPr>
                <w:rFonts w:ascii="Arial" w:hAnsi="Arial" w:cs="Arial"/>
                <w:b/>
                <w:color w:val="000000" w:themeColor="text1"/>
                <w:sz w:val="20"/>
                <w:szCs w:val="20"/>
              </w:rPr>
              <w:t xml:space="preserve"> </w:t>
            </w:r>
            <w:r w:rsidRPr="00333349">
              <w:rPr>
                <w:rFonts w:ascii="Arial" w:hAnsi="Arial" w:cs="Arial"/>
                <w:b/>
                <w:color w:val="000000" w:themeColor="text1"/>
                <w:sz w:val="20"/>
                <w:szCs w:val="20"/>
              </w:rPr>
              <w:t>–</w:t>
            </w:r>
            <w:r w:rsidR="00333349" w:rsidRPr="00333349">
              <w:rPr>
                <w:rFonts w:ascii="Arial" w:hAnsi="Arial" w:cs="Arial"/>
                <w:b/>
                <w:color w:val="000000" w:themeColor="text1"/>
                <w:sz w:val="20"/>
                <w:szCs w:val="20"/>
              </w:rPr>
              <w:t xml:space="preserve"> </w:t>
            </w:r>
            <w:r w:rsidRPr="00333349">
              <w:rPr>
                <w:rFonts w:ascii="Arial" w:hAnsi="Arial" w:cs="Arial"/>
                <w:b/>
                <w:color w:val="000000" w:themeColor="text1"/>
                <w:sz w:val="20"/>
                <w:szCs w:val="20"/>
              </w:rPr>
              <w:t>Hạnh</w:t>
            </w:r>
            <w:r w:rsidR="00333349" w:rsidRPr="00333349">
              <w:rPr>
                <w:rFonts w:ascii="Arial" w:hAnsi="Arial" w:cs="Arial"/>
                <w:b/>
                <w:color w:val="000000" w:themeColor="text1"/>
                <w:sz w:val="20"/>
                <w:szCs w:val="20"/>
              </w:rPr>
              <w:t xml:space="preserve"> </w:t>
            </w:r>
            <w:r w:rsidRPr="00333349">
              <w:rPr>
                <w:rFonts w:ascii="Arial" w:hAnsi="Arial" w:cs="Arial"/>
                <w:b/>
                <w:color w:val="000000" w:themeColor="text1"/>
                <w:sz w:val="20"/>
                <w:szCs w:val="20"/>
              </w:rPr>
              <w:t>phúc</w:t>
            </w:r>
            <w:r w:rsidRPr="00333349">
              <w:rPr>
                <w:rFonts w:ascii="Arial" w:hAnsi="Arial" w:cs="Arial"/>
                <w:color w:val="000000" w:themeColor="text1"/>
                <w:sz w:val="20"/>
                <w:szCs w:val="20"/>
              </w:rPr>
              <w:br/>
            </w:r>
            <w:r w:rsidRPr="00333349">
              <w:rPr>
                <w:rFonts w:ascii="Arial" w:hAnsi="Arial" w:cs="Arial"/>
                <w:color w:val="000000" w:themeColor="text1"/>
                <w:sz w:val="20"/>
                <w:szCs w:val="20"/>
                <w:vertAlign w:val="superscript"/>
              </w:rPr>
              <w:t>_________________</w:t>
            </w:r>
            <w:r w:rsidRPr="00333349">
              <w:rPr>
                <w:rFonts w:ascii="Arial" w:hAnsi="Arial" w:cs="Arial"/>
                <w:color w:val="000000" w:themeColor="text1"/>
                <w:sz w:val="20"/>
                <w:szCs w:val="20"/>
              </w:rPr>
              <w:br/>
            </w:r>
            <w:r w:rsidRPr="00333349">
              <w:rPr>
                <w:rFonts w:ascii="Arial" w:hAnsi="Arial" w:cs="Arial"/>
                <w:i/>
                <w:color w:val="000000" w:themeColor="text1"/>
                <w:sz w:val="20"/>
                <w:szCs w:val="20"/>
              </w:rPr>
              <w:t>Hà</w:t>
            </w:r>
            <w:r w:rsidR="00333349" w:rsidRPr="00333349">
              <w:rPr>
                <w:rFonts w:ascii="Arial" w:hAnsi="Arial" w:cs="Arial"/>
                <w:i/>
                <w:color w:val="000000" w:themeColor="text1"/>
                <w:sz w:val="20"/>
                <w:szCs w:val="20"/>
              </w:rPr>
              <w:t xml:space="preserve"> </w:t>
            </w:r>
            <w:r w:rsidRPr="00333349">
              <w:rPr>
                <w:rFonts w:ascii="Arial" w:hAnsi="Arial" w:cs="Arial"/>
                <w:i/>
                <w:color w:val="000000" w:themeColor="text1"/>
                <w:sz w:val="20"/>
                <w:szCs w:val="20"/>
              </w:rPr>
              <w:t>Nội,</w:t>
            </w:r>
            <w:r w:rsidR="00333349" w:rsidRPr="00333349">
              <w:rPr>
                <w:rFonts w:ascii="Arial" w:hAnsi="Arial" w:cs="Arial"/>
                <w:i/>
                <w:color w:val="000000" w:themeColor="text1"/>
                <w:sz w:val="20"/>
                <w:szCs w:val="20"/>
              </w:rPr>
              <w:t xml:space="preserve"> </w:t>
            </w:r>
            <w:r w:rsidRPr="00333349">
              <w:rPr>
                <w:rFonts w:ascii="Arial" w:hAnsi="Arial" w:cs="Arial"/>
                <w:i/>
                <w:color w:val="000000" w:themeColor="text1"/>
                <w:sz w:val="20"/>
                <w:szCs w:val="20"/>
              </w:rPr>
              <w:t>ngày</w:t>
            </w:r>
            <w:r w:rsidR="00333349" w:rsidRPr="00333349">
              <w:rPr>
                <w:rFonts w:ascii="Arial" w:hAnsi="Arial" w:cs="Arial"/>
                <w:i/>
                <w:color w:val="000000" w:themeColor="text1"/>
                <w:sz w:val="20"/>
                <w:szCs w:val="20"/>
              </w:rPr>
              <w:t xml:space="preserve"> </w:t>
            </w:r>
            <w:r w:rsidRPr="00333349">
              <w:rPr>
                <w:rFonts w:ascii="Arial" w:hAnsi="Arial" w:cs="Arial"/>
                <w:i/>
                <w:color w:val="000000" w:themeColor="text1"/>
                <w:sz w:val="20"/>
                <w:szCs w:val="20"/>
              </w:rPr>
              <w:t>28</w:t>
            </w:r>
            <w:r w:rsidR="00333349" w:rsidRPr="00333349">
              <w:rPr>
                <w:rFonts w:ascii="Arial" w:hAnsi="Arial" w:cs="Arial"/>
                <w:i/>
                <w:color w:val="000000" w:themeColor="text1"/>
                <w:sz w:val="20"/>
                <w:szCs w:val="20"/>
              </w:rPr>
              <w:t xml:space="preserve"> </w:t>
            </w:r>
            <w:r w:rsidRPr="00333349">
              <w:rPr>
                <w:rFonts w:ascii="Arial" w:hAnsi="Arial" w:cs="Arial"/>
                <w:i/>
                <w:color w:val="000000" w:themeColor="text1"/>
                <w:sz w:val="20"/>
                <w:szCs w:val="20"/>
              </w:rPr>
              <w:t>tháng</w:t>
            </w:r>
            <w:r w:rsidR="00333349" w:rsidRPr="00333349">
              <w:rPr>
                <w:rFonts w:ascii="Arial" w:hAnsi="Arial" w:cs="Arial"/>
                <w:i/>
                <w:color w:val="000000" w:themeColor="text1"/>
                <w:sz w:val="20"/>
                <w:szCs w:val="20"/>
              </w:rPr>
              <w:t xml:space="preserve"> </w:t>
            </w:r>
            <w:r w:rsidRPr="00333349">
              <w:rPr>
                <w:rFonts w:ascii="Arial" w:hAnsi="Arial" w:cs="Arial"/>
                <w:i/>
                <w:color w:val="000000" w:themeColor="text1"/>
                <w:sz w:val="20"/>
                <w:szCs w:val="20"/>
              </w:rPr>
              <w:t>7</w:t>
            </w:r>
            <w:r w:rsidR="00333349" w:rsidRPr="00333349">
              <w:rPr>
                <w:rFonts w:ascii="Arial" w:hAnsi="Arial" w:cs="Arial"/>
                <w:i/>
                <w:color w:val="000000" w:themeColor="text1"/>
                <w:sz w:val="20"/>
                <w:szCs w:val="20"/>
              </w:rPr>
              <w:t xml:space="preserve"> </w:t>
            </w:r>
            <w:r w:rsidRPr="00333349">
              <w:rPr>
                <w:rFonts w:ascii="Arial" w:hAnsi="Arial" w:cs="Arial"/>
                <w:i/>
                <w:color w:val="000000" w:themeColor="text1"/>
                <w:sz w:val="20"/>
                <w:szCs w:val="20"/>
              </w:rPr>
              <w:t>năm</w:t>
            </w:r>
            <w:r w:rsidR="00333349" w:rsidRPr="00333349">
              <w:rPr>
                <w:rFonts w:ascii="Arial" w:hAnsi="Arial" w:cs="Arial"/>
                <w:i/>
                <w:color w:val="000000" w:themeColor="text1"/>
                <w:sz w:val="20"/>
                <w:szCs w:val="20"/>
              </w:rPr>
              <w:t xml:space="preserve"> </w:t>
            </w:r>
            <w:r w:rsidRPr="00333349">
              <w:rPr>
                <w:rFonts w:ascii="Arial" w:hAnsi="Arial" w:cs="Arial"/>
                <w:i/>
                <w:color w:val="000000" w:themeColor="text1"/>
                <w:sz w:val="20"/>
                <w:szCs w:val="20"/>
              </w:rPr>
              <w:t>2026</w:t>
            </w:r>
          </w:p>
        </w:tc>
      </w:tr>
    </w:tbl>
    <w:p w14:paraId="1781C272" w14:textId="77777777" w:rsidR="00333349" w:rsidRPr="00333349" w:rsidRDefault="00333349" w:rsidP="00333349">
      <w:pPr>
        <w:adjustRightInd w:val="0"/>
        <w:snapToGrid w:val="0"/>
        <w:spacing w:after="0" w:line="240" w:lineRule="auto"/>
        <w:jc w:val="center"/>
        <w:rPr>
          <w:rFonts w:ascii="Arial" w:hAnsi="Arial" w:cs="Arial"/>
          <w:b/>
          <w:color w:val="000000" w:themeColor="text1"/>
          <w:sz w:val="20"/>
          <w:szCs w:val="20"/>
        </w:rPr>
      </w:pPr>
    </w:p>
    <w:p w14:paraId="624D0529" w14:textId="77777777" w:rsidR="00333349" w:rsidRPr="00333349" w:rsidRDefault="00333349" w:rsidP="00333349">
      <w:pPr>
        <w:adjustRightInd w:val="0"/>
        <w:snapToGrid w:val="0"/>
        <w:spacing w:after="0" w:line="240" w:lineRule="auto"/>
        <w:jc w:val="center"/>
        <w:rPr>
          <w:rFonts w:ascii="Arial" w:hAnsi="Arial" w:cs="Arial"/>
          <w:b/>
          <w:color w:val="000000" w:themeColor="text1"/>
          <w:sz w:val="20"/>
          <w:szCs w:val="20"/>
        </w:rPr>
      </w:pPr>
    </w:p>
    <w:p w14:paraId="1FFC9C8C" w14:textId="680D5399" w:rsidR="00BF0EFF" w:rsidRPr="00333349" w:rsidRDefault="00000000" w:rsidP="00333349">
      <w:pPr>
        <w:adjustRightInd w:val="0"/>
        <w:snapToGrid w:val="0"/>
        <w:spacing w:after="0" w:line="240" w:lineRule="auto"/>
        <w:jc w:val="center"/>
        <w:rPr>
          <w:rFonts w:ascii="Arial" w:hAnsi="Arial" w:cs="Arial"/>
          <w:color w:val="000000" w:themeColor="text1"/>
          <w:sz w:val="20"/>
          <w:szCs w:val="20"/>
        </w:rPr>
      </w:pPr>
      <w:r w:rsidRPr="00333349">
        <w:rPr>
          <w:rFonts w:ascii="Arial" w:hAnsi="Arial" w:cs="Arial"/>
          <w:b/>
          <w:color w:val="000000" w:themeColor="text1"/>
          <w:sz w:val="20"/>
          <w:szCs w:val="20"/>
        </w:rPr>
        <w:t>THÔNG TƯ</w:t>
      </w:r>
    </w:p>
    <w:p w14:paraId="7BB42CF9" w14:textId="15E5E577" w:rsidR="00BF0EFF" w:rsidRPr="00333349" w:rsidRDefault="00000000" w:rsidP="00333349">
      <w:pPr>
        <w:adjustRightInd w:val="0"/>
        <w:snapToGrid w:val="0"/>
        <w:spacing w:after="0" w:line="240" w:lineRule="auto"/>
        <w:jc w:val="center"/>
        <w:rPr>
          <w:rFonts w:ascii="Arial" w:hAnsi="Arial" w:cs="Arial"/>
          <w:b/>
          <w:color w:val="000000" w:themeColor="text1"/>
          <w:sz w:val="20"/>
          <w:szCs w:val="20"/>
        </w:rPr>
      </w:pPr>
      <w:r w:rsidRPr="00333349">
        <w:rPr>
          <w:rFonts w:ascii="Arial" w:hAnsi="Arial" w:cs="Arial"/>
          <w:b/>
          <w:color w:val="000000" w:themeColor="text1"/>
          <w:sz w:val="20"/>
          <w:szCs w:val="20"/>
        </w:rPr>
        <w:t>Bãi bỏ toàn bộ một số Thông tư và Quyết định của Bộ trưởng Bộ Tài chính</w:t>
      </w:r>
      <w:r w:rsidR="00333349" w:rsidRPr="00333349">
        <w:rPr>
          <w:rFonts w:ascii="Arial" w:hAnsi="Arial" w:cs="Arial"/>
          <w:color w:val="000000" w:themeColor="text1"/>
          <w:sz w:val="20"/>
          <w:szCs w:val="20"/>
        </w:rPr>
        <w:br/>
      </w:r>
      <w:r w:rsidRPr="00333349">
        <w:rPr>
          <w:rFonts w:ascii="Arial" w:hAnsi="Arial" w:cs="Arial"/>
          <w:b/>
          <w:color w:val="000000" w:themeColor="text1"/>
          <w:sz w:val="20"/>
          <w:szCs w:val="20"/>
        </w:rPr>
        <w:t>trong lĩnh vực thuế</w:t>
      </w:r>
    </w:p>
    <w:p w14:paraId="0B51756D" w14:textId="77777777" w:rsidR="00333349" w:rsidRPr="00333349" w:rsidRDefault="00333349" w:rsidP="00333349">
      <w:pPr>
        <w:adjustRightInd w:val="0"/>
        <w:snapToGrid w:val="0"/>
        <w:spacing w:after="0" w:line="240" w:lineRule="auto"/>
        <w:jc w:val="center"/>
        <w:rPr>
          <w:rFonts w:ascii="Arial" w:hAnsi="Arial" w:cs="Arial"/>
          <w:color w:val="000000" w:themeColor="text1"/>
          <w:sz w:val="20"/>
          <w:szCs w:val="20"/>
        </w:rPr>
      </w:pPr>
    </w:p>
    <w:p w14:paraId="4A2E476A" w14:textId="77777777" w:rsidR="00BF0EFF" w:rsidRPr="00333349" w:rsidRDefault="00000000" w:rsidP="00333349">
      <w:pPr>
        <w:adjustRightInd w:val="0"/>
        <w:snapToGrid w:val="0"/>
        <w:spacing w:after="120" w:line="240" w:lineRule="auto"/>
        <w:ind w:firstLine="720"/>
        <w:jc w:val="both"/>
        <w:rPr>
          <w:rFonts w:ascii="Arial" w:hAnsi="Arial" w:cs="Arial"/>
          <w:color w:val="000000" w:themeColor="text1"/>
          <w:sz w:val="20"/>
          <w:szCs w:val="20"/>
        </w:rPr>
      </w:pPr>
      <w:r w:rsidRPr="00333349">
        <w:rPr>
          <w:rFonts w:ascii="Arial" w:hAnsi="Arial" w:cs="Arial"/>
          <w:i/>
          <w:color w:val="000000" w:themeColor="text1"/>
          <w:sz w:val="20"/>
          <w:szCs w:val="20"/>
        </w:rPr>
        <w:t>Căn cứ Luật Ban hành văn bản quy phạm pháp luật số 64/2025/QH15 được sửa đổi, bổ sung bởi Luật số 87/2025/QH15;</w:t>
      </w:r>
    </w:p>
    <w:p w14:paraId="6C768A31" w14:textId="77777777" w:rsidR="00BF0EFF" w:rsidRPr="00333349" w:rsidRDefault="00000000" w:rsidP="00333349">
      <w:pPr>
        <w:adjustRightInd w:val="0"/>
        <w:snapToGrid w:val="0"/>
        <w:spacing w:after="120" w:line="240" w:lineRule="auto"/>
        <w:ind w:firstLine="720"/>
        <w:jc w:val="both"/>
        <w:rPr>
          <w:rFonts w:ascii="Arial" w:hAnsi="Arial" w:cs="Arial"/>
          <w:color w:val="000000" w:themeColor="text1"/>
          <w:sz w:val="20"/>
          <w:szCs w:val="20"/>
        </w:rPr>
      </w:pPr>
      <w:r w:rsidRPr="00333349">
        <w:rPr>
          <w:rFonts w:ascii="Arial" w:hAnsi="Arial" w:cs="Arial"/>
          <w:i/>
          <w:color w:val="000000" w:themeColor="text1"/>
          <w:sz w:val="20"/>
          <w:szCs w:val="20"/>
        </w:rPr>
        <w:t>Căn cứ Luật Quản lý thuế số 108/2025/QH15; Nghị định số 252/2026/NĐ-CP của Chính phủ quy định chi tiết một số điều và biện pháp để tổ chức, hướng dẫn thi hành một số điều của Luật Quản lý thuế;</w:t>
      </w:r>
    </w:p>
    <w:p w14:paraId="1AA06E18" w14:textId="6B8B566D" w:rsidR="00BF0EFF" w:rsidRPr="00333349" w:rsidRDefault="00000000" w:rsidP="00333349">
      <w:pPr>
        <w:adjustRightInd w:val="0"/>
        <w:snapToGrid w:val="0"/>
        <w:spacing w:after="120" w:line="240" w:lineRule="auto"/>
        <w:ind w:firstLine="720"/>
        <w:jc w:val="both"/>
        <w:rPr>
          <w:rFonts w:ascii="Arial" w:hAnsi="Arial" w:cs="Arial"/>
          <w:color w:val="000000" w:themeColor="text1"/>
          <w:sz w:val="20"/>
          <w:szCs w:val="20"/>
        </w:rPr>
      </w:pPr>
      <w:r w:rsidRPr="00333349">
        <w:rPr>
          <w:rFonts w:ascii="Arial" w:hAnsi="Arial" w:cs="Arial"/>
          <w:i/>
          <w:color w:val="000000" w:themeColor="text1"/>
          <w:sz w:val="20"/>
          <w:szCs w:val="20"/>
        </w:rPr>
        <w:t>Căn cứ Luật thuế sử dụng đất nông nghiệp số 2</w:t>
      </w:r>
      <w:r w:rsidR="00A50318">
        <w:rPr>
          <w:rFonts w:ascii="Arial" w:hAnsi="Arial" w:cs="Arial"/>
          <w:i/>
          <w:color w:val="000000" w:themeColor="text1"/>
          <w:sz w:val="20"/>
          <w:szCs w:val="20"/>
        </w:rPr>
        <w:t>3</w:t>
      </w:r>
      <w:r w:rsidRPr="00333349">
        <w:rPr>
          <w:rFonts w:ascii="Arial" w:hAnsi="Arial" w:cs="Arial"/>
          <w:i/>
          <w:color w:val="000000" w:themeColor="text1"/>
          <w:sz w:val="20"/>
          <w:szCs w:val="20"/>
        </w:rPr>
        <w:t>-L/CTN;</w:t>
      </w:r>
    </w:p>
    <w:p w14:paraId="17AC3E9A" w14:textId="77777777" w:rsidR="00BF0EFF" w:rsidRPr="00333349" w:rsidRDefault="00000000" w:rsidP="00333349">
      <w:pPr>
        <w:adjustRightInd w:val="0"/>
        <w:snapToGrid w:val="0"/>
        <w:spacing w:after="120" w:line="240" w:lineRule="auto"/>
        <w:ind w:firstLine="720"/>
        <w:jc w:val="both"/>
        <w:rPr>
          <w:rFonts w:ascii="Arial" w:hAnsi="Arial" w:cs="Arial"/>
          <w:color w:val="000000" w:themeColor="text1"/>
          <w:sz w:val="20"/>
          <w:szCs w:val="20"/>
        </w:rPr>
      </w:pPr>
      <w:r w:rsidRPr="00333349">
        <w:rPr>
          <w:rFonts w:ascii="Arial" w:hAnsi="Arial" w:cs="Arial"/>
          <w:i/>
          <w:color w:val="000000" w:themeColor="text1"/>
          <w:sz w:val="20"/>
          <w:szCs w:val="20"/>
        </w:rPr>
        <w:t>Căn cứ Luật Thuế thu nhập cá nhân số 109/2025/QH15 được sửa đổi, bổ sung bởi Luật số 09/2026/QH16;</w:t>
      </w:r>
    </w:p>
    <w:p w14:paraId="45EA500B" w14:textId="77777777" w:rsidR="00BF0EFF" w:rsidRPr="00333349" w:rsidRDefault="00000000" w:rsidP="00333349">
      <w:pPr>
        <w:adjustRightInd w:val="0"/>
        <w:snapToGrid w:val="0"/>
        <w:spacing w:after="120" w:line="240" w:lineRule="auto"/>
        <w:ind w:firstLine="720"/>
        <w:jc w:val="both"/>
        <w:rPr>
          <w:rFonts w:ascii="Arial" w:hAnsi="Arial" w:cs="Arial"/>
          <w:color w:val="000000" w:themeColor="text1"/>
          <w:sz w:val="20"/>
          <w:szCs w:val="20"/>
        </w:rPr>
      </w:pPr>
      <w:r w:rsidRPr="00333349">
        <w:rPr>
          <w:rFonts w:ascii="Arial" w:hAnsi="Arial" w:cs="Arial"/>
          <w:i/>
          <w:color w:val="000000" w:themeColor="text1"/>
          <w:sz w:val="20"/>
          <w:szCs w:val="20"/>
        </w:rPr>
        <w:t>Căn cứ Luật Thuế giá trị gia tăng số 48/2024/QH15 được sửa đổi, bổ sung bởi Luật số 149/2025/QH15; Luật số 90/2025/QH15; Luật số 09/2026/QH16;</w:t>
      </w:r>
    </w:p>
    <w:p w14:paraId="490D9561" w14:textId="77777777" w:rsidR="00BF0EFF" w:rsidRPr="00333349" w:rsidRDefault="00000000" w:rsidP="00333349">
      <w:pPr>
        <w:adjustRightInd w:val="0"/>
        <w:snapToGrid w:val="0"/>
        <w:spacing w:after="120" w:line="240" w:lineRule="auto"/>
        <w:ind w:firstLine="720"/>
        <w:jc w:val="both"/>
        <w:rPr>
          <w:rFonts w:ascii="Arial" w:hAnsi="Arial" w:cs="Arial"/>
          <w:color w:val="000000" w:themeColor="text1"/>
          <w:sz w:val="20"/>
          <w:szCs w:val="20"/>
        </w:rPr>
      </w:pPr>
      <w:r w:rsidRPr="00333349">
        <w:rPr>
          <w:rFonts w:ascii="Arial" w:hAnsi="Arial" w:cs="Arial"/>
          <w:i/>
          <w:color w:val="000000" w:themeColor="text1"/>
          <w:sz w:val="20"/>
          <w:szCs w:val="20"/>
        </w:rPr>
        <w:t>Căn cứ Luật Thuế thu nhập doanh nghiệp số 67/2025/QH15 được sửa đổi, bổ sung bởi Luật số 09/2026/QH16;</w:t>
      </w:r>
    </w:p>
    <w:p w14:paraId="29288CD8" w14:textId="77777777" w:rsidR="00BF0EFF" w:rsidRPr="00333349" w:rsidRDefault="00000000" w:rsidP="00333349">
      <w:pPr>
        <w:adjustRightInd w:val="0"/>
        <w:snapToGrid w:val="0"/>
        <w:spacing w:after="120" w:line="240" w:lineRule="auto"/>
        <w:ind w:firstLine="720"/>
        <w:jc w:val="both"/>
        <w:rPr>
          <w:rFonts w:ascii="Arial" w:hAnsi="Arial" w:cs="Arial"/>
          <w:color w:val="000000" w:themeColor="text1"/>
          <w:sz w:val="20"/>
          <w:szCs w:val="20"/>
        </w:rPr>
      </w:pPr>
      <w:r w:rsidRPr="00333349">
        <w:rPr>
          <w:rFonts w:ascii="Arial" w:hAnsi="Arial" w:cs="Arial"/>
          <w:i/>
          <w:color w:val="000000" w:themeColor="text1"/>
          <w:sz w:val="20"/>
          <w:szCs w:val="20"/>
        </w:rPr>
        <w:t>Căn cứ Nghị định số 78/2025/NĐ-CP của Chính phủ quy định chi tiết một số điều và biện pháp để tổ chức, hướng dẫn thi hành Luật Ban hành văn bản quy phạm pháp luật và Nghị định số 79/2025/NĐ-CP của Chính phủ về kiểm tra, rà soát, hệ thống hóa và xử lý văn bản quy phạm pháp luật được sửa đổi, bổ sung bởi Nghị định số 187/2025/NĐ-CP của Chính phủ;</w:t>
      </w:r>
    </w:p>
    <w:p w14:paraId="13B015CF" w14:textId="77777777" w:rsidR="00BF0EFF" w:rsidRPr="00333349" w:rsidRDefault="00000000" w:rsidP="00333349">
      <w:pPr>
        <w:adjustRightInd w:val="0"/>
        <w:snapToGrid w:val="0"/>
        <w:spacing w:after="120" w:line="240" w:lineRule="auto"/>
        <w:ind w:firstLine="720"/>
        <w:jc w:val="both"/>
        <w:rPr>
          <w:rFonts w:ascii="Arial" w:hAnsi="Arial" w:cs="Arial"/>
          <w:color w:val="000000" w:themeColor="text1"/>
          <w:sz w:val="20"/>
          <w:szCs w:val="20"/>
        </w:rPr>
      </w:pPr>
      <w:r w:rsidRPr="00333349">
        <w:rPr>
          <w:rFonts w:ascii="Arial" w:hAnsi="Arial" w:cs="Arial"/>
          <w:i/>
          <w:color w:val="000000" w:themeColor="text1"/>
          <w:sz w:val="20"/>
          <w:szCs w:val="20"/>
        </w:rPr>
        <w:t>Căn cứ Nghị định số 29/2025/NĐ-CP của Chính phủ quy định chức năng, nhiệm vụ, quyền hạn và cơ cấu tổ chức của Bộ Tài chính được sửa đổi, bổ sung bởi Nghị định số 166/2025/NĐ-CP của Chính phủ;</w:t>
      </w:r>
    </w:p>
    <w:p w14:paraId="654169C8" w14:textId="77777777" w:rsidR="00BF0EFF" w:rsidRPr="00333349" w:rsidRDefault="00000000" w:rsidP="00333349">
      <w:pPr>
        <w:adjustRightInd w:val="0"/>
        <w:snapToGrid w:val="0"/>
        <w:spacing w:after="120" w:line="240" w:lineRule="auto"/>
        <w:ind w:firstLine="720"/>
        <w:jc w:val="both"/>
        <w:rPr>
          <w:rFonts w:ascii="Arial" w:hAnsi="Arial" w:cs="Arial"/>
          <w:color w:val="000000" w:themeColor="text1"/>
          <w:sz w:val="20"/>
          <w:szCs w:val="20"/>
        </w:rPr>
      </w:pPr>
      <w:r w:rsidRPr="00333349">
        <w:rPr>
          <w:rFonts w:ascii="Arial" w:hAnsi="Arial" w:cs="Arial"/>
          <w:i/>
          <w:color w:val="000000" w:themeColor="text1"/>
          <w:sz w:val="20"/>
          <w:szCs w:val="20"/>
        </w:rPr>
        <w:t>Theo đề nghị của Cục trưởng Cục Thuế;</w:t>
      </w:r>
    </w:p>
    <w:p w14:paraId="198417B8" w14:textId="77777777" w:rsidR="00BF0EFF" w:rsidRPr="00333349" w:rsidRDefault="00000000" w:rsidP="00333349">
      <w:pPr>
        <w:adjustRightInd w:val="0"/>
        <w:snapToGrid w:val="0"/>
        <w:spacing w:after="0" w:line="240" w:lineRule="auto"/>
        <w:ind w:firstLine="720"/>
        <w:jc w:val="both"/>
        <w:rPr>
          <w:rFonts w:ascii="Arial" w:hAnsi="Arial" w:cs="Arial"/>
          <w:i/>
          <w:color w:val="000000" w:themeColor="text1"/>
          <w:sz w:val="20"/>
          <w:szCs w:val="20"/>
        </w:rPr>
      </w:pPr>
      <w:r w:rsidRPr="00333349">
        <w:rPr>
          <w:rFonts w:ascii="Arial" w:hAnsi="Arial" w:cs="Arial"/>
          <w:i/>
          <w:color w:val="000000" w:themeColor="text1"/>
          <w:sz w:val="20"/>
          <w:szCs w:val="20"/>
        </w:rPr>
        <w:t>Bộ trưởng Bộ Tài chính ban hành Thông tư bãi bỏ toàn bộ một số Thông tư và Quyết định của Bộ trưởng Bộ Tài chính trong lĩnh vực thuế.</w:t>
      </w:r>
    </w:p>
    <w:p w14:paraId="24EECCE1" w14:textId="77777777" w:rsidR="00333349" w:rsidRPr="00333349" w:rsidRDefault="00333349" w:rsidP="00333349">
      <w:pPr>
        <w:adjustRightInd w:val="0"/>
        <w:snapToGrid w:val="0"/>
        <w:spacing w:after="0" w:line="240" w:lineRule="auto"/>
        <w:ind w:firstLine="720"/>
        <w:jc w:val="both"/>
        <w:rPr>
          <w:rFonts w:ascii="Arial" w:hAnsi="Arial" w:cs="Arial"/>
          <w:color w:val="000000" w:themeColor="text1"/>
          <w:sz w:val="20"/>
          <w:szCs w:val="20"/>
        </w:rPr>
      </w:pPr>
    </w:p>
    <w:p w14:paraId="7B8E9D32" w14:textId="77777777" w:rsidR="00BF0EFF" w:rsidRPr="00333349" w:rsidRDefault="00000000" w:rsidP="00333349">
      <w:pPr>
        <w:spacing w:after="120" w:line="240" w:lineRule="auto"/>
        <w:jc w:val="both"/>
        <w:rPr>
          <w:rFonts w:ascii="Arial" w:hAnsi="Arial" w:cs="Arial"/>
          <w:color w:val="000000" w:themeColor="text1"/>
          <w:sz w:val="20"/>
          <w:szCs w:val="20"/>
        </w:rPr>
      </w:pPr>
      <w:r w:rsidRPr="00333349">
        <w:rPr>
          <w:rFonts w:ascii="Arial" w:hAnsi="Arial" w:cs="Arial"/>
          <w:b/>
          <w:color w:val="000000" w:themeColor="text1"/>
          <w:sz w:val="20"/>
          <w:szCs w:val="20"/>
        </w:rPr>
        <w:t>Điều 1. Bãi bỏ toàn bộ các Thông tư và Quyết định của Bộ trưởng Bộ Tài chính trong lĩnh vực thuế</w:t>
      </w:r>
    </w:p>
    <w:p w14:paraId="29317F93" w14:textId="77777777" w:rsidR="00BF0EFF" w:rsidRPr="00333349" w:rsidRDefault="00000000" w:rsidP="00333349">
      <w:pPr>
        <w:spacing w:after="120" w:line="240" w:lineRule="auto"/>
        <w:jc w:val="both"/>
        <w:rPr>
          <w:rFonts w:ascii="Arial" w:hAnsi="Arial" w:cs="Arial"/>
          <w:color w:val="000000" w:themeColor="text1"/>
          <w:sz w:val="20"/>
          <w:szCs w:val="20"/>
        </w:rPr>
      </w:pPr>
      <w:r w:rsidRPr="00333349">
        <w:rPr>
          <w:rFonts w:ascii="Arial" w:hAnsi="Arial" w:cs="Arial"/>
          <w:color w:val="000000" w:themeColor="text1"/>
          <w:sz w:val="20"/>
          <w:szCs w:val="20"/>
        </w:rPr>
        <w:t>Bãi bỏ toàn bộ 22 Thông tư và 03 Quyết định sau đây:</w:t>
      </w:r>
    </w:p>
    <w:p w14:paraId="6AF80058" w14:textId="77777777" w:rsidR="00BF0EFF" w:rsidRPr="00333349" w:rsidRDefault="00000000" w:rsidP="00333349">
      <w:pPr>
        <w:spacing w:after="120" w:line="240" w:lineRule="auto"/>
        <w:jc w:val="both"/>
        <w:rPr>
          <w:rFonts w:ascii="Arial" w:hAnsi="Arial" w:cs="Arial"/>
          <w:color w:val="000000" w:themeColor="text1"/>
          <w:sz w:val="20"/>
          <w:szCs w:val="20"/>
        </w:rPr>
      </w:pPr>
      <w:r w:rsidRPr="00333349">
        <w:rPr>
          <w:rFonts w:ascii="Arial" w:hAnsi="Arial" w:cs="Arial"/>
          <w:color w:val="000000" w:themeColor="text1"/>
          <w:sz w:val="20"/>
          <w:szCs w:val="20"/>
        </w:rPr>
        <w:t>1. Thông tư số 69-TC/TCT ngày 27 tháng 11 năm 1991 của Bộ trưởng Bộ Tài chính hướng dẫn việc chuyển chế độ thu tiền nuôi rừng sang thu thuế tài nguyên đối với khai thác sản phẩm rừng tự nhiên.</w:t>
      </w:r>
    </w:p>
    <w:p w14:paraId="473216EC" w14:textId="77777777" w:rsidR="00BF0EFF" w:rsidRPr="00333349" w:rsidRDefault="00000000" w:rsidP="00333349">
      <w:pPr>
        <w:spacing w:after="120" w:line="240" w:lineRule="auto"/>
        <w:jc w:val="both"/>
        <w:rPr>
          <w:rFonts w:ascii="Arial" w:hAnsi="Arial" w:cs="Arial"/>
          <w:color w:val="000000" w:themeColor="text1"/>
          <w:sz w:val="20"/>
          <w:szCs w:val="20"/>
        </w:rPr>
      </w:pPr>
      <w:r w:rsidRPr="00333349">
        <w:rPr>
          <w:rFonts w:ascii="Arial" w:hAnsi="Arial" w:cs="Arial"/>
          <w:color w:val="000000" w:themeColor="text1"/>
          <w:sz w:val="20"/>
          <w:szCs w:val="20"/>
        </w:rPr>
        <w:t>2. Thông tư số 75A-TC/TCT ngày 31 tháng 8 năm 1993 của Bộ trưởng Bộ Tài chính hướng dẫn thi hành Nghị định số 57-CP ngày 28 tháng 8 năm 1993 của Chính phủ quy định chi tiết thi hành Luật thuế lợi tức và Luật sửa đổi, bổ sung một số điều của Luật thuế lợi tức.</w:t>
      </w:r>
    </w:p>
    <w:p w14:paraId="67A62563" w14:textId="77777777" w:rsidR="00BF0EFF" w:rsidRPr="00333349" w:rsidRDefault="00000000" w:rsidP="00333349">
      <w:pPr>
        <w:spacing w:after="120" w:line="240" w:lineRule="auto"/>
        <w:jc w:val="both"/>
        <w:rPr>
          <w:rFonts w:ascii="Arial" w:hAnsi="Arial" w:cs="Arial"/>
          <w:color w:val="000000" w:themeColor="text1"/>
          <w:sz w:val="20"/>
          <w:szCs w:val="20"/>
        </w:rPr>
      </w:pPr>
      <w:r w:rsidRPr="00333349">
        <w:rPr>
          <w:rFonts w:ascii="Arial" w:hAnsi="Arial" w:cs="Arial"/>
          <w:color w:val="000000" w:themeColor="text1"/>
          <w:sz w:val="20"/>
          <w:szCs w:val="20"/>
        </w:rPr>
        <w:t>3. Thông tư số 48/1998/TT-BTC ngày 11 tháng 4 năm 1998 của Bộ trưởng Bộ Tài chính sửa đổi, bổ sung Thông tư số 75A-TC/TCT ngày 31 tháng 8 năm 1993 của Bộ Tài chính hướng dẫn thi hành Nghị định số 57-CP ngày 28 tháng 8 năm 1993 của Chính phủ quy định chi tiết thi hành Luật thuế lợi tức và Luật sửa đổi, bổ sung một số điều của Luật thuế lợi tức.</w:t>
      </w:r>
    </w:p>
    <w:p w14:paraId="6BF53602" w14:textId="77777777" w:rsidR="00BF0EFF" w:rsidRPr="00333349" w:rsidRDefault="00000000" w:rsidP="00333349">
      <w:pPr>
        <w:spacing w:after="120" w:line="240" w:lineRule="auto"/>
        <w:jc w:val="both"/>
        <w:rPr>
          <w:rFonts w:ascii="Arial" w:hAnsi="Arial" w:cs="Arial"/>
          <w:color w:val="000000" w:themeColor="text1"/>
          <w:sz w:val="20"/>
          <w:szCs w:val="20"/>
        </w:rPr>
      </w:pPr>
      <w:r w:rsidRPr="00333349">
        <w:rPr>
          <w:rFonts w:ascii="Arial" w:hAnsi="Arial" w:cs="Arial"/>
          <w:color w:val="000000" w:themeColor="text1"/>
          <w:sz w:val="20"/>
          <w:szCs w:val="20"/>
        </w:rPr>
        <w:t>4. Thông tư số 105/2000/TT-BTC ngày 23 tháng 10 năm 2000 của Bộ trưởng Bộ Tài chính về hướng dẫn việc miễn nộp nợ thuế sử dụng đất nông nghiệp, thuế nhà đất từ năm 1999 trở về trước.</w:t>
      </w:r>
    </w:p>
    <w:p w14:paraId="3925CBE9" w14:textId="77777777" w:rsidR="00BF0EFF" w:rsidRPr="00333349" w:rsidRDefault="00000000" w:rsidP="00333349">
      <w:pPr>
        <w:spacing w:after="120" w:line="240" w:lineRule="auto"/>
        <w:jc w:val="both"/>
        <w:rPr>
          <w:rFonts w:ascii="Arial" w:hAnsi="Arial" w:cs="Arial"/>
          <w:color w:val="000000" w:themeColor="text1"/>
          <w:sz w:val="20"/>
          <w:szCs w:val="20"/>
        </w:rPr>
      </w:pPr>
      <w:r w:rsidRPr="00333349">
        <w:rPr>
          <w:rFonts w:ascii="Arial" w:hAnsi="Arial" w:cs="Arial"/>
          <w:color w:val="000000" w:themeColor="text1"/>
          <w:sz w:val="20"/>
          <w:szCs w:val="20"/>
        </w:rPr>
        <w:t>5. Thông tư số 24/2002/TT-BTC ngày 20 tháng 3 năm 2002 của Bộ trưởng Bộ Tài chính hướng dẫn thực hiện nghĩa vụ thuế đối với các hoạt động cho thuê tài chính.</w:t>
      </w:r>
    </w:p>
    <w:p w14:paraId="7A0C73BF" w14:textId="77777777" w:rsidR="00BF0EFF" w:rsidRPr="00333349" w:rsidRDefault="00000000" w:rsidP="00333349">
      <w:pPr>
        <w:spacing w:after="120" w:line="240" w:lineRule="auto"/>
        <w:jc w:val="both"/>
        <w:rPr>
          <w:rFonts w:ascii="Arial" w:hAnsi="Arial" w:cs="Arial"/>
          <w:color w:val="000000" w:themeColor="text1"/>
          <w:sz w:val="20"/>
          <w:szCs w:val="20"/>
        </w:rPr>
      </w:pPr>
      <w:r w:rsidRPr="00333349">
        <w:rPr>
          <w:rFonts w:ascii="Arial" w:hAnsi="Arial" w:cs="Arial"/>
          <w:color w:val="000000" w:themeColor="text1"/>
          <w:sz w:val="20"/>
          <w:szCs w:val="20"/>
        </w:rPr>
        <w:t>6. Thông tư số 02/2004/TT-BTC ngày 08 tháng 01 năm 2004 của Bộ trưởng Bộ Tài chính về việc hướng dẫn xóa nợ thuế cho hộ gia đình, cá nhân kinh doanh có nợ thuế do nguyên nhân khách quan.</w:t>
      </w:r>
    </w:p>
    <w:p w14:paraId="4AC158E0" w14:textId="77777777" w:rsidR="00BF0EFF" w:rsidRPr="00333349" w:rsidRDefault="00000000" w:rsidP="00333349">
      <w:pPr>
        <w:spacing w:after="120" w:line="240" w:lineRule="auto"/>
        <w:jc w:val="both"/>
        <w:rPr>
          <w:rFonts w:ascii="Arial" w:hAnsi="Arial" w:cs="Arial"/>
          <w:color w:val="000000" w:themeColor="text1"/>
          <w:sz w:val="20"/>
          <w:szCs w:val="20"/>
        </w:rPr>
      </w:pPr>
      <w:r w:rsidRPr="00333349">
        <w:rPr>
          <w:rFonts w:ascii="Arial" w:hAnsi="Arial" w:cs="Arial"/>
          <w:color w:val="000000" w:themeColor="text1"/>
          <w:sz w:val="20"/>
          <w:szCs w:val="20"/>
        </w:rPr>
        <w:lastRenderedPageBreak/>
        <w:t>7. Thông tư số 95/2004/TT-BTC ngày 11 tháng 10 năm 2004 của Bộ trưởng Bộ Tài chính hướng dẫn một số chính sách hỗ trợ tài chính và ưu đãi về thuế phát triển vùng nguyên liệu và công nghiệp chế biến nông, lâm, thủy sản, muối.</w:t>
      </w:r>
    </w:p>
    <w:p w14:paraId="767B7831" w14:textId="77777777" w:rsidR="00BF0EFF" w:rsidRPr="00333349" w:rsidRDefault="00000000" w:rsidP="00333349">
      <w:pPr>
        <w:spacing w:after="120" w:line="240" w:lineRule="auto"/>
        <w:jc w:val="both"/>
        <w:rPr>
          <w:rFonts w:ascii="Arial" w:hAnsi="Arial" w:cs="Arial"/>
          <w:color w:val="000000" w:themeColor="text1"/>
          <w:sz w:val="20"/>
          <w:szCs w:val="20"/>
        </w:rPr>
      </w:pPr>
      <w:r w:rsidRPr="00333349">
        <w:rPr>
          <w:rFonts w:ascii="Arial" w:hAnsi="Arial" w:cs="Arial"/>
          <w:color w:val="000000" w:themeColor="text1"/>
          <w:sz w:val="20"/>
          <w:szCs w:val="20"/>
        </w:rPr>
        <w:t>8. Thông tư số 123/2004/TT-BTC ngày 22 tháng 12 năm 2004 của Bộ trưởng Bộ Tài chính về việc hướng dẫn thực hiện ưu đãi về thuế đối với doanh nghiệp phần mềm (đã được đính chính bởi công văn số 2101/TC-VP ngày 22 tháng 02 năm 2005 của Bộ Tài chính).</w:t>
      </w:r>
    </w:p>
    <w:p w14:paraId="79BEE270" w14:textId="77777777" w:rsidR="00BF0EFF" w:rsidRPr="00333349" w:rsidRDefault="00000000" w:rsidP="00333349">
      <w:pPr>
        <w:spacing w:after="120" w:line="240" w:lineRule="auto"/>
        <w:jc w:val="both"/>
        <w:rPr>
          <w:rFonts w:ascii="Arial" w:hAnsi="Arial" w:cs="Arial"/>
          <w:color w:val="000000" w:themeColor="text1"/>
          <w:sz w:val="20"/>
          <w:szCs w:val="20"/>
        </w:rPr>
      </w:pPr>
      <w:r w:rsidRPr="00333349">
        <w:rPr>
          <w:rFonts w:ascii="Arial" w:hAnsi="Arial" w:cs="Arial"/>
          <w:color w:val="000000" w:themeColor="text1"/>
          <w:sz w:val="20"/>
          <w:szCs w:val="20"/>
        </w:rPr>
        <w:t>9. Thông tư số 114/2007/TT-BTC ngày 25 tháng 9 năm 2007 của Bộ trưởng Bộ Tài chính về việc sửa đổi, bổ sung Thông tư số 95/2004/TT-BTC ngày 11 tháng 10 năm 2004 của Bộ Tài chính hướng dẫn một số chính sách hỗ trợ tài chính và ưu đãi về thuế phát triển vùng nguyên liệu và công nghiệp chế biến nông, lâm, thủy sản, muối.</w:t>
      </w:r>
    </w:p>
    <w:p w14:paraId="2B01DF98" w14:textId="77777777" w:rsidR="00BF0EFF" w:rsidRPr="00333349" w:rsidRDefault="00000000" w:rsidP="00333349">
      <w:pPr>
        <w:spacing w:after="120" w:line="240" w:lineRule="auto"/>
        <w:jc w:val="both"/>
        <w:rPr>
          <w:rFonts w:ascii="Arial" w:hAnsi="Arial" w:cs="Arial"/>
          <w:color w:val="000000" w:themeColor="text1"/>
          <w:sz w:val="20"/>
          <w:szCs w:val="20"/>
        </w:rPr>
      </w:pPr>
      <w:r w:rsidRPr="00333349">
        <w:rPr>
          <w:rFonts w:ascii="Arial" w:hAnsi="Arial" w:cs="Arial"/>
          <w:color w:val="000000" w:themeColor="text1"/>
          <w:sz w:val="20"/>
          <w:szCs w:val="20"/>
        </w:rPr>
        <w:t>10. Thông tư số 160/2009/TT-BTC ngày 12 tháng 8 năm 2009 của Bộ trưởng Bộ Tài chính hướng dẫn miễn thuế thu nhập cá nhân năm 2009 theo Nghị quyết số 32/2009/QH12 ngày 19 tháng 6 năm 2009 của Quốc hội về việc điều chỉnh mục tiêu tổng quát, một số chỉ tiêu kinh tế, Ngân sách Nhà nước, phát hành bổ sung trái phiếu Chính phủ năm 2009 và miễn, giảm thuế thu nhập cá nhân.</w:t>
      </w:r>
    </w:p>
    <w:p w14:paraId="01EB9C45" w14:textId="77777777" w:rsidR="00BF0EFF" w:rsidRPr="00333349" w:rsidRDefault="00000000" w:rsidP="00333349">
      <w:pPr>
        <w:spacing w:after="120" w:line="240" w:lineRule="auto"/>
        <w:jc w:val="both"/>
        <w:rPr>
          <w:rFonts w:ascii="Arial" w:hAnsi="Arial" w:cs="Arial"/>
          <w:color w:val="000000" w:themeColor="text1"/>
          <w:sz w:val="20"/>
          <w:szCs w:val="20"/>
        </w:rPr>
      </w:pPr>
      <w:r w:rsidRPr="00333349">
        <w:rPr>
          <w:rFonts w:ascii="Arial" w:hAnsi="Arial" w:cs="Arial"/>
          <w:color w:val="000000" w:themeColor="text1"/>
          <w:sz w:val="20"/>
          <w:szCs w:val="20"/>
        </w:rPr>
        <w:t>11. Thông tư số 175/2010/TT-BTC ngày 05 tháng 11 năm 2010 của Bộ trưởng Bộ Tài chính về việc sửa đổi, bổ sung Thông tư số 84/2008/TT-BTC ngày 30 tháng 9 năm 2008 của Bộ Tài chính hướng dẫn thi hành một số điều của Luật Thuế thu nhập cá nhân và hướng dẫn thi hành Nghị định số 100/2008/NĐ-CP ngày 08 tháng 9 năm 2008 của Chính phủ quy định chi tiết một số điều của Luật Thuế thu nhập cá nhân.</w:t>
      </w:r>
    </w:p>
    <w:p w14:paraId="46D6B292" w14:textId="77777777" w:rsidR="00BF0EFF" w:rsidRPr="00333349" w:rsidRDefault="00000000" w:rsidP="00333349">
      <w:pPr>
        <w:spacing w:after="120" w:line="240" w:lineRule="auto"/>
        <w:jc w:val="both"/>
        <w:rPr>
          <w:rFonts w:ascii="Arial" w:hAnsi="Arial" w:cs="Arial"/>
          <w:color w:val="000000" w:themeColor="text1"/>
          <w:sz w:val="20"/>
          <w:szCs w:val="20"/>
        </w:rPr>
      </w:pPr>
      <w:r w:rsidRPr="00333349">
        <w:rPr>
          <w:rFonts w:ascii="Arial" w:hAnsi="Arial" w:cs="Arial"/>
          <w:color w:val="000000" w:themeColor="text1"/>
          <w:sz w:val="20"/>
          <w:szCs w:val="20"/>
        </w:rPr>
        <w:t>12. Thông tư số 35/2011/TT-BTC ngày 15 tháng 3 năm 2011 của Bộ trưởng Bộ Tài chính hướng dẫn một số nội dung về thuế giá trị gia tăng đối với dịch vụ viễn thông.</w:t>
      </w:r>
    </w:p>
    <w:p w14:paraId="358D6B07" w14:textId="77777777" w:rsidR="00BF0EFF" w:rsidRPr="00333349" w:rsidRDefault="00000000" w:rsidP="00333349">
      <w:pPr>
        <w:spacing w:after="120" w:line="240" w:lineRule="auto"/>
        <w:jc w:val="both"/>
        <w:rPr>
          <w:rFonts w:ascii="Arial" w:hAnsi="Arial" w:cs="Arial"/>
          <w:color w:val="000000" w:themeColor="text1"/>
          <w:sz w:val="20"/>
          <w:szCs w:val="20"/>
        </w:rPr>
      </w:pPr>
      <w:r w:rsidRPr="00333349">
        <w:rPr>
          <w:rFonts w:ascii="Arial" w:hAnsi="Arial" w:cs="Arial"/>
          <w:color w:val="000000" w:themeColor="text1"/>
          <w:sz w:val="20"/>
          <w:szCs w:val="20"/>
        </w:rPr>
        <w:t>13. Thông tư số 120/2011/TT-BTC ngày 16 tháng 8 năm 2011 của Bộ trưởng Bộ Tài chính hướng dẫn Nghị định số 20/2011/NĐ-CP ngày 23 tháng 3 năm 2011 của Chính phủ quy định chi tiết và hướng dẫn thi hành Nghị quyết số 55/2010/QH12 ngày 24 tháng 11 năm 2010 của Quốc hội về việc miễn, giảm thuế sử dụng đất nông nghiệp.</w:t>
      </w:r>
    </w:p>
    <w:p w14:paraId="0D4FA9D0" w14:textId="77777777" w:rsidR="00BF0EFF" w:rsidRPr="00333349" w:rsidRDefault="00000000" w:rsidP="00333349">
      <w:pPr>
        <w:spacing w:after="120" w:line="240" w:lineRule="auto"/>
        <w:jc w:val="both"/>
        <w:rPr>
          <w:rFonts w:ascii="Arial" w:hAnsi="Arial" w:cs="Arial"/>
          <w:color w:val="000000" w:themeColor="text1"/>
          <w:sz w:val="20"/>
          <w:szCs w:val="20"/>
        </w:rPr>
      </w:pPr>
      <w:r w:rsidRPr="00333349">
        <w:rPr>
          <w:rFonts w:ascii="Arial" w:hAnsi="Arial" w:cs="Arial"/>
          <w:color w:val="000000" w:themeColor="text1"/>
          <w:sz w:val="20"/>
          <w:szCs w:val="20"/>
        </w:rPr>
        <w:t>14. Thông tư số 128/2011/TT-BTC ngày 12 tháng 9 năm 2011 của Bộ trưởng Bộ Tài chính hướng dẫn thuế giá trị gia tăng và thuế thu nhập doanh nghiệp đối với cơ sở y tế công lập.</w:t>
      </w:r>
    </w:p>
    <w:p w14:paraId="443241DE" w14:textId="77777777" w:rsidR="00BF0EFF" w:rsidRPr="00333349" w:rsidRDefault="00000000" w:rsidP="00333349">
      <w:pPr>
        <w:spacing w:after="120" w:line="240" w:lineRule="auto"/>
        <w:jc w:val="both"/>
        <w:rPr>
          <w:rFonts w:ascii="Arial" w:hAnsi="Arial" w:cs="Arial"/>
          <w:color w:val="000000" w:themeColor="text1"/>
          <w:sz w:val="20"/>
          <w:szCs w:val="20"/>
        </w:rPr>
      </w:pPr>
      <w:r w:rsidRPr="00333349">
        <w:rPr>
          <w:rFonts w:ascii="Arial" w:hAnsi="Arial" w:cs="Arial"/>
          <w:color w:val="000000" w:themeColor="text1"/>
          <w:sz w:val="20"/>
          <w:szCs w:val="20"/>
        </w:rPr>
        <w:t>15. Thông tư số 83/2012/TT-BTC ngày 23 tháng 5 năm 2012 của Bộ trưởng Bộ Tài chính hướng dẫn thực hiện việc miễn, giảm, gia hạn một số khoản thu ngân sách nhà nước theo Nghị quyết số 13/NQ-CP ngày 10 tháng 5 năm 2012 của Chính phủ về một số giải pháp tháo gỡ khó khăn cho sản xuất kinh doanh, hỗ trợ thị trường.</w:t>
      </w:r>
    </w:p>
    <w:p w14:paraId="5715A90E" w14:textId="77777777" w:rsidR="00BF0EFF" w:rsidRPr="00333349" w:rsidRDefault="00000000" w:rsidP="00333349">
      <w:pPr>
        <w:spacing w:after="120" w:line="240" w:lineRule="auto"/>
        <w:jc w:val="both"/>
        <w:rPr>
          <w:rFonts w:ascii="Arial" w:hAnsi="Arial" w:cs="Arial"/>
          <w:color w:val="000000" w:themeColor="text1"/>
          <w:sz w:val="20"/>
          <w:szCs w:val="20"/>
        </w:rPr>
      </w:pPr>
      <w:r w:rsidRPr="00333349">
        <w:rPr>
          <w:rFonts w:ascii="Arial" w:hAnsi="Arial" w:cs="Arial"/>
          <w:color w:val="000000" w:themeColor="text1"/>
          <w:sz w:val="20"/>
          <w:szCs w:val="20"/>
        </w:rPr>
        <w:t>16. Thông tư số 175/2012/TT-BTC ngày 22 tháng 10 năm 2012 của Bộ trưởng Bộ Tài chính hướng dẫn gia hạn nộp thuế giá trị gia tăng theo Nghị quyết số 67/NQ-CP ngày 05 tháng 10 năm 2012 của Chính phủ.</w:t>
      </w:r>
    </w:p>
    <w:p w14:paraId="75035BE5" w14:textId="77777777" w:rsidR="00BF0EFF" w:rsidRPr="00333349" w:rsidRDefault="00000000" w:rsidP="00333349">
      <w:pPr>
        <w:spacing w:after="120" w:line="240" w:lineRule="auto"/>
        <w:jc w:val="both"/>
        <w:rPr>
          <w:rFonts w:ascii="Arial" w:hAnsi="Arial" w:cs="Arial"/>
          <w:color w:val="000000" w:themeColor="text1"/>
          <w:sz w:val="20"/>
          <w:szCs w:val="20"/>
        </w:rPr>
      </w:pPr>
      <w:r w:rsidRPr="00333349">
        <w:rPr>
          <w:rFonts w:ascii="Arial" w:hAnsi="Arial" w:cs="Arial"/>
          <w:color w:val="000000" w:themeColor="text1"/>
          <w:sz w:val="20"/>
          <w:szCs w:val="20"/>
        </w:rPr>
        <w:t>17. Thông tư số 16/2013/TT-BTC ngày 08 tháng 02 năm 2013 của Bộ trưởng Bộ Tài chính hướng dẫn thực hiện việc gia hạn, giảm một số khoản thu Ngân sách Nhà nước theo Nghị quyết số 02/NQ-CP ngày 07 tháng 01 năm 2013 của Chính phủ về một số giải pháp tháo gỡ khó khăn cho sản xuất kinh doanh, hỗ trợ thị trường, giải quyết nợ xấu.</w:t>
      </w:r>
    </w:p>
    <w:p w14:paraId="1CE949EB" w14:textId="77777777" w:rsidR="00BF0EFF" w:rsidRPr="00333349" w:rsidRDefault="00000000" w:rsidP="00333349">
      <w:pPr>
        <w:spacing w:after="120" w:line="240" w:lineRule="auto"/>
        <w:jc w:val="both"/>
        <w:rPr>
          <w:rFonts w:ascii="Arial" w:hAnsi="Arial" w:cs="Arial"/>
          <w:color w:val="000000" w:themeColor="text1"/>
          <w:sz w:val="20"/>
          <w:szCs w:val="20"/>
        </w:rPr>
      </w:pPr>
      <w:r w:rsidRPr="00333349">
        <w:rPr>
          <w:rFonts w:ascii="Arial" w:hAnsi="Arial" w:cs="Arial"/>
          <w:color w:val="000000" w:themeColor="text1"/>
          <w:sz w:val="20"/>
          <w:szCs w:val="20"/>
        </w:rPr>
        <w:t>18. Thông tư số 160/2013/TT-BTC ngày 14 tháng 11 năm 2013 của Bộ trưởng Bộ Tài chính hướng dẫn Nghị định số 94/2012/NĐ-CP về in, phát hành, quản lý và sử dụng tem đối với sản phẩm rượu nhập khẩu và rượu sản xuất để tiêu thụ trong nước.</w:t>
      </w:r>
    </w:p>
    <w:p w14:paraId="3CC57B3D" w14:textId="77777777" w:rsidR="00BF0EFF" w:rsidRPr="00333349" w:rsidRDefault="00000000" w:rsidP="00333349">
      <w:pPr>
        <w:spacing w:after="120" w:line="240" w:lineRule="auto"/>
        <w:jc w:val="both"/>
        <w:rPr>
          <w:rFonts w:ascii="Arial" w:hAnsi="Arial" w:cs="Arial"/>
          <w:color w:val="000000" w:themeColor="text1"/>
          <w:sz w:val="20"/>
          <w:szCs w:val="20"/>
        </w:rPr>
      </w:pPr>
      <w:r w:rsidRPr="00333349">
        <w:rPr>
          <w:rFonts w:ascii="Arial" w:hAnsi="Arial" w:cs="Arial"/>
          <w:color w:val="000000" w:themeColor="text1"/>
          <w:sz w:val="20"/>
          <w:szCs w:val="20"/>
        </w:rPr>
        <w:t>19. Thông tư số 215/2013/TT-BTC ngày 31 tháng 12 năm 2013 của Bộ trưởng Bộ Tài chính hướng dẫn về cưỡng chế thi hành Quyết định hành chính thuế.</w:t>
      </w:r>
    </w:p>
    <w:p w14:paraId="7F1595D8" w14:textId="77777777" w:rsidR="00BF0EFF" w:rsidRPr="00333349" w:rsidRDefault="00000000" w:rsidP="00333349">
      <w:pPr>
        <w:spacing w:after="120" w:line="240" w:lineRule="auto"/>
        <w:jc w:val="both"/>
        <w:rPr>
          <w:rFonts w:ascii="Arial" w:hAnsi="Arial" w:cs="Arial"/>
          <w:color w:val="000000" w:themeColor="text1"/>
          <w:sz w:val="20"/>
          <w:szCs w:val="20"/>
        </w:rPr>
      </w:pPr>
      <w:r w:rsidRPr="00333349">
        <w:rPr>
          <w:rFonts w:ascii="Arial" w:hAnsi="Arial" w:cs="Arial"/>
          <w:color w:val="000000" w:themeColor="text1"/>
          <w:sz w:val="20"/>
          <w:szCs w:val="20"/>
        </w:rPr>
        <w:t>20. Thông tư số 127/2015/TT-BTC ngày 21 tháng 8 năm 2015 của Bộ trưởng Bộ Tài chính hướng dẫn việc cấp mã số doanh nghiệp thành lập mới và phân công cơ quan thuế quản lý đối với doanh nghiệp.</w:t>
      </w:r>
    </w:p>
    <w:p w14:paraId="7A2272A1" w14:textId="77777777" w:rsidR="00BF0EFF" w:rsidRPr="00333349" w:rsidRDefault="00000000" w:rsidP="00333349">
      <w:pPr>
        <w:spacing w:after="120" w:line="240" w:lineRule="auto"/>
        <w:jc w:val="both"/>
        <w:rPr>
          <w:rFonts w:ascii="Arial" w:hAnsi="Arial" w:cs="Arial"/>
          <w:color w:val="000000" w:themeColor="text1"/>
          <w:sz w:val="20"/>
          <w:szCs w:val="20"/>
        </w:rPr>
      </w:pPr>
      <w:r w:rsidRPr="00333349">
        <w:rPr>
          <w:rFonts w:ascii="Arial" w:hAnsi="Arial" w:cs="Arial"/>
          <w:color w:val="000000" w:themeColor="text1"/>
          <w:sz w:val="20"/>
          <w:szCs w:val="20"/>
        </w:rPr>
        <w:t>21. Thông tư số 87/2018/TT-BTC ngày 27 tháng 9 năm 2018 của Bộ trưởng Bộ Tài chính sửa đổi, bổ sung một số điều của Thông tư số 215/2013/TT-BTC ngày 31 tháng 12 năm 2013 của Bộ Tài chính hướng dẫn về cưỡng chế thi hành quyết định hành chính thuế.</w:t>
      </w:r>
    </w:p>
    <w:p w14:paraId="169491BD" w14:textId="77777777" w:rsidR="00BF0EFF" w:rsidRPr="00333349" w:rsidRDefault="00000000" w:rsidP="00333349">
      <w:pPr>
        <w:spacing w:after="120" w:line="240" w:lineRule="auto"/>
        <w:jc w:val="both"/>
        <w:rPr>
          <w:rFonts w:ascii="Arial" w:hAnsi="Arial" w:cs="Arial"/>
          <w:color w:val="000000" w:themeColor="text1"/>
          <w:sz w:val="20"/>
          <w:szCs w:val="20"/>
        </w:rPr>
      </w:pPr>
      <w:r w:rsidRPr="00333349">
        <w:rPr>
          <w:rFonts w:ascii="Arial" w:hAnsi="Arial" w:cs="Arial"/>
          <w:color w:val="000000" w:themeColor="text1"/>
          <w:sz w:val="20"/>
          <w:szCs w:val="20"/>
        </w:rPr>
        <w:t>22. Thông tư số 43/2019/TT-BTC ngày 12 tháng 7 năm 2019 của Bộ trưởng Bộ Tài chính hướng dẫn quy định tại khoản 4 Điều 24 Nghị định số 82/2018/NĐ-CP ngày 22 tháng 5 năm 2018 của Chính phủ quy định về quản lý Khu công nghiệp và Khu kinh tế.</w:t>
      </w:r>
    </w:p>
    <w:p w14:paraId="5CA7ADE4" w14:textId="77777777" w:rsidR="00BF0EFF" w:rsidRPr="00333349" w:rsidRDefault="00000000" w:rsidP="00333349">
      <w:pPr>
        <w:spacing w:after="120" w:line="240" w:lineRule="auto"/>
        <w:jc w:val="both"/>
        <w:rPr>
          <w:rFonts w:ascii="Arial" w:hAnsi="Arial" w:cs="Arial"/>
          <w:color w:val="000000" w:themeColor="text1"/>
          <w:sz w:val="20"/>
          <w:szCs w:val="20"/>
        </w:rPr>
      </w:pPr>
      <w:r w:rsidRPr="00333349">
        <w:rPr>
          <w:rFonts w:ascii="Arial" w:hAnsi="Arial" w:cs="Arial"/>
          <w:color w:val="000000" w:themeColor="text1"/>
          <w:sz w:val="20"/>
          <w:szCs w:val="20"/>
        </w:rPr>
        <w:lastRenderedPageBreak/>
        <w:t>23. Quyết định số 1042/1998/QĐ-BTC ngày 15 tháng 8 năm 1998 của Bộ trưởng Bộ Tài chính về việc ban hành mẫu biên lai thuế.</w:t>
      </w:r>
    </w:p>
    <w:p w14:paraId="27C6E071" w14:textId="77777777" w:rsidR="00BF0EFF" w:rsidRPr="00333349" w:rsidRDefault="00000000" w:rsidP="00333349">
      <w:pPr>
        <w:spacing w:after="120" w:line="240" w:lineRule="auto"/>
        <w:jc w:val="both"/>
        <w:rPr>
          <w:rFonts w:ascii="Arial" w:hAnsi="Arial" w:cs="Arial"/>
          <w:color w:val="000000" w:themeColor="text1"/>
          <w:sz w:val="20"/>
          <w:szCs w:val="20"/>
        </w:rPr>
      </w:pPr>
      <w:r w:rsidRPr="00333349">
        <w:rPr>
          <w:rFonts w:ascii="Arial" w:hAnsi="Arial" w:cs="Arial"/>
          <w:color w:val="000000" w:themeColor="text1"/>
          <w:sz w:val="20"/>
          <w:szCs w:val="20"/>
        </w:rPr>
        <w:t>24. Quyết định số 18/2007/QĐ-BTC ngày 22 tháng 3 năm 2007 của Bộ trưởng Bộ Tài chính về việc in, phát hành, sử dụng và quản lý vé máy bay điện tử.</w:t>
      </w:r>
    </w:p>
    <w:p w14:paraId="139D1603" w14:textId="1F95E6B1" w:rsidR="00BF0EFF" w:rsidRPr="00333349" w:rsidRDefault="00000000" w:rsidP="00333349">
      <w:pPr>
        <w:spacing w:after="120" w:line="240" w:lineRule="auto"/>
        <w:jc w:val="both"/>
        <w:rPr>
          <w:rFonts w:ascii="Arial" w:hAnsi="Arial" w:cs="Arial"/>
          <w:color w:val="000000" w:themeColor="text1"/>
          <w:sz w:val="20"/>
          <w:szCs w:val="20"/>
        </w:rPr>
      </w:pPr>
      <w:r w:rsidRPr="00333349">
        <w:rPr>
          <w:rFonts w:ascii="Arial" w:hAnsi="Arial" w:cs="Arial"/>
          <w:color w:val="000000" w:themeColor="text1"/>
          <w:sz w:val="20"/>
          <w:szCs w:val="20"/>
        </w:rPr>
        <w:t xml:space="preserve">25. Quyết định số 78/2007/QĐ-BTC ngày 18 tháng 9 năm 2007 của Bộ trưởng Bộ Tài chính ban hành Quy chế hướng dẫn, giải đáp vướng mắc về chính sách thuế, quản lý thuế và giải quyết </w:t>
      </w:r>
      <w:r w:rsidR="00F00B81">
        <w:rPr>
          <w:rFonts w:ascii="Arial" w:hAnsi="Arial" w:cs="Arial"/>
          <w:color w:val="000000" w:themeColor="text1"/>
          <w:sz w:val="20"/>
          <w:szCs w:val="20"/>
        </w:rPr>
        <w:t xml:space="preserve">các </w:t>
      </w:r>
      <w:r w:rsidRPr="00333349">
        <w:rPr>
          <w:rFonts w:ascii="Arial" w:hAnsi="Arial" w:cs="Arial"/>
          <w:color w:val="000000" w:themeColor="text1"/>
          <w:sz w:val="20"/>
          <w:szCs w:val="20"/>
        </w:rPr>
        <w:t>thủ tục hành chính thuế của người nộp thuế theo cơ chế “một cửa”.</w:t>
      </w:r>
    </w:p>
    <w:p w14:paraId="0C622518" w14:textId="77777777" w:rsidR="00BF0EFF" w:rsidRPr="00333349" w:rsidRDefault="00000000" w:rsidP="00333349">
      <w:pPr>
        <w:spacing w:after="120" w:line="240" w:lineRule="auto"/>
        <w:jc w:val="both"/>
        <w:rPr>
          <w:rFonts w:ascii="Arial" w:hAnsi="Arial" w:cs="Arial"/>
          <w:color w:val="000000" w:themeColor="text1"/>
          <w:sz w:val="20"/>
          <w:szCs w:val="20"/>
        </w:rPr>
      </w:pPr>
      <w:r w:rsidRPr="00333349">
        <w:rPr>
          <w:rFonts w:ascii="Arial" w:hAnsi="Arial" w:cs="Arial"/>
          <w:b/>
          <w:color w:val="000000" w:themeColor="text1"/>
          <w:sz w:val="20"/>
          <w:szCs w:val="20"/>
        </w:rPr>
        <w:t>Điều 2. Điều khoản thi hành</w:t>
      </w:r>
    </w:p>
    <w:p w14:paraId="2C35BF72" w14:textId="199342C4" w:rsidR="00BF0EFF" w:rsidRPr="00333349" w:rsidRDefault="00000000" w:rsidP="00333349">
      <w:pPr>
        <w:spacing w:after="120" w:line="240" w:lineRule="auto"/>
        <w:jc w:val="both"/>
        <w:rPr>
          <w:rFonts w:ascii="Arial" w:hAnsi="Arial" w:cs="Arial"/>
          <w:color w:val="000000" w:themeColor="text1"/>
          <w:sz w:val="20"/>
          <w:szCs w:val="20"/>
        </w:rPr>
      </w:pPr>
      <w:r w:rsidRPr="00333349">
        <w:rPr>
          <w:rFonts w:ascii="Arial" w:hAnsi="Arial" w:cs="Arial"/>
          <w:color w:val="000000" w:themeColor="text1"/>
          <w:sz w:val="20"/>
          <w:szCs w:val="20"/>
        </w:rPr>
        <w:t>1. Thông tư này có hiệu lực thi hành từ ngày 12 tháng 9</w:t>
      </w:r>
      <w:r w:rsidR="00333349">
        <w:rPr>
          <w:rFonts w:ascii="Arial" w:hAnsi="Arial" w:cs="Arial"/>
          <w:color w:val="000000" w:themeColor="text1"/>
          <w:sz w:val="20"/>
          <w:szCs w:val="20"/>
        </w:rPr>
        <w:t xml:space="preserve"> </w:t>
      </w:r>
      <w:r w:rsidRPr="00333349">
        <w:rPr>
          <w:rFonts w:ascii="Arial" w:hAnsi="Arial" w:cs="Arial"/>
          <w:color w:val="000000" w:themeColor="text1"/>
          <w:sz w:val="20"/>
          <w:szCs w:val="20"/>
        </w:rPr>
        <w:t>năm 2026.</w:t>
      </w:r>
    </w:p>
    <w:p w14:paraId="24FE34F5" w14:textId="317C6F93" w:rsidR="00BF0EFF" w:rsidRDefault="00000000" w:rsidP="00333349">
      <w:pPr>
        <w:spacing w:after="120" w:line="240" w:lineRule="auto"/>
        <w:jc w:val="both"/>
        <w:rPr>
          <w:rFonts w:ascii="Arial" w:hAnsi="Arial" w:cs="Arial"/>
          <w:color w:val="000000" w:themeColor="text1"/>
          <w:sz w:val="20"/>
          <w:szCs w:val="20"/>
        </w:rPr>
      </w:pPr>
      <w:r w:rsidRPr="00333349">
        <w:rPr>
          <w:rFonts w:ascii="Arial" w:hAnsi="Arial" w:cs="Arial"/>
          <w:color w:val="000000" w:themeColor="text1"/>
          <w:sz w:val="20"/>
          <w:szCs w:val="20"/>
        </w:rPr>
        <w:t>2. Thủ trưởng các đơn vị thuộc Bộ Tài chính và các cơ quan, tổ chức, cá nhân có liên quan chịu trách nhiệm thi hành Thông tư này.</w:t>
      </w:r>
      <w:r w:rsidR="00BA0D2F">
        <w:rPr>
          <w:rFonts w:ascii="Arial" w:hAnsi="Arial" w:cs="Arial"/>
          <w:color w:val="000000" w:themeColor="text1"/>
          <w:sz w:val="20"/>
          <w:szCs w:val="20"/>
        </w:rPr>
        <w:t>/.</w:t>
      </w:r>
    </w:p>
    <w:p w14:paraId="7D8605A3" w14:textId="77777777" w:rsidR="00333349" w:rsidRPr="00333349" w:rsidRDefault="00333349" w:rsidP="00333349">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BF0EFF" w:rsidRPr="00333349" w14:paraId="6C0A5D0A" w14:textId="77777777" w:rsidTr="00333349">
        <w:tc>
          <w:tcPr>
            <w:tcW w:w="2500" w:type="pct"/>
          </w:tcPr>
          <w:p w14:paraId="080A66C9" w14:textId="12D55EDE" w:rsidR="00BF0EFF" w:rsidRPr="00333349" w:rsidRDefault="00000000" w:rsidP="00333349">
            <w:pPr>
              <w:adjustRightInd w:val="0"/>
              <w:snapToGrid w:val="0"/>
              <w:spacing w:after="0" w:line="240" w:lineRule="auto"/>
              <w:rPr>
                <w:rFonts w:ascii="Arial" w:hAnsi="Arial" w:cs="Arial"/>
                <w:color w:val="000000" w:themeColor="text1"/>
                <w:sz w:val="20"/>
                <w:szCs w:val="20"/>
              </w:rPr>
            </w:pPr>
            <w:r w:rsidRPr="00333349">
              <w:rPr>
                <w:rFonts w:ascii="Arial" w:hAnsi="Arial" w:cs="Arial"/>
                <w:b/>
                <w:i/>
                <w:color w:val="000000" w:themeColor="text1"/>
                <w:sz w:val="20"/>
                <w:szCs w:val="20"/>
              </w:rPr>
              <w:t>Nơi nhận:</w:t>
            </w:r>
            <w:r w:rsidR="00333349">
              <w:rPr>
                <w:rFonts w:ascii="Arial" w:hAnsi="Arial" w:cs="Arial"/>
                <w:color w:val="000000" w:themeColor="text1"/>
                <w:sz w:val="20"/>
                <w:szCs w:val="20"/>
              </w:rPr>
              <w:br/>
            </w:r>
            <w:r w:rsidRPr="00333349">
              <w:rPr>
                <w:rFonts w:ascii="Arial" w:hAnsi="Arial" w:cs="Arial"/>
                <w:color w:val="000000" w:themeColor="text1"/>
                <w:sz w:val="20"/>
                <w:szCs w:val="20"/>
              </w:rPr>
              <w:t>- Ban Bí thư Trung ương Đảng;</w:t>
            </w:r>
            <w:r w:rsidR="00333349">
              <w:rPr>
                <w:rFonts w:ascii="Arial" w:hAnsi="Arial" w:cs="Arial"/>
                <w:color w:val="000000" w:themeColor="text1"/>
                <w:sz w:val="20"/>
                <w:szCs w:val="20"/>
              </w:rPr>
              <w:br/>
            </w:r>
            <w:r w:rsidRPr="00333349">
              <w:rPr>
                <w:rFonts w:ascii="Arial" w:hAnsi="Arial" w:cs="Arial"/>
                <w:color w:val="000000" w:themeColor="text1"/>
                <w:sz w:val="20"/>
                <w:szCs w:val="20"/>
              </w:rPr>
              <w:t>- Thủ tướng, các Phó Thủ tướng Chính phủ;</w:t>
            </w:r>
            <w:r w:rsidR="00333349">
              <w:rPr>
                <w:rFonts w:ascii="Arial" w:hAnsi="Arial" w:cs="Arial"/>
                <w:color w:val="000000" w:themeColor="text1"/>
                <w:sz w:val="20"/>
                <w:szCs w:val="20"/>
              </w:rPr>
              <w:br/>
            </w:r>
            <w:r w:rsidRPr="00333349">
              <w:rPr>
                <w:rFonts w:ascii="Arial" w:hAnsi="Arial" w:cs="Arial"/>
                <w:color w:val="000000" w:themeColor="text1"/>
                <w:sz w:val="20"/>
                <w:szCs w:val="20"/>
              </w:rPr>
              <w:t>- Văn phòng Trung ương Đảng và các Ban của Đảng;</w:t>
            </w:r>
            <w:r w:rsidR="00333349">
              <w:rPr>
                <w:rFonts w:ascii="Arial" w:hAnsi="Arial" w:cs="Arial"/>
                <w:color w:val="000000" w:themeColor="text1"/>
                <w:sz w:val="20"/>
                <w:szCs w:val="20"/>
              </w:rPr>
              <w:br/>
            </w:r>
            <w:r w:rsidRPr="00333349">
              <w:rPr>
                <w:rFonts w:ascii="Arial" w:hAnsi="Arial" w:cs="Arial"/>
                <w:color w:val="000000" w:themeColor="text1"/>
                <w:sz w:val="20"/>
                <w:szCs w:val="20"/>
              </w:rPr>
              <w:t>- Văn phòng Tổng Bí thư;</w:t>
            </w:r>
            <w:r w:rsidR="00333349">
              <w:rPr>
                <w:rFonts w:ascii="Arial" w:hAnsi="Arial" w:cs="Arial"/>
                <w:color w:val="000000" w:themeColor="text1"/>
                <w:sz w:val="20"/>
                <w:szCs w:val="20"/>
              </w:rPr>
              <w:br/>
            </w:r>
            <w:r w:rsidRPr="00333349">
              <w:rPr>
                <w:rFonts w:ascii="Arial" w:hAnsi="Arial" w:cs="Arial"/>
                <w:color w:val="000000" w:themeColor="text1"/>
                <w:sz w:val="20"/>
                <w:szCs w:val="20"/>
              </w:rPr>
              <w:t>- Văn phòng Quốc hội;</w:t>
            </w:r>
            <w:r w:rsidR="00333349">
              <w:rPr>
                <w:rFonts w:ascii="Arial" w:hAnsi="Arial" w:cs="Arial"/>
                <w:color w:val="000000" w:themeColor="text1"/>
                <w:sz w:val="20"/>
                <w:szCs w:val="20"/>
              </w:rPr>
              <w:br/>
            </w:r>
            <w:r w:rsidRPr="00333349">
              <w:rPr>
                <w:rFonts w:ascii="Arial" w:hAnsi="Arial" w:cs="Arial"/>
                <w:color w:val="000000" w:themeColor="text1"/>
                <w:sz w:val="20"/>
                <w:szCs w:val="20"/>
              </w:rPr>
              <w:t>- Văn phòng Chủ tịch nước;</w:t>
            </w:r>
            <w:r w:rsidR="00333349">
              <w:rPr>
                <w:rFonts w:ascii="Arial" w:hAnsi="Arial" w:cs="Arial"/>
                <w:color w:val="000000" w:themeColor="text1"/>
                <w:sz w:val="20"/>
                <w:szCs w:val="20"/>
              </w:rPr>
              <w:br/>
            </w:r>
            <w:r w:rsidRPr="00333349">
              <w:rPr>
                <w:rFonts w:ascii="Arial" w:hAnsi="Arial" w:cs="Arial"/>
                <w:color w:val="000000" w:themeColor="text1"/>
                <w:sz w:val="20"/>
                <w:szCs w:val="20"/>
              </w:rPr>
              <w:t>- Văn phòng Chính phủ;</w:t>
            </w:r>
            <w:r w:rsidR="00333349">
              <w:rPr>
                <w:rFonts w:ascii="Arial" w:hAnsi="Arial" w:cs="Arial"/>
                <w:color w:val="000000" w:themeColor="text1"/>
                <w:sz w:val="20"/>
                <w:szCs w:val="20"/>
              </w:rPr>
              <w:br/>
            </w:r>
            <w:r w:rsidRPr="00333349">
              <w:rPr>
                <w:rFonts w:ascii="Arial" w:hAnsi="Arial" w:cs="Arial"/>
                <w:color w:val="000000" w:themeColor="text1"/>
                <w:sz w:val="20"/>
                <w:szCs w:val="20"/>
              </w:rPr>
              <w:t>- Hội đồng Dân tộc và các Ủy ban của Quốc hội;</w:t>
            </w:r>
            <w:r w:rsidR="00333349">
              <w:rPr>
                <w:rFonts w:ascii="Arial" w:hAnsi="Arial" w:cs="Arial"/>
                <w:color w:val="000000" w:themeColor="text1"/>
                <w:sz w:val="20"/>
                <w:szCs w:val="20"/>
              </w:rPr>
              <w:br/>
            </w:r>
            <w:r w:rsidRPr="00333349">
              <w:rPr>
                <w:rFonts w:ascii="Arial" w:hAnsi="Arial" w:cs="Arial"/>
                <w:color w:val="000000" w:themeColor="text1"/>
                <w:sz w:val="20"/>
                <w:szCs w:val="20"/>
              </w:rPr>
              <w:t>- Viện Kiểm sát nhân dân tối cao;</w:t>
            </w:r>
            <w:r w:rsidR="00333349">
              <w:rPr>
                <w:rFonts w:ascii="Arial" w:hAnsi="Arial" w:cs="Arial"/>
                <w:color w:val="000000" w:themeColor="text1"/>
                <w:sz w:val="20"/>
                <w:szCs w:val="20"/>
              </w:rPr>
              <w:br/>
            </w:r>
            <w:r w:rsidRPr="00333349">
              <w:rPr>
                <w:rFonts w:ascii="Arial" w:hAnsi="Arial" w:cs="Arial"/>
                <w:color w:val="000000" w:themeColor="text1"/>
                <w:sz w:val="20"/>
                <w:szCs w:val="20"/>
              </w:rPr>
              <w:t>- Tòa án nhân dân tối cao;</w:t>
            </w:r>
            <w:r w:rsidR="00333349">
              <w:rPr>
                <w:rFonts w:ascii="Arial" w:hAnsi="Arial" w:cs="Arial"/>
                <w:color w:val="000000" w:themeColor="text1"/>
                <w:sz w:val="20"/>
                <w:szCs w:val="20"/>
              </w:rPr>
              <w:br/>
            </w:r>
            <w:r w:rsidRPr="00333349">
              <w:rPr>
                <w:rFonts w:ascii="Arial" w:hAnsi="Arial" w:cs="Arial"/>
                <w:color w:val="000000" w:themeColor="text1"/>
                <w:sz w:val="20"/>
                <w:szCs w:val="20"/>
              </w:rPr>
              <w:t xml:space="preserve">- Kiểm toán </w:t>
            </w:r>
            <w:r w:rsidR="007C2DB2">
              <w:rPr>
                <w:rFonts w:ascii="Arial" w:hAnsi="Arial" w:cs="Arial"/>
                <w:color w:val="000000" w:themeColor="text1"/>
                <w:sz w:val="20"/>
                <w:szCs w:val="20"/>
              </w:rPr>
              <w:t>n</w:t>
            </w:r>
            <w:r w:rsidRPr="00333349">
              <w:rPr>
                <w:rFonts w:ascii="Arial" w:hAnsi="Arial" w:cs="Arial"/>
                <w:color w:val="000000" w:themeColor="text1"/>
                <w:sz w:val="20"/>
                <w:szCs w:val="20"/>
              </w:rPr>
              <w:t>hà nước;</w:t>
            </w:r>
            <w:r w:rsidR="00333349">
              <w:rPr>
                <w:rFonts w:ascii="Arial" w:hAnsi="Arial" w:cs="Arial"/>
                <w:color w:val="000000" w:themeColor="text1"/>
                <w:sz w:val="20"/>
                <w:szCs w:val="20"/>
              </w:rPr>
              <w:br/>
            </w:r>
            <w:r w:rsidRPr="00333349">
              <w:rPr>
                <w:rFonts w:ascii="Arial" w:hAnsi="Arial" w:cs="Arial"/>
                <w:color w:val="000000" w:themeColor="text1"/>
                <w:sz w:val="20"/>
                <w:szCs w:val="20"/>
              </w:rPr>
              <w:t>- Ủy ban Trung ương Mặt trận Tổ quốc Việt Nam;</w:t>
            </w:r>
            <w:r w:rsidR="00333349">
              <w:rPr>
                <w:rFonts w:ascii="Arial" w:hAnsi="Arial" w:cs="Arial"/>
                <w:color w:val="000000" w:themeColor="text1"/>
                <w:sz w:val="20"/>
                <w:szCs w:val="20"/>
              </w:rPr>
              <w:br/>
            </w:r>
            <w:r w:rsidRPr="00333349">
              <w:rPr>
                <w:rFonts w:ascii="Arial" w:hAnsi="Arial" w:cs="Arial"/>
                <w:color w:val="000000" w:themeColor="text1"/>
                <w:sz w:val="20"/>
                <w:szCs w:val="20"/>
              </w:rPr>
              <w:t>- Cơ quan Trung ương của các đoàn thể;</w:t>
            </w:r>
            <w:r w:rsidR="00333349">
              <w:rPr>
                <w:rFonts w:ascii="Arial" w:hAnsi="Arial" w:cs="Arial"/>
                <w:color w:val="000000" w:themeColor="text1"/>
                <w:sz w:val="20"/>
                <w:szCs w:val="20"/>
              </w:rPr>
              <w:br/>
            </w:r>
            <w:r w:rsidRPr="00333349">
              <w:rPr>
                <w:rFonts w:ascii="Arial" w:hAnsi="Arial" w:cs="Arial"/>
                <w:color w:val="000000" w:themeColor="text1"/>
                <w:sz w:val="20"/>
                <w:szCs w:val="20"/>
              </w:rPr>
              <w:t>- Các Bộ, cơ quan ngang Bộ;</w:t>
            </w:r>
            <w:r w:rsidR="00333349">
              <w:rPr>
                <w:rFonts w:ascii="Arial" w:hAnsi="Arial" w:cs="Arial"/>
                <w:color w:val="000000" w:themeColor="text1"/>
                <w:sz w:val="20"/>
                <w:szCs w:val="20"/>
              </w:rPr>
              <w:br/>
            </w:r>
            <w:r w:rsidRPr="00333349">
              <w:rPr>
                <w:rFonts w:ascii="Arial" w:hAnsi="Arial" w:cs="Arial"/>
                <w:color w:val="000000" w:themeColor="text1"/>
                <w:sz w:val="20"/>
                <w:szCs w:val="20"/>
              </w:rPr>
              <w:t xml:space="preserve">- HĐND, UBND các tỉnh, TP trực thuộc </w:t>
            </w:r>
            <w:r w:rsidR="00EB508C">
              <w:rPr>
                <w:rFonts w:ascii="Arial" w:hAnsi="Arial" w:cs="Arial"/>
                <w:color w:val="000000" w:themeColor="text1"/>
                <w:sz w:val="20"/>
                <w:szCs w:val="20"/>
              </w:rPr>
              <w:t>t</w:t>
            </w:r>
            <w:r w:rsidRPr="00333349">
              <w:rPr>
                <w:rFonts w:ascii="Arial" w:hAnsi="Arial" w:cs="Arial"/>
                <w:color w:val="000000" w:themeColor="text1"/>
                <w:sz w:val="20"/>
                <w:szCs w:val="20"/>
              </w:rPr>
              <w:t>rung ương;</w:t>
            </w:r>
            <w:r w:rsidR="00333349">
              <w:rPr>
                <w:rFonts w:ascii="Arial" w:hAnsi="Arial" w:cs="Arial"/>
                <w:color w:val="000000" w:themeColor="text1"/>
                <w:sz w:val="20"/>
                <w:szCs w:val="20"/>
              </w:rPr>
              <w:br/>
            </w:r>
            <w:r w:rsidRPr="00333349">
              <w:rPr>
                <w:rFonts w:ascii="Arial" w:hAnsi="Arial" w:cs="Arial"/>
                <w:color w:val="000000" w:themeColor="text1"/>
                <w:sz w:val="20"/>
                <w:szCs w:val="20"/>
              </w:rPr>
              <w:t xml:space="preserve">- Sở Tài chính, Thuế các tỉnh, TP trực thuộc </w:t>
            </w:r>
            <w:r w:rsidR="00EB508C">
              <w:rPr>
                <w:rFonts w:ascii="Arial" w:hAnsi="Arial" w:cs="Arial"/>
                <w:color w:val="000000" w:themeColor="text1"/>
                <w:sz w:val="20"/>
                <w:szCs w:val="20"/>
              </w:rPr>
              <w:t>t</w:t>
            </w:r>
            <w:r w:rsidRPr="00333349">
              <w:rPr>
                <w:rFonts w:ascii="Arial" w:hAnsi="Arial" w:cs="Arial"/>
                <w:color w:val="000000" w:themeColor="text1"/>
                <w:sz w:val="20"/>
                <w:szCs w:val="20"/>
              </w:rPr>
              <w:t>rung ương;</w:t>
            </w:r>
            <w:r w:rsidR="00333349">
              <w:rPr>
                <w:rFonts w:ascii="Arial" w:hAnsi="Arial" w:cs="Arial"/>
                <w:color w:val="000000" w:themeColor="text1"/>
                <w:sz w:val="20"/>
                <w:szCs w:val="20"/>
              </w:rPr>
              <w:br/>
            </w:r>
            <w:r w:rsidRPr="00333349">
              <w:rPr>
                <w:rFonts w:ascii="Arial" w:hAnsi="Arial" w:cs="Arial"/>
                <w:color w:val="000000" w:themeColor="text1"/>
                <w:sz w:val="20"/>
                <w:szCs w:val="20"/>
              </w:rPr>
              <w:t>- Chi cục Hải quan, Kho bạc Nhà nước khu vực;</w:t>
            </w:r>
            <w:r w:rsidR="00333349">
              <w:rPr>
                <w:rFonts w:ascii="Arial" w:hAnsi="Arial" w:cs="Arial"/>
                <w:color w:val="000000" w:themeColor="text1"/>
                <w:sz w:val="20"/>
                <w:szCs w:val="20"/>
              </w:rPr>
              <w:br/>
            </w:r>
            <w:r w:rsidRPr="00333349">
              <w:rPr>
                <w:rFonts w:ascii="Arial" w:hAnsi="Arial" w:cs="Arial"/>
                <w:color w:val="000000" w:themeColor="text1"/>
                <w:sz w:val="20"/>
                <w:szCs w:val="20"/>
              </w:rPr>
              <w:t>- Cục Kiểm tra văn bản và Tổ chức thi hành pháp luật, Bộ Tư pháp;</w:t>
            </w:r>
            <w:r w:rsidR="00333349">
              <w:rPr>
                <w:rFonts w:ascii="Arial" w:hAnsi="Arial" w:cs="Arial"/>
                <w:color w:val="000000" w:themeColor="text1"/>
                <w:sz w:val="20"/>
                <w:szCs w:val="20"/>
              </w:rPr>
              <w:br/>
            </w:r>
            <w:r w:rsidRPr="00333349">
              <w:rPr>
                <w:rFonts w:ascii="Arial" w:hAnsi="Arial" w:cs="Arial"/>
                <w:color w:val="000000" w:themeColor="text1"/>
                <w:sz w:val="20"/>
                <w:szCs w:val="20"/>
              </w:rPr>
              <w:t>- Cơ sở dữ liệu quốc gia về pháp luật;</w:t>
            </w:r>
            <w:r w:rsidR="00333349">
              <w:rPr>
                <w:rFonts w:ascii="Arial" w:hAnsi="Arial" w:cs="Arial"/>
                <w:color w:val="000000" w:themeColor="text1"/>
                <w:sz w:val="20"/>
                <w:szCs w:val="20"/>
              </w:rPr>
              <w:br/>
            </w:r>
            <w:r w:rsidRPr="00333349">
              <w:rPr>
                <w:rFonts w:ascii="Arial" w:hAnsi="Arial" w:cs="Arial"/>
                <w:color w:val="000000" w:themeColor="text1"/>
                <w:sz w:val="20"/>
                <w:szCs w:val="20"/>
              </w:rPr>
              <w:t>- Cổng pháp luật quốc gia;</w:t>
            </w:r>
            <w:r w:rsidR="00333349">
              <w:rPr>
                <w:rFonts w:ascii="Arial" w:hAnsi="Arial" w:cs="Arial"/>
                <w:color w:val="000000" w:themeColor="text1"/>
                <w:sz w:val="20"/>
                <w:szCs w:val="20"/>
              </w:rPr>
              <w:br/>
            </w:r>
            <w:r w:rsidRPr="00333349">
              <w:rPr>
                <w:rFonts w:ascii="Arial" w:hAnsi="Arial" w:cs="Arial"/>
                <w:color w:val="000000" w:themeColor="text1"/>
                <w:sz w:val="20"/>
                <w:szCs w:val="20"/>
              </w:rPr>
              <w:t>- Cổng báo;</w:t>
            </w:r>
            <w:r w:rsidR="00333349">
              <w:rPr>
                <w:rFonts w:ascii="Arial" w:hAnsi="Arial" w:cs="Arial"/>
                <w:color w:val="000000" w:themeColor="text1"/>
                <w:sz w:val="20"/>
                <w:szCs w:val="20"/>
              </w:rPr>
              <w:br/>
            </w:r>
            <w:r w:rsidRPr="00333349">
              <w:rPr>
                <w:rFonts w:ascii="Arial" w:hAnsi="Arial" w:cs="Arial"/>
                <w:color w:val="000000" w:themeColor="text1"/>
                <w:sz w:val="20"/>
                <w:szCs w:val="20"/>
              </w:rPr>
              <w:t>- Cổng Thông tin điện tử Chính phủ;</w:t>
            </w:r>
            <w:r w:rsidR="00333349">
              <w:rPr>
                <w:rFonts w:ascii="Arial" w:hAnsi="Arial" w:cs="Arial"/>
                <w:color w:val="000000" w:themeColor="text1"/>
                <w:sz w:val="20"/>
                <w:szCs w:val="20"/>
              </w:rPr>
              <w:br/>
            </w:r>
            <w:r w:rsidRPr="00333349">
              <w:rPr>
                <w:rFonts w:ascii="Arial" w:hAnsi="Arial" w:cs="Arial"/>
                <w:color w:val="000000" w:themeColor="text1"/>
                <w:sz w:val="20"/>
                <w:szCs w:val="20"/>
              </w:rPr>
              <w:t>- Cổng Thông tin điện tử Bộ Tài chính;</w:t>
            </w:r>
            <w:r w:rsidR="00333349">
              <w:rPr>
                <w:rFonts w:ascii="Arial" w:hAnsi="Arial" w:cs="Arial"/>
                <w:color w:val="000000" w:themeColor="text1"/>
                <w:sz w:val="20"/>
                <w:szCs w:val="20"/>
              </w:rPr>
              <w:br/>
            </w:r>
            <w:r w:rsidRPr="00333349">
              <w:rPr>
                <w:rFonts w:ascii="Arial" w:hAnsi="Arial" w:cs="Arial"/>
                <w:color w:val="000000" w:themeColor="text1"/>
                <w:sz w:val="20"/>
                <w:szCs w:val="20"/>
              </w:rPr>
              <w:t>- Cổng Thông tin điện tử Cục Thuế;</w:t>
            </w:r>
            <w:r w:rsidR="00333349">
              <w:rPr>
                <w:rFonts w:ascii="Arial" w:hAnsi="Arial" w:cs="Arial"/>
                <w:color w:val="000000" w:themeColor="text1"/>
                <w:sz w:val="20"/>
                <w:szCs w:val="20"/>
              </w:rPr>
              <w:br/>
            </w:r>
            <w:r w:rsidRPr="00333349">
              <w:rPr>
                <w:rFonts w:ascii="Arial" w:hAnsi="Arial" w:cs="Arial"/>
                <w:color w:val="000000" w:themeColor="text1"/>
                <w:sz w:val="20"/>
                <w:szCs w:val="20"/>
              </w:rPr>
              <w:t>- Các đơn vị thuộc Bộ Tài chính;</w:t>
            </w:r>
            <w:r w:rsidR="00333349">
              <w:rPr>
                <w:rFonts w:ascii="Arial" w:hAnsi="Arial" w:cs="Arial"/>
                <w:color w:val="000000" w:themeColor="text1"/>
                <w:sz w:val="20"/>
                <w:szCs w:val="20"/>
              </w:rPr>
              <w:br/>
            </w:r>
            <w:r w:rsidRPr="00333349">
              <w:rPr>
                <w:rFonts w:ascii="Arial" w:hAnsi="Arial" w:cs="Arial"/>
                <w:color w:val="000000" w:themeColor="text1"/>
                <w:sz w:val="20"/>
                <w:szCs w:val="20"/>
              </w:rPr>
              <w:t>- Lưu: VT, CT (VT, PC 100b)</w:t>
            </w:r>
          </w:p>
        </w:tc>
        <w:tc>
          <w:tcPr>
            <w:tcW w:w="2500" w:type="pct"/>
          </w:tcPr>
          <w:p w14:paraId="1215DEA0" w14:textId="77777777" w:rsidR="00BF0EFF" w:rsidRPr="00333349" w:rsidRDefault="00000000" w:rsidP="00333349">
            <w:pPr>
              <w:adjustRightInd w:val="0"/>
              <w:snapToGrid w:val="0"/>
              <w:spacing w:after="0" w:line="240" w:lineRule="auto"/>
              <w:jc w:val="center"/>
              <w:rPr>
                <w:rFonts w:ascii="Arial" w:hAnsi="Arial" w:cs="Arial"/>
                <w:color w:val="000000" w:themeColor="text1"/>
                <w:sz w:val="20"/>
                <w:szCs w:val="20"/>
              </w:rPr>
            </w:pPr>
            <w:r w:rsidRPr="00333349">
              <w:rPr>
                <w:rFonts w:ascii="Arial" w:hAnsi="Arial" w:cs="Arial"/>
                <w:b/>
                <w:color w:val="000000" w:themeColor="text1"/>
                <w:sz w:val="20"/>
                <w:szCs w:val="20"/>
              </w:rPr>
              <w:t>KT. BỘ TRƯỞNG</w:t>
            </w:r>
            <w:r w:rsidRPr="00333349">
              <w:rPr>
                <w:rFonts w:ascii="Arial" w:hAnsi="Arial" w:cs="Arial"/>
                <w:color w:val="000000" w:themeColor="text1"/>
                <w:sz w:val="20"/>
                <w:szCs w:val="20"/>
              </w:rPr>
              <w:br/>
            </w:r>
            <w:r w:rsidRPr="00333349">
              <w:rPr>
                <w:rFonts w:ascii="Arial" w:hAnsi="Arial" w:cs="Arial"/>
                <w:b/>
                <w:color w:val="000000" w:themeColor="text1"/>
                <w:sz w:val="20"/>
                <w:szCs w:val="20"/>
              </w:rPr>
              <w:t>THỨ TRƯỞNG</w:t>
            </w:r>
            <w:r w:rsidRPr="00333349">
              <w:rPr>
                <w:rFonts w:ascii="Arial" w:hAnsi="Arial" w:cs="Arial"/>
                <w:color w:val="000000" w:themeColor="text1"/>
                <w:sz w:val="20"/>
                <w:szCs w:val="20"/>
              </w:rPr>
              <w:br/>
            </w:r>
            <w:r w:rsidRPr="00333349">
              <w:rPr>
                <w:rFonts w:ascii="Arial" w:hAnsi="Arial" w:cs="Arial"/>
                <w:color w:val="000000" w:themeColor="text1"/>
                <w:sz w:val="20"/>
                <w:szCs w:val="20"/>
              </w:rPr>
              <w:br/>
            </w:r>
            <w:r w:rsidRPr="00333349">
              <w:rPr>
                <w:rFonts w:ascii="Arial" w:hAnsi="Arial" w:cs="Arial"/>
                <w:color w:val="000000" w:themeColor="text1"/>
                <w:sz w:val="20"/>
                <w:szCs w:val="20"/>
              </w:rPr>
              <w:br/>
            </w:r>
            <w:r w:rsidRPr="00333349">
              <w:rPr>
                <w:rFonts w:ascii="Arial" w:hAnsi="Arial" w:cs="Arial"/>
                <w:color w:val="000000" w:themeColor="text1"/>
                <w:sz w:val="20"/>
                <w:szCs w:val="20"/>
              </w:rPr>
              <w:br/>
            </w:r>
            <w:r w:rsidRPr="00333349">
              <w:rPr>
                <w:rFonts w:ascii="Arial" w:hAnsi="Arial" w:cs="Arial"/>
                <w:color w:val="000000" w:themeColor="text1"/>
                <w:sz w:val="20"/>
                <w:szCs w:val="20"/>
              </w:rPr>
              <w:br/>
            </w:r>
            <w:r w:rsidRPr="00333349">
              <w:rPr>
                <w:rFonts w:ascii="Arial" w:hAnsi="Arial" w:cs="Arial"/>
                <w:color w:val="000000" w:themeColor="text1"/>
                <w:sz w:val="20"/>
                <w:szCs w:val="20"/>
              </w:rPr>
              <w:br/>
            </w:r>
            <w:r w:rsidRPr="00333349">
              <w:rPr>
                <w:rFonts w:ascii="Arial" w:hAnsi="Arial" w:cs="Arial"/>
                <w:color w:val="000000" w:themeColor="text1"/>
                <w:sz w:val="20"/>
                <w:szCs w:val="20"/>
              </w:rPr>
              <w:br/>
            </w:r>
            <w:r w:rsidRPr="00333349">
              <w:rPr>
                <w:rFonts w:ascii="Arial" w:hAnsi="Arial" w:cs="Arial"/>
                <w:color w:val="000000" w:themeColor="text1"/>
                <w:sz w:val="20"/>
                <w:szCs w:val="20"/>
              </w:rPr>
              <w:br/>
            </w:r>
            <w:r w:rsidRPr="00333349">
              <w:rPr>
                <w:rFonts w:ascii="Arial" w:hAnsi="Arial" w:cs="Arial"/>
                <w:b/>
                <w:color w:val="000000" w:themeColor="text1"/>
                <w:sz w:val="20"/>
                <w:szCs w:val="20"/>
              </w:rPr>
              <w:t>Cao Anh Tuấn</w:t>
            </w:r>
          </w:p>
        </w:tc>
      </w:tr>
    </w:tbl>
    <w:p w14:paraId="64A03C52" w14:textId="77777777" w:rsidR="00390966" w:rsidRPr="00333349" w:rsidRDefault="00390966" w:rsidP="00333349">
      <w:pPr>
        <w:spacing w:after="120" w:line="240" w:lineRule="auto"/>
        <w:jc w:val="both"/>
        <w:rPr>
          <w:rFonts w:ascii="Arial" w:hAnsi="Arial" w:cs="Arial"/>
          <w:color w:val="000000" w:themeColor="text1"/>
          <w:sz w:val="20"/>
          <w:szCs w:val="20"/>
        </w:rPr>
      </w:pPr>
    </w:p>
    <w:sectPr w:rsidR="00390966" w:rsidRPr="00333349" w:rsidSect="00333349">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804D0" w14:textId="77777777" w:rsidR="00635E53" w:rsidRDefault="00635E53">
      <w:pPr>
        <w:spacing w:after="0" w:line="240" w:lineRule="auto"/>
      </w:pPr>
      <w:r>
        <w:separator/>
      </w:r>
    </w:p>
  </w:endnote>
  <w:endnote w:type="continuationSeparator" w:id="0">
    <w:p w14:paraId="5EF06E22" w14:textId="77777777" w:rsidR="00635E53" w:rsidRDefault="00635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89A81" w14:textId="77777777" w:rsidR="00635E53" w:rsidRDefault="00635E53">
      <w:pPr>
        <w:spacing w:after="0" w:line="240" w:lineRule="auto"/>
      </w:pPr>
      <w:r>
        <w:separator/>
      </w:r>
    </w:p>
  </w:footnote>
  <w:footnote w:type="continuationSeparator" w:id="0">
    <w:p w14:paraId="06C2FD3A" w14:textId="77777777" w:rsidR="00635E53" w:rsidRDefault="00635E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EFF"/>
    <w:rsid w:val="00333349"/>
    <w:rsid w:val="00390966"/>
    <w:rsid w:val="004969B7"/>
    <w:rsid w:val="005A386E"/>
    <w:rsid w:val="00635E53"/>
    <w:rsid w:val="007C2DB2"/>
    <w:rsid w:val="008C3446"/>
    <w:rsid w:val="00A50318"/>
    <w:rsid w:val="00BA0D2F"/>
    <w:rsid w:val="00BF0EFF"/>
    <w:rsid w:val="00C36B5D"/>
    <w:rsid w:val="00EB508C"/>
    <w:rsid w:val="00F00B81"/>
    <w:rsid w:val="00F42055"/>
    <w:rsid w:val="00F47218"/>
    <w:rsid w:val="00F50C4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021EA"/>
  <w15:docId w15:val="{3A9E1D10-C5A7-4EBB-A60F-574D30830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33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3349"/>
  </w:style>
  <w:style w:type="paragraph" w:styleId="Footer">
    <w:name w:val="footer"/>
    <w:basedOn w:val="Normal"/>
    <w:link w:val="FooterChar"/>
    <w:uiPriority w:val="99"/>
    <w:unhideWhenUsed/>
    <w:rsid w:val="003333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33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1341</Words>
  <Characters>7650</Characters>
  <Application>Microsoft Office Word</Application>
  <DocSecurity>0</DocSecurity>
  <Lines>63</Lines>
  <Paragraphs>17</Paragraphs>
  <ScaleCrop>false</ScaleCrop>
  <Company/>
  <LinksUpToDate>false</LinksUpToDate>
  <CharactersWithSpaces>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key3</cp:lastModifiedBy>
  <cp:revision>10</cp:revision>
  <dcterms:created xsi:type="dcterms:W3CDTF">2026-07-30T01:44:00Z</dcterms:created>
  <dcterms:modified xsi:type="dcterms:W3CDTF">2026-07-31T01:24:00Z</dcterms:modified>
</cp:coreProperties>
</file>