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5585"/>
      </w:tblGrid>
      <w:tr w:rsidR="00000000" w:rsidRPr="000465F6" w:rsidTr="000465F6">
        <w:tc>
          <w:tcPr>
            <w:tcW w:w="19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465F6" w:rsidRDefault="00BF25E2" w:rsidP="00046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BỘ TÀI CHÍNH</w:t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465F6" w:rsidRPr="000465F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465F6" w:rsidRDefault="00BF25E2" w:rsidP="00046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465F6" w:rsidRPr="000465F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________________________</w:t>
            </w:r>
          </w:p>
        </w:tc>
      </w:tr>
      <w:tr w:rsidR="00000000" w:rsidRPr="000465F6" w:rsidTr="000465F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465F6" w:rsidRDefault="00BF25E2" w:rsidP="00046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>: 1496/QĐ-BTC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465F6" w:rsidRDefault="00BF25E2" w:rsidP="00046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>Hà</w:t>
            </w:r>
            <w:proofErr w:type="spellEnd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>Nội</w:t>
            </w:r>
            <w:proofErr w:type="spellEnd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28 </w:t>
            </w:r>
            <w:proofErr w:type="spellStart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 </w:t>
            </w:r>
            <w:proofErr w:type="spellStart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2024</w:t>
            </w:r>
          </w:p>
        </w:tc>
      </w:tr>
    </w:tbl>
    <w:p w:rsidR="00000000" w:rsidRDefault="00BF25E2" w:rsidP="000465F6">
      <w:pPr>
        <w:jc w:val="center"/>
        <w:rPr>
          <w:rFonts w:ascii="Arial" w:hAnsi="Arial" w:cs="Arial"/>
          <w:sz w:val="20"/>
          <w:szCs w:val="20"/>
        </w:rPr>
      </w:pPr>
    </w:p>
    <w:p w:rsidR="000465F6" w:rsidRPr="000465F6" w:rsidRDefault="000465F6" w:rsidP="000465F6">
      <w:pPr>
        <w:jc w:val="center"/>
        <w:rPr>
          <w:rFonts w:ascii="Arial" w:hAnsi="Arial" w:cs="Arial"/>
          <w:sz w:val="20"/>
          <w:szCs w:val="20"/>
        </w:rPr>
      </w:pPr>
    </w:p>
    <w:p w:rsidR="00000000" w:rsidRPr="000465F6" w:rsidRDefault="00BF25E2" w:rsidP="000465F6">
      <w:pPr>
        <w:jc w:val="center"/>
        <w:rPr>
          <w:rFonts w:ascii="Arial" w:hAnsi="Arial" w:cs="Arial"/>
          <w:sz w:val="20"/>
          <w:szCs w:val="20"/>
        </w:rPr>
      </w:pPr>
      <w:bookmarkStart w:id="0" w:name="loai_1"/>
      <w:r w:rsidRPr="000465F6">
        <w:rPr>
          <w:rFonts w:ascii="Arial" w:hAnsi="Arial" w:cs="Arial"/>
          <w:b/>
          <w:bCs/>
          <w:sz w:val="20"/>
          <w:szCs w:val="20"/>
        </w:rPr>
        <w:t>QUYẾT ĐỊNH</w:t>
      </w:r>
      <w:bookmarkEnd w:id="0"/>
    </w:p>
    <w:p w:rsidR="00000000" w:rsidRPr="000465F6" w:rsidRDefault="000465F6" w:rsidP="000465F6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loai_1_name"/>
      <w:proofErr w:type="spellStart"/>
      <w:r w:rsidRPr="000465F6">
        <w:rPr>
          <w:rFonts w:ascii="Arial" w:hAnsi="Arial" w:cs="Arial"/>
          <w:b/>
          <w:sz w:val="20"/>
          <w:szCs w:val="20"/>
        </w:rPr>
        <w:t>Về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việc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công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bố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công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khai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dự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toán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năm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2024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sz w:val="20"/>
          <w:szCs w:val="20"/>
        </w:rPr>
        <w:t>chính</w:t>
      </w:r>
      <w:bookmarkEnd w:id="1"/>
      <w:proofErr w:type="spellEnd"/>
    </w:p>
    <w:p w:rsidR="000465F6" w:rsidRPr="000465F6" w:rsidRDefault="000465F6" w:rsidP="000465F6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0465F6">
        <w:rPr>
          <w:rFonts w:ascii="Arial" w:hAnsi="Arial" w:cs="Arial"/>
          <w:sz w:val="20"/>
          <w:szCs w:val="20"/>
          <w:vertAlign w:val="superscript"/>
        </w:rPr>
        <w:t>______________</w:t>
      </w:r>
    </w:p>
    <w:p w:rsidR="00000000" w:rsidRDefault="00BF25E2" w:rsidP="000465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65F6">
        <w:rPr>
          <w:rFonts w:ascii="Arial" w:hAnsi="Arial" w:cs="Arial"/>
          <w:b/>
          <w:bCs/>
          <w:sz w:val="20"/>
          <w:szCs w:val="20"/>
        </w:rPr>
        <w:t>BỘ TRƯỞNG BỘ TÀI CHÍN</w:t>
      </w:r>
      <w:r w:rsidRPr="000465F6">
        <w:rPr>
          <w:rFonts w:ascii="Arial" w:hAnsi="Arial" w:cs="Arial"/>
          <w:b/>
          <w:bCs/>
          <w:sz w:val="20"/>
          <w:szCs w:val="20"/>
        </w:rPr>
        <w:t>H</w:t>
      </w:r>
    </w:p>
    <w:p w:rsidR="000465F6" w:rsidRPr="000465F6" w:rsidRDefault="000465F6" w:rsidP="000465F6">
      <w:pPr>
        <w:jc w:val="center"/>
        <w:rPr>
          <w:rFonts w:ascii="Arial" w:hAnsi="Arial" w:cs="Arial"/>
          <w:sz w:val="20"/>
          <w:szCs w:val="20"/>
        </w:rPr>
      </w:pP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14/2023/NĐ-CP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20/4/2023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năng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nhiệm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vụ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quyền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cấu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>;</w:t>
      </w: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163/2016/NĐ-CP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21/12/2016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tiết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</w:t>
      </w:r>
      <w:r w:rsidRPr="000465F6">
        <w:rPr>
          <w:rFonts w:ascii="Arial" w:hAnsi="Arial" w:cs="Arial"/>
          <w:i/>
          <w:iCs/>
          <w:sz w:val="20"/>
          <w:szCs w:val="20"/>
        </w:rPr>
        <w:t>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nhà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>;</w:t>
      </w: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61/2017/TT-BTC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15/6/2017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hướng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dẫn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thực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hiện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công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khai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đối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vị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dự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được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nhà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hỗ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trợ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>;</w:t>
      </w: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90/2018/TT-BTC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28/9/2018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B</w:t>
      </w:r>
      <w:r w:rsidRPr="000465F6">
        <w:rPr>
          <w:rFonts w:ascii="Arial" w:hAnsi="Arial" w:cs="Arial"/>
          <w:i/>
          <w:iCs/>
          <w:sz w:val="20"/>
          <w:szCs w:val="20"/>
        </w:rPr>
        <w:t>ộ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bổ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sung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61/2017/TT-BTC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15/6/2017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hướng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dẫn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thực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hiện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công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khai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đối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vị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dự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được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nhà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hỗ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trợ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>;</w:t>
      </w: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Quyết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1600/QĐ-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TTg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</w:t>
      </w:r>
      <w:r w:rsidRPr="000465F6">
        <w:rPr>
          <w:rFonts w:ascii="Arial" w:hAnsi="Arial" w:cs="Arial"/>
          <w:i/>
          <w:iCs/>
          <w:sz w:val="20"/>
          <w:szCs w:val="20"/>
        </w:rPr>
        <w:t>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10/12/2023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Thủ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tướng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việc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giao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dự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nhà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2024;</w:t>
      </w: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Quyết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1601/QĐ-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TTg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10/12/2023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Thủ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tướng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việc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giao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tiết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dự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nhà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2024;</w:t>
      </w: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465F6">
        <w:rPr>
          <w:rFonts w:ascii="Arial" w:hAnsi="Arial" w:cs="Arial"/>
          <w:i/>
          <w:iCs/>
          <w:sz w:val="20"/>
          <w:szCs w:val="20"/>
        </w:rPr>
        <w:t xml:space="preserve">Theo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đề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Cục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Cục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Kế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hoạch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>.</w:t>
      </w:r>
    </w:p>
    <w:p w:rsidR="000465F6" w:rsidRDefault="000465F6" w:rsidP="000465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0000" w:rsidRDefault="00BF25E2" w:rsidP="000465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65F6">
        <w:rPr>
          <w:rFonts w:ascii="Arial" w:hAnsi="Arial" w:cs="Arial"/>
          <w:b/>
          <w:bCs/>
          <w:sz w:val="20"/>
          <w:szCs w:val="20"/>
        </w:rPr>
        <w:t>QUYẾT ĐỊNH:</w:t>
      </w:r>
    </w:p>
    <w:p w:rsidR="000465F6" w:rsidRPr="000465F6" w:rsidRDefault="000465F6" w:rsidP="000465F6">
      <w:pPr>
        <w:jc w:val="center"/>
        <w:rPr>
          <w:rFonts w:ascii="Arial" w:hAnsi="Arial" w:cs="Arial"/>
          <w:sz w:val="20"/>
          <w:szCs w:val="20"/>
        </w:rPr>
      </w:pPr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dieu_1"/>
      <w:proofErr w:type="spellStart"/>
      <w:r w:rsidRPr="000465F6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0465F6">
        <w:rPr>
          <w:rFonts w:ascii="Arial" w:hAnsi="Arial" w:cs="Arial"/>
          <w:b/>
          <w:bCs/>
          <w:sz w:val="20"/>
          <w:szCs w:val="20"/>
        </w:rPr>
        <w:t xml:space="preserve"> 1.</w:t>
      </w:r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Công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bố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công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khai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liệu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dự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toán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ngân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sách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năm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2024 </w:t>
      </w:r>
      <w:proofErr w:type="spellStart"/>
      <w:r w:rsidRPr="000465F6">
        <w:rPr>
          <w:rFonts w:ascii="Arial" w:hAnsi="Arial" w:cs="Arial"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(chi </w:t>
      </w:r>
      <w:proofErr w:type="spellStart"/>
      <w:r w:rsidRPr="000465F6">
        <w:rPr>
          <w:rFonts w:ascii="Arial" w:hAnsi="Arial" w:cs="Arial"/>
          <w:sz w:val="20"/>
          <w:szCs w:val="20"/>
        </w:rPr>
        <w:t>tiết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theo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phụ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lục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đính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kèm</w:t>
      </w:r>
      <w:proofErr w:type="spellEnd"/>
      <w:r w:rsidRPr="000465F6">
        <w:rPr>
          <w:rFonts w:ascii="Arial" w:hAnsi="Arial" w:cs="Arial"/>
          <w:sz w:val="20"/>
          <w:szCs w:val="20"/>
        </w:rPr>
        <w:t>).</w:t>
      </w:r>
      <w:bookmarkEnd w:id="2"/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dieu_2"/>
      <w:proofErr w:type="spellStart"/>
      <w:r w:rsidRPr="000465F6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0465F6">
        <w:rPr>
          <w:rFonts w:ascii="Arial" w:hAnsi="Arial" w:cs="Arial"/>
          <w:b/>
          <w:bCs/>
          <w:sz w:val="20"/>
          <w:szCs w:val="20"/>
        </w:rPr>
        <w:t xml:space="preserve"> 2.</w:t>
      </w:r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Quyết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này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có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hiệu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lực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thi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hành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kể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từ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ký</w:t>
      </w:r>
      <w:proofErr w:type="spellEnd"/>
      <w:r w:rsidRPr="000465F6">
        <w:rPr>
          <w:rFonts w:ascii="Arial" w:hAnsi="Arial" w:cs="Arial"/>
          <w:sz w:val="20"/>
          <w:szCs w:val="20"/>
        </w:rPr>
        <w:t>.</w:t>
      </w:r>
      <w:bookmarkEnd w:id="3"/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dieu_3"/>
      <w:proofErr w:type="spellStart"/>
      <w:r w:rsidRPr="000465F6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0465F6">
        <w:rPr>
          <w:rFonts w:ascii="Arial" w:hAnsi="Arial" w:cs="Arial"/>
          <w:b/>
          <w:bCs/>
          <w:sz w:val="20"/>
          <w:szCs w:val="20"/>
        </w:rPr>
        <w:t xml:space="preserve"> 3.</w:t>
      </w:r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Cục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trưởng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Cục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Kế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hoạch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0465F6">
        <w:rPr>
          <w:rFonts w:ascii="Arial" w:hAnsi="Arial" w:cs="Arial"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65F6">
        <w:rPr>
          <w:rFonts w:ascii="Arial" w:hAnsi="Arial" w:cs="Arial"/>
          <w:sz w:val="20"/>
          <w:szCs w:val="20"/>
        </w:rPr>
        <w:t>Chánh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Văn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phòng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và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Thủ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trưởng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các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đơn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vị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có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liên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quan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chịu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trách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nhiệm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thi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hành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Quyết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này</w:t>
      </w:r>
      <w:proofErr w:type="spellEnd"/>
      <w:r w:rsidRPr="000465F6">
        <w:rPr>
          <w:rFonts w:ascii="Arial" w:hAnsi="Arial" w:cs="Arial"/>
          <w:sz w:val="20"/>
          <w:szCs w:val="20"/>
        </w:rPr>
        <w:t>./.</w:t>
      </w:r>
      <w:bookmarkEnd w:id="4"/>
    </w:p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465F6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00000" w:rsidRPr="000465F6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465F6" w:rsidRDefault="00BF25E2" w:rsidP="00046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0465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 w:rsidRPr="000465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Pr="000465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0465F6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Điều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3;</w:t>
            </w:r>
            <w:r w:rsidRPr="000465F6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Tài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NSNN,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HCSN);</w:t>
            </w:r>
            <w:r w:rsidRPr="000465F6">
              <w:rPr>
                <w:rFonts w:ascii="Arial" w:hAnsi="Arial" w:cs="Arial"/>
                <w:sz w:val="20"/>
                <w:szCs w:val="20"/>
              </w:rPr>
              <w:br/>
              <w:t xml:space="preserve">- Kho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bạc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nhà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>;</w:t>
            </w:r>
            <w:r w:rsidRPr="000465F6">
              <w:rPr>
                <w:rFonts w:ascii="Arial" w:hAnsi="Arial" w:cs="Arial"/>
                <w:sz w:val="20"/>
                <w:szCs w:val="20"/>
              </w:rPr>
              <w:br/>
              <w:t>- TCHQ;</w:t>
            </w:r>
            <w:r w:rsidRPr="000465F6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Cục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THTK (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để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khai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>);</w:t>
            </w:r>
            <w:r w:rsidRPr="000465F6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>: VT, KHTC.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465F6" w:rsidRDefault="00BF25E2" w:rsidP="00046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KT. BỘ TRƯỞNG</w:t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THỨ TRƯỞNG</w:t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guyễn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Đức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Chi</w:t>
            </w:r>
          </w:p>
        </w:tc>
      </w:tr>
    </w:tbl>
    <w:p w:rsidR="00000000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465F6">
        <w:rPr>
          <w:rFonts w:ascii="Arial" w:hAnsi="Arial" w:cs="Arial"/>
          <w:sz w:val="20"/>
          <w:szCs w:val="20"/>
        </w:rPr>
        <w:t> </w:t>
      </w:r>
    </w:p>
    <w:p w:rsidR="000465F6" w:rsidRDefault="000465F6" w:rsidP="000465F6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  <w:sectPr w:rsidR="000465F6" w:rsidSect="000465F6">
          <w:pgSz w:w="11906" w:h="16838" w:code="9"/>
          <w:pgMar w:top="1440" w:right="1440" w:bottom="1440" w:left="1440" w:header="720" w:footer="720" w:gutter="0"/>
          <w:cols w:space="720"/>
          <w:docGrid w:linePitch="326"/>
        </w:sectPr>
      </w:pPr>
      <w:bookmarkStart w:id="5" w:name="chuong_pl"/>
    </w:p>
    <w:p w:rsidR="00000000" w:rsidRPr="000465F6" w:rsidRDefault="00BF25E2" w:rsidP="007D538F">
      <w:pPr>
        <w:jc w:val="center"/>
        <w:rPr>
          <w:rFonts w:ascii="Arial" w:hAnsi="Arial" w:cs="Arial"/>
          <w:sz w:val="20"/>
          <w:szCs w:val="20"/>
        </w:rPr>
      </w:pPr>
      <w:bookmarkStart w:id="6" w:name="_GoBack"/>
      <w:bookmarkEnd w:id="6"/>
      <w:r w:rsidRPr="000465F6">
        <w:rPr>
          <w:rFonts w:ascii="Arial" w:hAnsi="Arial" w:cs="Arial"/>
          <w:b/>
          <w:bCs/>
          <w:sz w:val="20"/>
          <w:szCs w:val="20"/>
        </w:rPr>
        <w:lastRenderedPageBreak/>
        <w:t>DỰ TOÁN CHI NGÂN SÁCH ĐƯỢC GIAO VÀ PHÂN BỔ CHO CÁC ĐƠN VỊ THUỘC BỘ TÀI CHÍNH NĂM 2024</w:t>
      </w:r>
      <w:bookmarkEnd w:id="5"/>
    </w:p>
    <w:p w:rsidR="00000000" w:rsidRPr="000465F6" w:rsidRDefault="00BF25E2" w:rsidP="007D538F">
      <w:pPr>
        <w:jc w:val="center"/>
        <w:rPr>
          <w:rFonts w:ascii="Arial" w:hAnsi="Arial" w:cs="Arial"/>
          <w:sz w:val="20"/>
          <w:szCs w:val="20"/>
        </w:rPr>
      </w:pPr>
      <w:r w:rsidRPr="000465F6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Kèm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Quyết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1496/QĐ-BTC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28/6/2024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>)</w:t>
      </w:r>
    </w:p>
    <w:p w:rsidR="00000000" w:rsidRPr="000465F6" w:rsidRDefault="00BF25E2" w:rsidP="007D538F">
      <w:pPr>
        <w:spacing w:after="120"/>
        <w:ind w:firstLine="720"/>
        <w:jc w:val="right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Đơn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vị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tính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Triệu</w:t>
      </w:r>
      <w:proofErr w:type="spellEnd"/>
      <w:r w:rsidRPr="000465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i/>
          <w:iCs/>
          <w:sz w:val="20"/>
          <w:szCs w:val="20"/>
        </w:rPr>
        <w:t>đồng</w:t>
      </w:r>
      <w:proofErr w:type="spellEnd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5188"/>
        <w:gridCol w:w="1982"/>
        <w:gridCol w:w="2174"/>
        <w:gridCol w:w="2085"/>
        <w:gridCol w:w="1896"/>
      </w:tblGrid>
      <w:tr w:rsidR="00000000" w:rsidRPr="000465F6" w:rsidTr="007D538F">
        <w:tc>
          <w:tcPr>
            <w:tcW w:w="2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8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Tổng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được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giao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tại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Quyết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1600/QĐ-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TT</w:t>
            </w:r>
            <w:r w:rsidRPr="000465F6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ngày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10/12/2023)</w:t>
            </w:r>
          </w:p>
        </w:tc>
        <w:tc>
          <w:tcPr>
            <w:tcW w:w="7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Tổng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đã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phân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bổ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7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Tổng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phân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bổ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465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tại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Quyết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1495/QĐ-BTC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ngày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28/6/2024)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Trong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đó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Tổng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cục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Hải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DỰ TOÁN CHI NGÂN SÁCH NHÀ NƯỚC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18.441.044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17.443.096,766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74.017,205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74.017,205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>Trong</w:t>
            </w:r>
            <w:proofErr w:type="spellEnd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>đó</w:t>
            </w:r>
            <w:proofErr w:type="spellEnd"/>
            <w:r w:rsidRPr="000465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Nguồn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ngân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sách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trong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nước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18.440.350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17.442.402,766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74.017,205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74.017,205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Quản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lý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hành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chính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Khoản</w:t>
            </w:r>
            <w:proofErr w:type="spellEnd"/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341)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16.874.200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15.954.559,766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74.017,205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b/>
                <w:bCs/>
                <w:sz w:val="20"/>
                <w:szCs w:val="20"/>
              </w:rPr>
              <w:t>74.017,205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Kinh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phí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thực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hiện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tự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chủ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Kinh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phí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không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thực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hiện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tự</w:t>
            </w:r>
            <w:proofErr w:type="spellEnd"/>
            <w:r w:rsidRPr="00046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65F6">
              <w:rPr>
                <w:rFonts w:ascii="Arial" w:hAnsi="Arial" w:cs="Arial"/>
                <w:sz w:val="20"/>
                <w:szCs w:val="20"/>
              </w:rPr>
              <w:t>chủ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74.017,205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74.017</w:t>
            </w:r>
            <w:r w:rsidRPr="000465F6">
              <w:rPr>
                <w:rFonts w:ascii="Arial" w:hAnsi="Arial" w:cs="Arial"/>
                <w:sz w:val="20"/>
                <w:szCs w:val="20"/>
              </w:rPr>
              <w:t>,205</w:t>
            </w:r>
          </w:p>
        </w:tc>
      </w:tr>
      <w:tr w:rsidR="00000000" w:rsidRPr="000465F6" w:rsidTr="007D538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7D538F">
            <w:pPr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465F6" w:rsidRDefault="00BF25E2" w:rsidP="00896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65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F25E2" w:rsidRPr="000465F6" w:rsidRDefault="00BF25E2" w:rsidP="000465F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0465F6">
        <w:rPr>
          <w:rFonts w:ascii="Arial" w:hAnsi="Arial" w:cs="Arial"/>
          <w:b/>
          <w:bCs/>
          <w:sz w:val="20"/>
          <w:szCs w:val="20"/>
        </w:rPr>
        <w:t>Ghi</w:t>
      </w:r>
      <w:proofErr w:type="spellEnd"/>
      <w:r w:rsidRPr="000465F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b/>
          <w:bCs/>
          <w:sz w:val="20"/>
          <w:szCs w:val="20"/>
        </w:rPr>
        <w:t>chú</w:t>
      </w:r>
      <w:proofErr w:type="spellEnd"/>
      <w:r w:rsidRPr="000465F6">
        <w:rPr>
          <w:rFonts w:ascii="Arial" w:hAnsi="Arial" w:cs="Arial"/>
          <w:b/>
          <w:bCs/>
          <w:sz w:val="20"/>
          <w:szCs w:val="20"/>
        </w:rPr>
        <w:t>: (*)</w:t>
      </w:r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Tổng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đã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phân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bổ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tại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các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Quyết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định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2974/QĐ-BTC </w:t>
      </w:r>
      <w:proofErr w:type="spellStart"/>
      <w:r w:rsidRPr="000465F6">
        <w:rPr>
          <w:rFonts w:ascii="Arial" w:hAnsi="Arial" w:cs="Arial"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29/12/2023, </w:t>
      </w:r>
      <w:proofErr w:type="spellStart"/>
      <w:r w:rsidRPr="000465F6">
        <w:rPr>
          <w:rFonts w:ascii="Arial" w:hAnsi="Arial" w:cs="Arial"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506/QĐ-BTC </w:t>
      </w:r>
      <w:proofErr w:type="spellStart"/>
      <w:r w:rsidRPr="000465F6">
        <w:rPr>
          <w:rFonts w:ascii="Arial" w:hAnsi="Arial" w:cs="Arial"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27/3/2024, </w:t>
      </w:r>
      <w:proofErr w:type="spellStart"/>
      <w:r w:rsidRPr="000465F6">
        <w:rPr>
          <w:rFonts w:ascii="Arial" w:hAnsi="Arial" w:cs="Arial"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1431/QĐ-BTC </w:t>
      </w:r>
      <w:proofErr w:type="spellStart"/>
      <w:r w:rsidRPr="000465F6">
        <w:rPr>
          <w:rFonts w:ascii="Arial" w:hAnsi="Arial" w:cs="Arial"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26/6/2024, </w:t>
      </w:r>
      <w:proofErr w:type="spellStart"/>
      <w:r w:rsidRPr="000465F6">
        <w:rPr>
          <w:rFonts w:ascii="Arial" w:hAnsi="Arial" w:cs="Arial"/>
          <w:sz w:val="20"/>
          <w:szCs w:val="20"/>
        </w:rPr>
        <w:t>số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1454/QĐ-BTC </w:t>
      </w:r>
      <w:proofErr w:type="spellStart"/>
      <w:r w:rsidRPr="000465F6">
        <w:rPr>
          <w:rFonts w:ascii="Arial" w:hAnsi="Arial" w:cs="Arial"/>
          <w:sz w:val="20"/>
          <w:szCs w:val="20"/>
        </w:rPr>
        <w:t>ngày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28/6/2024 </w:t>
      </w:r>
      <w:proofErr w:type="spellStart"/>
      <w:r w:rsidRPr="000465F6">
        <w:rPr>
          <w:rFonts w:ascii="Arial" w:hAnsi="Arial" w:cs="Arial"/>
          <w:sz w:val="20"/>
          <w:szCs w:val="20"/>
        </w:rPr>
        <w:t>của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Bộ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Tài</w:t>
      </w:r>
      <w:proofErr w:type="spellEnd"/>
      <w:r w:rsidRPr="00046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5F6">
        <w:rPr>
          <w:rFonts w:ascii="Arial" w:hAnsi="Arial" w:cs="Arial"/>
          <w:sz w:val="20"/>
          <w:szCs w:val="20"/>
        </w:rPr>
        <w:t>chính</w:t>
      </w:r>
      <w:proofErr w:type="spellEnd"/>
      <w:r w:rsidRPr="000465F6">
        <w:rPr>
          <w:rFonts w:ascii="Arial" w:hAnsi="Arial" w:cs="Arial"/>
          <w:sz w:val="20"/>
          <w:szCs w:val="20"/>
        </w:rPr>
        <w:t>./.</w:t>
      </w:r>
    </w:p>
    <w:sectPr w:rsidR="00BF25E2" w:rsidRPr="000465F6" w:rsidSect="00896236">
      <w:pgSz w:w="16838" w:h="11906" w:orient="landscape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F6"/>
    <w:rsid w:val="000465F6"/>
    <w:rsid w:val="00433F53"/>
    <w:rsid w:val="004C26DB"/>
    <w:rsid w:val="007D538F"/>
    <w:rsid w:val="00896236"/>
    <w:rsid w:val="009B6015"/>
    <w:rsid w:val="00B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D22C3"/>
  <w15:chartTrackingRefBased/>
  <w15:docId w15:val="{26AF78A1-9752-4698-A8C3-9A1A925D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cp:lastPrinted>1601-01-01T00:00:00Z</cp:lastPrinted>
  <dcterms:created xsi:type="dcterms:W3CDTF">2024-07-04T01:25:00Z</dcterms:created>
  <dcterms:modified xsi:type="dcterms:W3CDTF">2024-07-04T01:25:00Z</dcterms:modified>
</cp:coreProperties>
</file>