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86A43" w:rsidRPr="00186A43" w14:paraId="6C492754" w14:textId="77777777">
        <w:tc>
          <w:tcPr>
            <w:tcW w:w="1645" w:type="pct"/>
          </w:tcPr>
          <w:p w14:paraId="66C745BE" w14:textId="7FBAC610" w:rsidR="00A55AB2" w:rsidRPr="00186A43" w:rsidRDefault="00456740" w:rsidP="004076A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CHÍNH PH</w:t>
            </w:r>
            <w:r w:rsidRPr="00186A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S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: 348/2025/NĐ-CP</w:t>
            </w:r>
          </w:p>
        </w:tc>
        <w:tc>
          <w:tcPr>
            <w:tcW w:w="3355" w:type="pct"/>
          </w:tcPr>
          <w:p w14:paraId="05CB88BB" w14:textId="29FD349C" w:rsidR="00A55AB2" w:rsidRPr="00186A43" w:rsidRDefault="00456740" w:rsidP="004076A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186A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30 tháng 12 năm 2025</w:t>
            </w:r>
          </w:p>
        </w:tc>
      </w:tr>
    </w:tbl>
    <w:p w14:paraId="432E6B79" w14:textId="77777777" w:rsidR="004076A1" w:rsidRPr="00186A43" w:rsidRDefault="004076A1" w:rsidP="004076A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C622C5" w14:textId="77777777" w:rsidR="004076A1" w:rsidRPr="00186A43" w:rsidRDefault="004076A1" w:rsidP="004076A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76A099" w14:textId="66DDE5CF" w:rsidR="00A55AB2" w:rsidRPr="00186A43" w:rsidRDefault="00456740" w:rsidP="004076A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AFBFAC0" w14:textId="1C5E9A94" w:rsidR="00A55AB2" w:rsidRPr="00186A43" w:rsidRDefault="00456740" w:rsidP="004076A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45/2019/NĐ-CP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br/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ngày 21 tháng 5 năm 2019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br/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hành chính trong lĩnh v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ch đư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br/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129/2021</w:t>
      </w:r>
      <w:r w:rsidR="004076A1" w:rsidRPr="00186A43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4076A1" w:rsidRPr="00186A43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-CP</w:t>
      </w:r>
    </w:p>
    <w:p w14:paraId="7667EF63" w14:textId="77777777" w:rsidR="004076A1" w:rsidRPr="00186A43" w:rsidRDefault="004076A1" w:rsidP="004076A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CF8A8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802B47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và Lu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0AD1F50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Du l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ch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09/2017/QH14;</w:t>
      </w:r>
    </w:p>
    <w:p w14:paraId="33B1BF1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ch;</w:t>
      </w:r>
    </w:p>
    <w:p w14:paraId="44FBF1DA" w14:textId="7E52D2C9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45/2019/NĐ-C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P ngày 21 tháng 5 năm 2019 c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ch đư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="005E58C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="005E58C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i/>
          <w:color w:val="000000" w:themeColor="text1"/>
          <w:sz w:val="20"/>
          <w:szCs w:val="20"/>
        </w:rPr>
        <w:t xml:space="preserve"> 129/2021/NĐ-CP.</w:t>
      </w:r>
    </w:p>
    <w:p w14:paraId="107A09A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1. Bãi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6</w:t>
      </w:r>
    </w:p>
    <w:p w14:paraId="34D0C36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Bãi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7”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8.</w:t>
      </w:r>
    </w:p>
    <w:p w14:paraId="47E6073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sung, bãi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7</w:t>
      </w:r>
    </w:p>
    <w:p w14:paraId="5EAE871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Bãi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5.</w:t>
      </w:r>
    </w:p>
    <w:p w14:paraId="68806DB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13.</w:t>
      </w:r>
    </w:p>
    <w:p w14:paraId="21FDFDD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13a sau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</w:t>
      </w:r>
    </w:p>
    <w:p w14:paraId="27FF09D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“13a.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kinh doanh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có khách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trái pháp lu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thì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21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282/2025/NĐ-CP ngày 30 tháng 10 năm 202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5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ninh,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i; phòng,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i; phòng,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 đình”.</w:t>
      </w:r>
    </w:p>
    <w:p w14:paraId="7E28C7C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15</w:t>
      </w:r>
    </w:p>
    <w:p w14:paraId="7D842AB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c”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ào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11”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a.</w:t>
      </w:r>
    </w:p>
    <w:p w14:paraId="526805E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13” thành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13”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b.</w:t>
      </w:r>
    </w:p>
    <w:p w14:paraId="7BB72AC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b” vào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9”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d.</w:t>
      </w:r>
    </w:p>
    <w:p w14:paraId="3CF13FE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3. Bãi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,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9</w:t>
      </w:r>
    </w:p>
    <w:p w14:paraId="0E2C731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Bãi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m b và”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10.</w:t>
      </w:r>
    </w:p>
    <w:p w14:paraId="5A47A60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10.</w:t>
      </w:r>
    </w:p>
    <w:p w14:paraId="09B9134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4. Thay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10</w:t>
      </w:r>
    </w:p>
    <w:p w14:paraId="1C24DE7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Thay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b” thành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b”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7.</w:t>
      </w:r>
    </w:p>
    <w:p w14:paraId="4D76342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5. Bãi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5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12</w:t>
      </w:r>
    </w:p>
    <w:p w14:paraId="4ABB57E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6.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19</w:t>
      </w:r>
    </w:p>
    <w:p w14:paraId="1027A79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19.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Thanh tra Hàng 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C55E71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Thanh tra viên thanh tra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68F018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73B277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</w:t>
      </w:r>
      <w:bookmarkStart w:id="0" w:name="_GoBack"/>
      <w:bookmarkEnd w:id="0"/>
      <w:r w:rsidRPr="00186A43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64A36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6DE0E6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thanh tra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FDB205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473A54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989D8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0E07D9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3DF39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3. Chánh thanh tra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6B813B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ED873F3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40.000.000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0E4F46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A8156C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EEA189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45BCF5B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7.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20</w:t>
      </w:r>
    </w:p>
    <w:p w14:paraId="7D2C8B62" w14:textId="174964F3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20.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403276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</w:t>
      </w:r>
    </w:p>
    <w:p w14:paraId="30EC1721" w14:textId="5C0A5088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0327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nhân dân xã, phư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khu (sau đây 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là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xã)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C400F73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09D8D0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387F9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D839E4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D5C864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19916E9" w14:textId="7721B566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0327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là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nh)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910A17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E0E39C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2CA6273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92FBE9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7AFF83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u 4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04D1D01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8.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21</w:t>
      </w:r>
    </w:p>
    <w:p w14:paraId="0027C23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21.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053827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soát viên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đang thi hành công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EC1D79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D77BBF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5719F3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F596D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Công Thương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2A9514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49F3AE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BA469C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30.0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D7B667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16B54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3.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C353AA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cáo;</w:t>
      </w:r>
    </w:p>
    <w:p w14:paraId="5118458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3027A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16F1DA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ED212B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C240DF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E383AE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E39AEE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5F6AF3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3AD147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1F7159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đ) Áp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0F04EF9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9.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22</w:t>
      </w:r>
    </w:p>
    <w:p w14:paraId="4B685F9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22.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 biên phòng</w:t>
      </w:r>
    </w:p>
    <w:p w14:paraId="7E28786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sĩ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biên phòng đang thi hành công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1A0D37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1DEB08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g;</w:t>
      </w:r>
    </w:p>
    <w:p w14:paraId="17276C4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E71F14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này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4430D6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B673BD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26F326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EEE1D1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Đoàn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FDFF77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E257BE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7.500.000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F0F276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15.000.000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36890F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biên phòng,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biên phòng,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huy Biên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D8EEE3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F555F3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932936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4DA8C3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50329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5. Đoàn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9B14DA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1FBE89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817A1A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DA2777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CCDCF6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E9A344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huy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biên phòng;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đoàn biên phòng,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CD35DE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3C755C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50.0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32260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BE9D50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49F2CE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3989E02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10.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23</w:t>
      </w:r>
    </w:p>
    <w:p w14:paraId="7968E9E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23.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8E2CD9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viên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đang thi hành công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FF5DF0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679690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2.500.000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ABF23D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1CD961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704AF2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9C1269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1F34A0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D6AAA4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biên có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014570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75C105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EBE78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20.000.000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1DB43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897156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71C89B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DD5E3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ch thu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37471A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39997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đoàn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 Đoàn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trinh sát, Đoàn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ma túy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DC15D3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E230CC3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AD444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F20E41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BDACB6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B9023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6. Tư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Vùng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B9781E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E5F470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8355FD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2A9A13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09A1E4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889A8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7. Tư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A9E27B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0670B6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2C1E9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39D7F7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C2FB17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6CB80A7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11.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24</w:t>
      </w:r>
    </w:p>
    <w:p w14:paraId="6B77675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24.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5EC3611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Công an nhân dân đang thi hành công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86FD6D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592C8A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27BB5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E4B56F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B552C5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D91AAF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8589E8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20.000.000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AC6378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Công an,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đoàn,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14CD609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BBC069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568BE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E40FE3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30.000.000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E658F2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9307DF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45C4CB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F6B00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9CB462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hính;</w:t>
      </w:r>
    </w:p>
    <w:p w14:paraId="264ED83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9C9FA4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hàng không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giao thông;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;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cao;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An ninh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An ninh chính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u, môi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ma túy,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giao thông,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tư pháp,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ng phòng An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ninh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công ng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cao,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An ninh kinh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phòng An ninh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Chánh Văn phòng Cơ quan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Công an nhân dân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493E53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8CC496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284AD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4CBAE7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4F1B47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A54F3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BDDA35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0D0F63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823DC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E88ABB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C2FBE1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9BED3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7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.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Chánh văn phòng cơ quan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Công an,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ma túy,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giao thông,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phòng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cao,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giam và thi hành án hình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nh, Tư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Trung tâm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EE7482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9C86B8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8D1954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B577A1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5F4776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2E95DEE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12.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24a</w:t>
      </w:r>
    </w:p>
    <w:p w14:paraId="4695CD2A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24a.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ng cơ quan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 theo chuyên ngành, lĩnh v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BEC9E6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Khu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phía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c;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phía Nam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F85763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E15CB3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521DAA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ECDA18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1BA19E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B814BD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Công Thương,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A46B65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5CF106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B4707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C4A8E0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337300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573A710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Môi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lao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ngoài nư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Chánh Văn phòng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810113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B71FAE6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50.000.000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EB303C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4A4A1F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AE55A5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3BC69F0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13.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24b</w:t>
      </w:r>
    </w:p>
    <w:p w14:paraId="4DCED17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24b.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hàng 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y</w:t>
      </w:r>
    </w:p>
    <w:p w14:paraId="12459AF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357CBE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A373225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12.500.000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8B7043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A5E845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hành chính có giá tr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quá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08F5A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DC5941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có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FCDF5D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B5E072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449A1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FD920A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7C58F0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110C4DB8" w14:textId="77777777" w:rsidR="00A55AB2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14.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25</w:t>
      </w:r>
    </w:p>
    <w:p w14:paraId="4597F4B3" w14:textId="64754688" w:rsidR="0055263C" w:rsidRPr="00186A43" w:rsidRDefault="0055263C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“Điều 25. Phân định thẩm quyền xử phạt vi phạm hành chính trong lĩnh vực du lịch</w:t>
      </w:r>
    </w:p>
    <w:p w14:paraId="200E4757" w14:textId="1DAA5EF8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0327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chính,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D3909F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ch,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Chánh Văn phòng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282/2025/NĐ-CP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52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122/2021/NĐ-CP ngày 28 tháng 12 năm 2021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ính trong lĩnh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và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7560108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lastRenderedPageBreak/>
        <w:t>3.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Khu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phía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c;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phía Nam;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y; Giám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p; Thanh tra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Nam;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680DE7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lao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ngoài nư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7; hành vi không có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kinh doanh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hành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FEA0334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Môi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11;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13;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3, các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g, h và i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F89A2C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Công Thương,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6;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8;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10;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369D2B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biên phòng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4,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5, 6 và 7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6;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8,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9,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10 và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13a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7;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1, 2, 3, 4 và 5,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b và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6,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7, 8 và 9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14;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2, 3, 4, 5, 6 và 7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0388042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8.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5, 6 và 7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6;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7;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14;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2, 3, 4, 5, 6 và 7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29D28FC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9. Công an nhân dân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4,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5, 6 và 7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6;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1,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8,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9,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13,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13a,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7;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8;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6,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7, 8 và 9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9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10;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13;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14; các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2, 3, 4, 5, 6, 7 và 8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15;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k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l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16 và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423A308D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15. S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 xml:space="preserve"> sung kh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1 và kho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2 c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26</w:t>
      </w:r>
    </w:p>
    <w:p w14:paraId="4D65655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“1. Ngư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19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24b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theo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5EEA050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viên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tra, thanh tra trong lĩnh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ch,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và chuy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sơ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hành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t.”</w:t>
      </w:r>
    </w:p>
    <w:p w14:paraId="6E88FCBE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16.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8550381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ngày 15 tháng 02 năm 2026.</w:t>
      </w:r>
    </w:p>
    <w:p w14:paraId="107436B8" w14:textId="77777777" w:rsidR="00A55AB2" w:rsidRPr="00186A43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17. Đi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563F5ED" w14:textId="238322C8" w:rsidR="00A55AB2" w:rsidRDefault="00456740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6A4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đang trong quá trình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đã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ban hành ho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hi hành xong trư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thi hành mà cá nhân,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còn khi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 thì áp d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45/2019/NĐ-CP ngày 21 tháng 5 năm 2019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t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rong lĩnh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ch;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129/2021/NĐ-CP ngày 30 tháng 12 năm 2021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 du l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ch; th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thao</w:t>
      </w:r>
      <w:r w:rsidR="0011161C">
        <w:rPr>
          <w:rFonts w:ascii="Arial" w:hAnsi="Arial" w:cs="Arial"/>
          <w:color w:val="000000" w:themeColor="text1"/>
          <w:sz w:val="20"/>
          <w:szCs w:val="20"/>
        </w:rPr>
        <w:t>;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 liên quan; văn hóa và qu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86A43">
        <w:rPr>
          <w:rFonts w:ascii="Arial" w:hAnsi="Arial" w:cs="Arial"/>
          <w:color w:val="000000" w:themeColor="text1"/>
          <w:sz w:val="20"/>
          <w:szCs w:val="20"/>
        </w:rPr>
        <w:t xml:space="preserve"> cáo./.</w:t>
      </w:r>
    </w:p>
    <w:p w14:paraId="33BB2D89" w14:textId="77777777" w:rsidR="00186A43" w:rsidRPr="00186A43" w:rsidRDefault="00186A43" w:rsidP="00186A4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186A43" w:rsidRPr="00186A43" w14:paraId="3CA5D655" w14:textId="77777777" w:rsidTr="00186A43">
        <w:tc>
          <w:tcPr>
            <w:tcW w:w="2936" w:type="pct"/>
          </w:tcPr>
          <w:p w14:paraId="76DE7111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186A4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186A4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</w:p>
          <w:p w14:paraId="4EA48F90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14:paraId="1A2460DB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0A4675C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Các b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3E1DF7EF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</w:p>
          <w:p w14:paraId="1EBD588E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14:paraId="60FAFE86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Văn phòng 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</w:p>
          <w:p w14:paraId="18034AB3" w14:textId="62418A85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B611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</w:p>
          <w:p w14:paraId="51557DB5" w14:textId="1848DD6D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40327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</w:p>
          <w:p w14:paraId="57C469EF" w14:textId="3FA2C3E2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B611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</w:p>
          <w:p w14:paraId="2520E638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</w:p>
          <w:p w14:paraId="7A2CB780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</w:p>
          <w:p w14:paraId="20889C71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</w:p>
          <w:p w14:paraId="33E6671B" w14:textId="07D120B8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0327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</w:p>
          <w:p w14:paraId="290E384C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Cơ quan trung 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 c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</w:p>
          <w:p w14:paraId="21928C02" w14:textId="77777777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c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</w:p>
          <w:p w14:paraId="0E11FEBF" w14:textId="34C55C21" w:rsidR="00A55AB2" w:rsidRPr="00186A43" w:rsidRDefault="00456740" w:rsidP="00186A4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KGVX (2).</w:t>
            </w:r>
          </w:p>
        </w:tc>
        <w:tc>
          <w:tcPr>
            <w:tcW w:w="2064" w:type="pct"/>
          </w:tcPr>
          <w:p w14:paraId="6366ACF1" w14:textId="77777777" w:rsidR="00A55AB2" w:rsidRPr="00186A43" w:rsidRDefault="00456740" w:rsidP="00186A4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</w:p>
          <w:p w14:paraId="7505854B" w14:textId="77777777" w:rsidR="00A55AB2" w:rsidRPr="00186A43" w:rsidRDefault="00456740" w:rsidP="00186A4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  <w:p w14:paraId="6FD79617" w14:textId="77777777" w:rsidR="00A55AB2" w:rsidRPr="00186A43" w:rsidRDefault="00456740" w:rsidP="00186A4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PHÓ TH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86A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Mai Văn Chính</w:t>
            </w:r>
          </w:p>
        </w:tc>
      </w:tr>
    </w:tbl>
    <w:p w14:paraId="411C5CF6" w14:textId="77777777" w:rsidR="003A42C4" w:rsidRPr="00186A43" w:rsidRDefault="003A42C4" w:rsidP="004076A1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A42C4" w:rsidRPr="00186A43" w:rsidSect="004076A1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7A5F" w14:textId="77777777" w:rsidR="00456740" w:rsidRDefault="00456740">
      <w:pPr>
        <w:spacing w:after="0" w:line="240" w:lineRule="auto"/>
      </w:pPr>
      <w:r>
        <w:separator/>
      </w:r>
    </w:p>
  </w:endnote>
  <w:endnote w:type="continuationSeparator" w:id="0">
    <w:p w14:paraId="5BCDCCDA" w14:textId="77777777" w:rsidR="00456740" w:rsidRDefault="0045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8546" w14:textId="77777777" w:rsidR="00486DBB" w:rsidRDefault="00486DBB">
    <w:pPr>
      <w:pStyle w:val="Footer"/>
      <w:rPr>
        <w:noProof/>
      </w:rPr>
    </w:pPr>
  </w:p>
  <w:p w14:paraId="54D42E02" w14:textId="570C43E4" w:rsidR="002676FA" w:rsidRDefault="00267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60F29" w14:textId="77777777" w:rsidR="00456740" w:rsidRDefault="00456740">
      <w:pPr>
        <w:spacing w:after="0" w:line="240" w:lineRule="auto"/>
      </w:pPr>
      <w:r>
        <w:separator/>
      </w:r>
    </w:p>
  </w:footnote>
  <w:footnote w:type="continuationSeparator" w:id="0">
    <w:p w14:paraId="23815CE0" w14:textId="77777777" w:rsidR="00456740" w:rsidRDefault="00456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B2"/>
    <w:rsid w:val="0011161C"/>
    <w:rsid w:val="00186A43"/>
    <w:rsid w:val="002676FA"/>
    <w:rsid w:val="003A42C4"/>
    <w:rsid w:val="00403276"/>
    <w:rsid w:val="004076A1"/>
    <w:rsid w:val="00456740"/>
    <w:rsid w:val="00486DBB"/>
    <w:rsid w:val="0055263C"/>
    <w:rsid w:val="005E58CE"/>
    <w:rsid w:val="0080268D"/>
    <w:rsid w:val="00A55AB2"/>
    <w:rsid w:val="00AC5975"/>
    <w:rsid w:val="00B61160"/>
    <w:rsid w:val="00D06668"/>
    <w:rsid w:val="00E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6FF7"/>
  <w15:docId w15:val="{3A180FEB-1B9C-4305-92C2-2D265EA5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A1"/>
  </w:style>
  <w:style w:type="paragraph" w:styleId="Footer">
    <w:name w:val="footer"/>
    <w:basedOn w:val="Normal"/>
    <w:link w:val="FooterChar"/>
    <w:uiPriority w:val="99"/>
    <w:unhideWhenUsed/>
    <w:rsid w:val="0040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3228</Words>
  <Characters>18403</Characters>
  <Application>Microsoft Office Word</Application>
  <DocSecurity>0</DocSecurity>
  <Lines>153</Lines>
  <Paragraphs>43</Paragraphs>
  <ScaleCrop>false</ScaleCrop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Ngọt .</dc:creator>
  <cp:lastModifiedBy>NGUYỄN XUÂN HUY</cp:lastModifiedBy>
  <cp:revision>4</cp:revision>
  <dcterms:created xsi:type="dcterms:W3CDTF">2025-12-31T08:19:00Z</dcterms:created>
  <dcterms:modified xsi:type="dcterms:W3CDTF">2026-01-05T04:36:00Z</dcterms:modified>
</cp:coreProperties>
</file>