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545"/>
        <w:gridCol w:w="5475"/>
      </w:tblGrid>
      <w:tr w:rsidR="00CC06F6" w:rsidRPr="00597990" w:rsidTr="00CC06F6">
        <w:tc>
          <w:tcPr>
            <w:tcW w:w="1965" w:type="pct"/>
            <w:shd w:val="clear" w:color="auto" w:fill="auto"/>
          </w:tcPr>
          <w:p w:rsidR="00CC06F6" w:rsidRPr="00597990" w:rsidRDefault="00CC06F6" w:rsidP="00CC06F6">
            <w:pPr>
              <w:pStyle w:val="Vnbnnidung0"/>
              <w:spacing w:after="0" w:line="240" w:lineRule="auto"/>
              <w:ind w:firstLine="0"/>
              <w:jc w:val="center"/>
              <w:rPr>
                <w:rFonts w:ascii="Arial" w:hAnsi="Arial" w:cs="Arial"/>
                <w:b/>
                <w:bCs/>
                <w:sz w:val="20"/>
                <w:szCs w:val="20"/>
              </w:rPr>
            </w:pPr>
            <w:proofErr w:type="spellStart"/>
            <w:r>
              <w:rPr>
                <w:rFonts w:ascii="Arial" w:hAnsi="Arial" w:cs="Arial"/>
                <w:b/>
                <w:bCs/>
                <w:sz w:val="20"/>
                <w:szCs w:val="20"/>
                <w:lang w:val="en-US"/>
              </w:rPr>
              <w:t>THỦ</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TƯỚNG</w:t>
            </w:r>
            <w:proofErr w:type="spellEnd"/>
            <w:r w:rsidRPr="00597990">
              <w:rPr>
                <w:rFonts w:ascii="Arial" w:hAnsi="Arial" w:cs="Arial"/>
                <w:b/>
                <w:bCs/>
                <w:sz w:val="20"/>
                <w:szCs w:val="20"/>
              </w:rPr>
              <w:t xml:space="preserve"> CHÍNH PHỦ </w:t>
            </w:r>
          </w:p>
          <w:p w:rsidR="00CC06F6" w:rsidRPr="00597990" w:rsidRDefault="00CC06F6" w:rsidP="00CC06F6">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CC06F6" w:rsidRPr="00CC06F6" w:rsidRDefault="00CC06F6" w:rsidP="00CC06F6">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1726/</w:t>
            </w:r>
            <w:proofErr w:type="spellStart"/>
            <w:r>
              <w:rPr>
                <w:rFonts w:ascii="Arial" w:hAnsi="Arial" w:cs="Arial"/>
                <w:bCs/>
                <w:sz w:val="20"/>
                <w:szCs w:val="20"/>
                <w:lang w:val="en-US"/>
              </w:rPr>
              <w:t>QĐ-TTg</w:t>
            </w:r>
            <w:proofErr w:type="spellEnd"/>
          </w:p>
        </w:tc>
        <w:tc>
          <w:tcPr>
            <w:tcW w:w="3035" w:type="pct"/>
            <w:shd w:val="clear" w:color="auto" w:fill="auto"/>
          </w:tcPr>
          <w:p w:rsidR="00CC06F6" w:rsidRPr="00597990" w:rsidRDefault="00CC06F6" w:rsidP="00CC06F6">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CC06F6" w:rsidRPr="00597990" w:rsidRDefault="00CC06F6" w:rsidP="00CC06F6">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CC06F6" w:rsidRPr="00597990" w:rsidRDefault="00CC06F6" w:rsidP="00CC06F6">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CC06F6" w:rsidRPr="00597990" w:rsidRDefault="00CC06F6" w:rsidP="00CC06F6">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29</w:t>
            </w:r>
            <w:r>
              <w:rPr>
                <w:rFonts w:ascii="Arial" w:hAnsi="Arial" w:cs="Arial"/>
                <w:i/>
                <w:iCs/>
                <w:sz w:val="20"/>
                <w:szCs w:val="20"/>
              </w:rPr>
              <w:t xml:space="preserve"> tháng 12</w:t>
            </w:r>
            <w:r w:rsidRPr="00597990">
              <w:rPr>
                <w:rFonts w:ascii="Arial" w:hAnsi="Arial" w:cs="Arial"/>
                <w:i/>
                <w:iCs/>
                <w:sz w:val="20"/>
                <w:szCs w:val="20"/>
              </w:rPr>
              <w:t xml:space="preserve"> năm 2023</w:t>
            </w:r>
          </w:p>
        </w:tc>
      </w:tr>
    </w:tbl>
    <w:p w:rsidR="00CC06F6" w:rsidRDefault="00CC06F6" w:rsidP="005155EF">
      <w:pPr>
        <w:pStyle w:val="Vnbnnidung0"/>
        <w:spacing w:after="0" w:line="240" w:lineRule="auto"/>
        <w:ind w:firstLine="0"/>
        <w:jc w:val="center"/>
        <w:rPr>
          <w:rFonts w:ascii="Arial" w:hAnsi="Arial" w:cs="Arial"/>
          <w:b/>
          <w:bCs/>
          <w:sz w:val="20"/>
          <w:szCs w:val="20"/>
        </w:rPr>
      </w:pPr>
    </w:p>
    <w:p w:rsidR="00CC06F6" w:rsidRDefault="00CC06F6" w:rsidP="005155EF">
      <w:pPr>
        <w:pStyle w:val="Vnbnnidung0"/>
        <w:spacing w:after="0" w:line="240" w:lineRule="auto"/>
        <w:ind w:firstLine="0"/>
        <w:jc w:val="center"/>
        <w:rPr>
          <w:rFonts w:ascii="Arial" w:hAnsi="Arial" w:cs="Arial"/>
          <w:b/>
          <w:bCs/>
          <w:sz w:val="20"/>
          <w:szCs w:val="20"/>
        </w:rPr>
      </w:pPr>
    </w:p>
    <w:p w:rsidR="00560C54" w:rsidRPr="00FA714D" w:rsidRDefault="005155EF" w:rsidP="005155EF">
      <w:pPr>
        <w:pStyle w:val="Vnbnnidung0"/>
        <w:spacing w:after="0" w:line="240" w:lineRule="auto"/>
        <w:ind w:firstLine="0"/>
        <w:jc w:val="center"/>
        <w:rPr>
          <w:rFonts w:ascii="Arial" w:hAnsi="Arial" w:cs="Arial"/>
          <w:sz w:val="20"/>
          <w:szCs w:val="20"/>
        </w:rPr>
      </w:pPr>
      <w:r w:rsidRPr="00FA714D">
        <w:rPr>
          <w:rFonts w:ascii="Arial" w:hAnsi="Arial" w:cs="Arial"/>
          <w:b/>
          <w:bCs/>
          <w:sz w:val="20"/>
          <w:szCs w:val="20"/>
        </w:rPr>
        <w:t>QUYẾT ĐỊNH</w:t>
      </w:r>
    </w:p>
    <w:p w:rsidR="00560C54" w:rsidRDefault="00D86E80" w:rsidP="005155EF">
      <w:pPr>
        <w:pStyle w:val="Vnbnnidung0"/>
        <w:spacing w:after="0" w:line="240" w:lineRule="auto"/>
        <w:ind w:firstLine="0"/>
        <w:jc w:val="center"/>
        <w:rPr>
          <w:rFonts w:ascii="Arial" w:hAnsi="Arial" w:cs="Arial"/>
          <w:b/>
          <w:bCs/>
          <w:sz w:val="20"/>
          <w:szCs w:val="20"/>
        </w:rPr>
      </w:pPr>
      <w:r w:rsidRPr="00FA714D">
        <w:rPr>
          <w:rFonts w:ascii="Arial" w:hAnsi="Arial" w:cs="Arial"/>
          <w:b/>
          <w:bCs/>
          <w:sz w:val="20"/>
          <w:szCs w:val="20"/>
        </w:rPr>
        <w:t xml:space="preserve">Phê duyệt Chiến lược </w:t>
      </w:r>
      <w:r w:rsidR="00D87082">
        <w:rPr>
          <w:rFonts w:ascii="Arial" w:hAnsi="Arial" w:cs="Arial"/>
          <w:b/>
          <w:bCs/>
          <w:sz w:val="20"/>
          <w:szCs w:val="20"/>
        </w:rPr>
        <w:t>phát triển</w:t>
      </w:r>
      <w:r w:rsidRPr="00FA714D">
        <w:rPr>
          <w:rFonts w:ascii="Arial" w:hAnsi="Arial" w:cs="Arial"/>
          <w:b/>
          <w:bCs/>
          <w:sz w:val="20"/>
          <w:szCs w:val="20"/>
        </w:rPr>
        <w:t xml:space="preserve"> thị trường chứng khoán đến năm 2030</w:t>
      </w:r>
    </w:p>
    <w:p w:rsidR="005155EF" w:rsidRPr="005155EF" w:rsidRDefault="005155EF" w:rsidP="005155EF">
      <w:pPr>
        <w:pStyle w:val="Vnbnnidung0"/>
        <w:spacing w:after="0" w:line="240" w:lineRule="auto"/>
        <w:ind w:firstLine="0"/>
        <w:jc w:val="center"/>
        <w:rPr>
          <w:rFonts w:ascii="Arial" w:hAnsi="Arial" w:cs="Arial"/>
          <w:sz w:val="20"/>
          <w:szCs w:val="20"/>
          <w:vertAlign w:val="superscript"/>
          <w:lang w:val="en-US"/>
        </w:rPr>
      </w:pPr>
      <w:r w:rsidRPr="005155EF">
        <w:rPr>
          <w:rFonts w:ascii="Arial" w:hAnsi="Arial" w:cs="Arial"/>
          <w:bCs/>
          <w:sz w:val="20"/>
          <w:szCs w:val="20"/>
          <w:vertAlign w:val="superscript"/>
          <w:lang w:val="en-US"/>
        </w:rPr>
        <w:t>___________</w:t>
      </w:r>
    </w:p>
    <w:p w:rsidR="00560C54" w:rsidRDefault="00D86E80" w:rsidP="005155EF">
      <w:pPr>
        <w:pStyle w:val="Tiu10"/>
        <w:keepNext/>
        <w:keepLines/>
        <w:spacing w:after="0"/>
        <w:ind w:firstLine="0"/>
        <w:jc w:val="center"/>
        <w:outlineLvl w:val="9"/>
        <w:rPr>
          <w:rFonts w:ascii="Arial" w:hAnsi="Arial" w:cs="Arial"/>
          <w:sz w:val="20"/>
          <w:szCs w:val="20"/>
        </w:rPr>
      </w:pPr>
      <w:bookmarkStart w:id="0" w:name="bookmark0"/>
      <w:bookmarkStart w:id="1" w:name="bookmark1"/>
      <w:bookmarkStart w:id="2" w:name="bookmark2"/>
      <w:r w:rsidRPr="00FA714D">
        <w:rPr>
          <w:rFonts w:ascii="Arial" w:hAnsi="Arial" w:cs="Arial"/>
          <w:sz w:val="20"/>
          <w:szCs w:val="20"/>
        </w:rPr>
        <w:t>THỦ TƯỚNG CHÍNH PHỦ</w:t>
      </w:r>
      <w:bookmarkEnd w:id="0"/>
      <w:bookmarkEnd w:id="1"/>
      <w:bookmarkEnd w:id="2"/>
    </w:p>
    <w:p w:rsidR="005155EF" w:rsidRPr="00FA714D" w:rsidRDefault="005155EF" w:rsidP="005155EF">
      <w:pPr>
        <w:pStyle w:val="Tiu10"/>
        <w:keepNext/>
        <w:keepLines/>
        <w:spacing w:after="0"/>
        <w:ind w:firstLine="0"/>
        <w:jc w:val="center"/>
        <w:outlineLvl w:val="9"/>
        <w:rPr>
          <w:rFonts w:ascii="Arial" w:hAnsi="Arial" w:cs="Arial"/>
          <w:sz w:val="20"/>
          <w:szCs w:val="20"/>
        </w:rPr>
      </w:pPr>
    </w:p>
    <w:p w:rsidR="00560C54" w:rsidRPr="00FA714D" w:rsidRDefault="007868C0" w:rsidP="00FA714D">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Luật Tổ</w:t>
      </w:r>
      <w:r w:rsidR="00D86E80" w:rsidRPr="00FA714D">
        <w:rPr>
          <w:rFonts w:ascii="Arial" w:hAnsi="Arial" w:cs="Arial"/>
          <w:i/>
          <w:iCs/>
          <w:sz w:val="20"/>
          <w:szCs w:val="20"/>
        </w:rPr>
        <w:t xml:space="preserve"> chức Chính phủ ngày 19 </w:t>
      </w:r>
      <w:proofErr w:type="spellStart"/>
      <w:r>
        <w:rPr>
          <w:rFonts w:ascii="Arial" w:hAnsi="Arial" w:cs="Arial"/>
          <w:i/>
          <w:iCs/>
          <w:sz w:val="20"/>
          <w:szCs w:val="20"/>
          <w:lang w:val="en-US"/>
        </w:rPr>
        <w:t>tháng</w:t>
      </w:r>
      <w:proofErr w:type="spellEnd"/>
      <w:r w:rsidR="00D86E80" w:rsidRPr="00FA714D">
        <w:rPr>
          <w:rFonts w:ascii="Arial" w:hAnsi="Arial" w:cs="Arial"/>
          <w:i/>
          <w:iCs/>
          <w:sz w:val="20"/>
          <w:szCs w:val="20"/>
        </w:rPr>
        <w:t xml:space="preserve"> 6 năm 2015; Luật sửa </w:t>
      </w:r>
      <w:proofErr w:type="spellStart"/>
      <w:r w:rsidR="00BE014C">
        <w:rPr>
          <w:rFonts w:ascii="Arial" w:hAnsi="Arial" w:cs="Arial"/>
          <w:i/>
          <w:iCs/>
          <w:sz w:val="20"/>
          <w:szCs w:val="20"/>
          <w:lang w:val="en-US"/>
        </w:rPr>
        <w:t>đổi</w:t>
      </w:r>
      <w:proofErr w:type="spellEnd"/>
      <w:r w:rsidR="00BE014C">
        <w:rPr>
          <w:rFonts w:ascii="Arial" w:hAnsi="Arial" w:cs="Arial"/>
          <w:i/>
          <w:iCs/>
          <w:sz w:val="20"/>
          <w:szCs w:val="20"/>
          <w:lang w:val="en-US"/>
        </w:rPr>
        <w:t xml:space="preserve">, </w:t>
      </w:r>
      <w:proofErr w:type="spellStart"/>
      <w:r w:rsidR="00BE014C">
        <w:rPr>
          <w:rFonts w:ascii="Arial" w:hAnsi="Arial" w:cs="Arial"/>
          <w:i/>
          <w:iCs/>
          <w:sz w:val="20"/>
          <w:szCs w:val="20"/>
          <w:lang w:val="en-US"/>
        </w:rPr>
        <w:t>bổ</w:t>
      </w:r>
      <w:proofErr w:type="spellEnd"/>
      <w:r w:rsidR="00D86E80" w:rsidRPr="00FA714D">
        <w:rPr>
          <w:rFonts w:ascii="Arial" w:hAnsi="Arial" w:cs="Arial"/>
          <w:i/>
          <w:iCs/>
          <w:sz w:val="20"/>
          <w:szCs w:val="20"/>
        </w:rPr>
        <w:t xml:space="preserve"> sung một số điều của Luật T</w:t>
      </w:r>
      <w:r w:rsidR="00BE014C">
        <w:rPr>
          <w:rFonts w:ascii="Arial" w:hAnsi="Arial" w:cs="Arial"/>
          <w:i/>
          <w:iCs/>
          <w:sz w:val="20"/>
          <w:szCs w:val="20"/>
          <w:lang w:val="en-US"/>
        </w:rPr>
        <w:t>ổ</w:t>
      </w:r>
      <w:r w:rsidR="00D86E80" w:rsidRPr="00FA714D">
        <w:rPr>
          <w:rFonts w:ascii="Arial" w:hAnsi="Arial" w:cs="Arial"/>
          <w:i/>
          <w:iCs/>
          <w:sz w:val="20"/>
          <w:szCs w:val="20"/>
        </w:rPr>
        <w:t xml:space="preserve"> chức Chính phủ và Luật T</w:t>
      </w:r>
      <w:r w:rsidR="00BE014C">
        <w:rPr>
          <w:rFonts w:ascii="Arial" w:hAnsi="Arial" w:cs="Arial"/>
          <w:i/>
          <w:iCs/>
          <w:sz w:val="20"/>
          <w:szCs w:val="20"/>
          <w:lang w:val="en-US"/>
        </w:rPr>
        <w:t>ổ</w:t>
      </w:r>
      <w:r w:rsidR="00BE014C">
        <w:rPr>
          <w:rFonts w:ascii="Arial" w:hAnsi="Arial" w:cs="Arial"/>
          <w:i/>
          <w:iCs/>
          <w:sz w:val="20"/>
          <w:szCs w:val="20"/>
        </w:rPr>
        <w:t xml:space="preserve"> chức chính quyề</w:t>
      </w:r>
      <w:r w:rsidR="00D86E80" w:rsidRPr="00FA714D">
        <w:rPr>
          <w:rFonts w:ascii="Arial" w:hAnsi="Arial" w:cs="Arial"/>
          <w:i/>
          <w:iCs/>
          <w:sz w:val="20"/>
          <w:szCs w:val="20"/>
        </w:rPr>
        <w:t>n địa phương ngày 22 tháng 11 năm 2019;</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i/>
          <w:iCs/>
          <w:sz w:val="20"/>
          <w:szCs w:val="20"/>
        </w:rPr>
        <w:t>Căn cứ Luật Chứng kho</w:t>
      </w:r>
      <w:r w:rsidR="00BE014C">
        <w:rPr>
          <w:rFonts w:ascii="Arial" w:hAnsi="Arial" w:cs="Arial"/>
          <w:i/>
          <w:iCs/>
          <w:sz w:val="20"/>
          <w:szCs w:val="20"/>
          <w:lang w:val="en-US"/>
        </w:rPr>
        <w:t>á</w:t>
      </w:r>
      <w:r w:rsidRPr="00FA714D">
        <w:rPr>
          <w:rFonts w:ascii="Arial" w:hAnsi="Arial" w:cs="Arial"/>
          <w:i/>
          <w:iCs/>
          <w:sz w:val="20"/>
          <w:szCs w:val="20"/>
        </w:rPr>
        <w:t>n ngày 26 tháng 11 năm 2019;</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i/>
          <w:iCs/>
          <w:sz w:val="20"/>
          <w:szCs w:val="20"/>
        </w:rPr>
        <w:t xml:space="preserve">Căn cứ Nghị định </w:t>
      </w:r>
      <w:proofErr w:type="spellStart"/>
      <w:r w:rsidR="00BE014C">
        <w:rPr>
          <w:rFonts w:ascii="Arial" w:hAnsi="Arial" w:cs="Arial"/>
          <w:i/>
          <w:iCs/>
          <w:sz w:val="20"/>
          <w:szCs w:val="20"/>
          <w:lang w:val="en-US"/>
        </w:rPr>
        <w:t>số</w:t>
      </w:r>
      <w:proofErr w:type="spellEnd"/>
      <w:r w:rsidRPr="00FA714D">
        <w:rPr>
          <w:rFonts w:ascii="Arial" w:hAnsi="Arial" w:cs="Arial"/>
          <w:i/>
          <w:iCs/>
          <w:sz w:val="20"/>
          <w:szCs w:val="20"/>
        </w:rPr>
        <w:t xml:space="preserve"> 14/2023/NĐ-CP ngày 20 tháng 4 năm 2023 của Chính phủ quy định chức năng, nhiệm vụ, quy</w:t>
      </w:r>
      <w:r w:rsidR="00BE014C">
        <w:rPr>
          <w:rFonts w:ascii="Arial" w:hAnsi="Arial" w:cs="Arial"/>
          <w:i/>
          <w:iCs/>
          <w:sz w:val="20"/>
          <w:szCs w:val="20"/>
          <w:lang w:val="en-US"/>
        </w:rPr>
        <w:t>ề</w:t>
      </w:r>
      <w:r w:rsidR="00BE014C">
        <w:rPr>
          <w:rFonts w:ascii="Arial" w:hAnsi="Arial" w:cs="Arial"/>
          <w:i/>
          <w:iCs/>
          <w:sz w:val="20"/>
          <w:szCs w:val="20"/>
        </w:rPr>
        <w:t>n hạn và cơ cấ</w:t>
      </w:r>
      <w:r w:rsidRPr="00FA714D">
        <w:rPr>
          <w:rFonts w:ascii="Arial" w:hAnsi="Arial" w:cs="Arial"/>
          <w:i/>
          <w:iCs/>
          <w:sz w:val="20"/>
          <w:szCs w:val="20"/>
        </w:rPr>
        <w:t>u t</w:t>
      </w:r>
      <w:r w:rsidR="00BE014C">
        <w:rPr>
          <w:rFonts w:ascii="Arial" w:hAnsi="Arial" w:cs="Arial"/>
          <w:i/>
          <w:iCs/>
          <w:sz w:val="20"/>
          <w:szCs w:val="20"/>
          <w:lang w:val="en-US"/>
        </w:rPr>
        <w:t>ổ</w:t>
      </w:r>
      <w:r w:rsidR="00BE014C">
        <w:rPr>
          <w:rFonts w:ascii="Arial" w:hAnsi="Arial" w:cs="Arial"/>
          <w:i/>
          <w:iCs/>
          <w:sz w:val="20"/>
          <w:szCs w:val="20"/>
        </w:rPr>
        <w:t xml:space="preserve"> chức của Bộ Tài chí</w:t>
      </w:r>
      <w:r w:rsidRPr="00FA714D">
        <w:rPr>
          <w:rFonts w:ascii="Arial" w:hAnsi="Arial" w:cs="Arial"/>
          <w:i/>
          <w:iCs/>
          <w:sz w:val="20"/>
          <w:szCs w:val="20"/>
        </w:rPr>
        <w:t>nh;</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i/>
          <w:iCs/>
          <w:sz w:val="20"/>
          <w:szCs w:val="20"/>
        </w:rPr>
        <w:t>Căn cứ Nghị quyết số 16/2021/QH15 ngày 27 tháng</w:t>
      </w:r>
      <w:r w:rsidRPr="00FA714D">
        <w:rPr>
          <w:rFonts w:ascii="Arial" w:hAnsi="Arial" w:cs="Arial"/>
          <w:sz w:val="20"/>
          <w:szCs w:val="20"/>
        </w:rPr>
        <w:t xml:space="preserve"> 7 </w:t>
      </w:r>
      <w:r w:rsidR="00BE014C">
        <w:rPr>
          <w:rFonts w:ascii="Arial" w:hAnsi="Arial" w:cs="Arial"/>
          <w:i/>
          <w:iCs/>
          <w:sz w:val="20"/>
          <w:szCs w:val="20"/>
        </w:rPr>
        <w:t>năm 2021 của Quố</w:t>
      </w:r>
      <w:r w:rsidRPr="00FA714D">
        <w:rPr>
          <w:rFonts w:ascii="Arial" w:hAnsi="Arial" w:cs="Arial"/>
          <w:i/>
          <w:iCs/>
          <w:sz w:val="20"/>
          <w:szCs w:val="20"/>
        </w:rPr>
        <w:t>c hội v</w:t>
      </w:r>
      <w:r w:rsidR="00BE014C">
        <w:rPr>
          <w:rFonts w:ascii="Arial" w:hAnsi="Arial" w:cs="Arial"/>
          <w:i/>
          <w:iCs/>
          <w:sz w:val="20"/>
          <w:szCs w:val="20"/>
          <w:lang w:val="en-US"/>
        </w:rPr>
        <w:t>ề</w:t>
      </w:r>
      <w:r w:rsidRPr="00FA714D">
        <w:rPr>
          <w:rFonts w:ascii="Arial" w:hAnsi="Arial" w:cs="Arial"/>
          <w:i/>
          <w:iCs/>
          <w:sz w:val="20"/>
          <w:szCs w:val="20"/>
        </w:rPr>
        <w:t xml:space="preserve"> Kế hoạch phát </w:t>
      </w:r>
      <w:proofErr w:type="spellStart"/>
      <w:r w:rsidR="00BE014C">
        <w:rPr>
          <w:rFonts w:ascii="Arial" w:hAnsi="Arial" w:cs="Arial"/>
          <w:i/>
          <w:iCs/>
          <w:sz w:val="20"/>
          <w:szCs w:val="20"/>
          <w:lang w:val="en-US"/>
        </w:rPr>
        <w:t>triển</w:t>
      </w:r>
      <w:proofErr w:type="spellEnd"/>
      <w:r w:rsidR="00BE014C">
        <w:rPr>
          <w:rFonts w:ascii="Arial" w:hAnsi="Arial" w:cs="Arial"/>
          <w:i/>
          <w:iCs/>
          <w:sz w:val="20"/>
          <w:szCs w:val="20"/>
        </w:rPr>
        <w:t xml:space="preserve"> ki</w:t>
      </w:r>
      <w:r w:rsidRPr="00FA714D">
        <w:rPr>
          <w:rFonts w:ascii="Arial" w:hAnsi="Arial" w:cs="Arial"/>
          <w:i/>
          <w:iCs/>
          <w:sz w:val="20"/>
          <w:szCs w:val="20"/>
        </w:rPr>
        <w:t>nh tế - xã hội</w:t>
      </w:r>
      <w:r w:rsidRPr="00FA714D">
        <w:rPr>
          <w:rFonts w:ascii="Arial" w:hAnsi="Arial" w:cs="Arial"/>
          <w:sz w:val="20"/>
          <w:szCs w:val="20"/>
        </w:rPr>
        <w:t xml:space="preserve"> </w:t>
      </w:r>
      <w:r w:rsidRPr="00BE014C">
        <w:rPr>
          <w:rFonts w:ascii="Arial" w:hAnsi="Arial" w:cs="Arial"/>
          <w:i/>
          <w:sz w:val="20"/>
          <w:szCs w:val="20"/>
        </w:rPr>
        <w:t>5</w:t>
      </w:r>
      <w:r w:rsidRPr="00FA714D">
        <w:rPr>
          <w:rFonts w:ascii="Arial" w:hAnsi="Arial" w:cs="Arial"/>
          <w:sz w:val="20"/>
          <w:szCs w:val="20"/>
        </w:rPr>
        <w:t xml:space="preserve"> </w:t>
      </w:r>
      <w:r w:rsidRPr="00FA714D">
        <w:rPr>
          <w:rFonts w:ascii="Arial" w:hAnsi="Arial" w:cs="Arial"/>
          <w:i/>
          <w:iCs/>
          <w:sz w:val="20"/>
          <w:szCs w:val="20"/>
        </w:rPr>
        <w:t>năm 2021-2025;</w:t>
      </w:r>
    </w:p>
    <w:p w:rsidR="00560C54" w:rsidRDefault="00D86E80" w:rsidP="00BE014C">
      <w:pPr>
        <w:pStyle w:val="Vnbnnidung0"/>
        <w:spacing w:after="0" w:line="240" w:lineRule="auto"/>
        <w:ind w:firstLine="720"/>
        <w:jc w:val="both"/>
        <w:rPr>
          <w:rFonts w:ascii="Arial" w:hAnsi="Arial" w:cs="Arial"/>
          <w:i/>
          <w:iCs/>
          <w:sz w:val="20"/>
          <w:szCs w:val="20"/>
        </w:rPr>
      </w:pPr>
      <w:r w:rsidRPr="00FA714D">
        <w:rPr>
          <w:rFonts w:ascii="Arial" w:hAnsi="Arial" w:cs="Arial"/>
          <w:i/>
          <w:iCs/>
          <w:sz w:val="20"/>
          <w:szCs w:val="20"/>
        </w:rPr>
        <w:t>Theo đ</w:t>
      </w:r>
      <w:r w:rsidR="00BE014C">
        <w:rPr>
          <w:rFonts w:ascii="Arial" w:hAnsi="Arial" w:cs="Arial"/>
          <w:i/>
          <w:iCs/>
          <w:sz w:val="20"/>
          <w:szCs w:val="20"/>
          <w:lang w:val="en-US"/>
        </w:rPr>
        <w:t>ề</w:t>
      </w:r>
      <w:r w:rsidRPr="00FA714D">
        <w:rPr>
          <w:rFonts w:ascii="Arial" w:hAnsi="Arial" w:cs="Arial"/>
          <w:i/>
          <w:iCs/>
          <w:sz w:val="20"/>
          <w:szCs w:val="20"/>
        </w:rPr>
        <w:t xml:space="preserve"> nghị của Bộ trưởng Bộ Tài chính,</w:t>
      </w:r>
    </w:p>
    <w:p w:rsidR="00BE014C" w:rsidRPr="00FA714D" w:rsidRDefault="00BE014C" w:rsidP="00BE014C">
      <w:pPr>
        <w:pStyle w:val="Vnbnnidung0"/>
        <w:spacing w:after="0" w:line="240" w:lineRule="auto"/>
        <w:ind w:firstLine="720"/>
        <w:jc w:val="both"/>
        <w:rPr>
          <w:rFonts w:ascii="Arial" w:hAnsi="Arial" w:cs="Arial"/>
          <w:sz w:val="20"/>
          <w:szCs w:val="20"/>
        </w:rPr>
      </w:pPr>
    </w:p>
    <w:p w:rsidR="00560C54" w:rsidRDefault="00D86E80" w:rsidP="00730F6B">
      <w:pPr>
        <w:pStyle w:val="Tiu10"/>
        <w:keepNext/>
        <w:keepLines/>
        <w:spacing w:after="0"/>
        <w:ind w:firstLine="0"/>
        <w:jc w:val="center"/>
        <w:outlineLvl w:val="9"/>
        <w:rPr>
          <w:rFonts w:ascii="Arial" w:hAnsi="Arial" w:cs="Arial"/>
          <w:sz w:val="20"/>
          <w:szCs w:val="20"/>
        </w:rPr>
      </w:pPr>
      <w:bookmarkStart w:id="3" w:name="bookmark3"/>
      <w:bookmarkStart w:id="4" w:name="bookmark4"/>
      <w:bookmarkStart w:id="5" w:name="bookmark5"/>
      <w:r w:rsidRPr="00FA714D">
        <w:rPr>
          <w:rFonts w:ascii="Arial" w:hAnsi="Arial" w:cs="Arial"/>
          <w:sz w:val="20"/>
          <w:szCs w:val="20"/>
        </w:rPr>
        <w:t>QUYẾT ĐỊNH:</w:t>
      </w:r>
      <w:bookmarkEnd w:id="3"/>
      <w:bookmarkEnd w:id="4"/>
      <w:bookmarkEnd w:id="5"/>
    </w:p>
    <w:p w:rsidR="00730F6B" w:rsidRPr="00FA714D" w:rsidRDefault="00730F6B" w:rsidP="00730F6B">
      <w:pPr>
        <w:pStyle w:val="Tiu10"/>
        <w:keepNext/>
        <w:keepLines/>
        <w:spacing w:after="0"/>
        <w:ind w:firstLine="0"/>
        <w:jc w:val="center"/>
        <w:outlineLvl w:val="9"/>
        <w:rPr>
          <w:rFonts w:ascii="Arial" w:hAnsi="Arial" w:cs="Arial"/>
          <w:sz w:val="20"/>
          <w:szCs w:val="20"/>
        </w:rPr>
      </w:pP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b/>
          <w:bCs/>
          <w:sz w:val="20"/>
          <w:szCs w:val="20"/>
        </w:rPr>
        <w:t xml:space="preserve">Điều 1. </w:t>
      </w:r>
      <w:r w:rsidRPr="00FA714D">
        <w:rPr>
          <w:rFonts w:ascii="Arial" w:hAnsi="Arial" w:cs="Arial"/>
          <w:sz w:val="20"/>
          <w:szCs w:val="20"/>
        </w:rPr>
        <w:t>Phê duyệt Chiến lược phát triển thị trường chứng khoán đến năm 2030 với những nội dung chủ yếu sau:</w:t>
      </w:r>
    </w:p>
    <w:p w:rsidR="00560C54" w:rsidRPr="00FA714D" w:rsidRDefault="00E85AD9" w:rsidP="00E85AD9">
      <w:pPr>
        <w:pStyle w:val="Vnbnnidung0"/>
        <w:tabs>
          <w:tab w:val="left" w:pos="1073"/>
        </w:tabs>
        <w:spacing w:after="120" w:line="240" w:lineRule="auto"/>
        <w:ind w:firstLine="720"/>
        <w:jc w:val="both"/>
        <w:rPr>
          <w:rFonts w:ascii="Arial" w:hAnsi="Arial" w:cs="Arial"/>
          <w:sz w:val="20"/>
          <w:szCs w:val="20"/>
        </w:rPr>
      </w:pPr>
      <w:bookmarkStart w:id="6" w:name="bookmark6"/>
      <w:bookmarkEnd w:id="6"/>
      <w:r>
        <w:rPr>
          <w:rFonts w:ascii="Arial" w:hAnsi="Arial" w:cs="Arial"/>
          <w:b/>
          <w:bCs/>
          <w:sz w:val="20"/>
          <w:szCs w:val="20"/>
          <w:lang w:val="en-US"/>
        </w:rPr>
        <w:t xml:space="preserve">1. </w:t>
      </w:r>
      <w:r>
        <w:rPr>
          <w:rFonts w:ascii="Arial" w:hAnsi="Arial" w:cs="Arial"/>
          <w:b/>
          <w:bCs/>
          <w:sz w:val="20"/>
          <w:szCs w:val="20"/>
        </w:rPr>
        <w:t>Quan điể</w:t>
      </w:r>
      <w:r w:rsidR="00D86E80" w:rsidRPr="00FA714D">
        <w:rPr>
          <w:rFonts w:ascii="Arial" w:hAnsi="Arial" w:cs="Arial"/>
          <w:b/>
          <w:bCs/>
          <w:sz w:val="20"/>
          <w:szCs w:val="20"/>
        </w:rPr>
        <w:t>m phát triển</w:t>
      </w:r>
    </w:p>
    <w:p w:rsidR="00E85AD9" w:rsidRDefault="00E85AD9" w:rsidP="00E85AD9">
      <w:pPr>
        <w:pStyle w:val="Vnbnnidung0"/>
        <w:tabs>
          <w:tab w:val="left" w:pos="1122"/>
        </w:tabs>
        <w:spacing w:after="120" w:line="240" w:lineRule="auto"/>
        <w:ind w:firstLine="720"/>
        <w:jc w:val="both"/>
        <w:rPr>
          <w:rFonts w:ascii="Arial" w:hAnsi="Arial" w:cs="Arial"/>
          <w:sz w:val="20"/>
          <w:szCs w:val="20"/>
        </w:rPr>
      </w:pPr>
      <w:bookmarkStart w:id="7" w:name="bookmark7"/>
      <w:bookmarkEnd w:id="7"/>
      <w:r>
        <w:rPr>
          <w:rFonts w:ascii="Arial" w:hAnsi="Arial" w:cs="Arial"/>
          <w:sz w:val="20"/>
          <w:szCs w:val="20"/>
          <w:lang w:val="en-US"/>
        </w:rPr>
        <w:t xml:space="preserve">a) </w:t>
      </w:r>
      <w:r w:rsidR="00D86E80" w:rsidRPr="00FA714D">
        <w:rPr>
          <w:rFonts w:ascii="Arial" w:hAnsi="Arial" w:cs="Arial"/>
          <w:sz w:val="20"/>
          <w:szCs w:val="20"/>
        </w:rPr>
        <w:t xml:space="preserve">Bám sát quan điểm, mục tiêu, nhiệm vụ, giải pháp về phát triển thị trường vốn, thị trường chứng khoán (TTCK) tại Văn kiện, Nghị quyết của Đảng, các Nghị quyết của Quốc hội và Chính phủ; phù hợp với Chiến lược phát triển kinh tế - xã hội 10 năm 2021 - 2030; là một bộ phận của Chiến </w:t>
      </w:r>
      <w:proofErr w:type="spellStart"/>
      <w:r>
        <w:rPr>
          <w:rFonts w:ascii="Arial" w:hAnsi="Arial" w:cs="Arial"/>
          <w:sz w:val="20"/>
          <w:szCs w:val="20"/>
          <w:lang w:val="en-US"/>
        </w:rPr>
        <w:t>lược</w:t>
      </w:r>
      <w:proofErr w:type="spellEnd"/>
      <w:r w:rsidR="00D86E80" w:rsidRPr="00FA714D">
        <w:rPr>
          <w:rFonts w:ascii="Arial" w:hAnsi="Arial" w:cs="Arial"/>
          <w:sz w:val="20"/>
          <w:szCs w:val="20"/>
        </w:rPr>
        <w:t xml:space="preserve"> tài chính đến năm 2030 đã được Thủ tướng Chính phủ phê duyệt tại Quyết định </w:t>
      </w:r>
      <w:proofErr w:type="spellStart"/>
      <w:r>
        <w:rPr>
          <w:rFonts w:ascii="Arial" w:hAnsi="Arial" w:cs="Arial"/>
          <w:sz w:val="20"/>
          <w:szCs w:val="20"/>
          <w:lang w:val="en-US"/>
        </w:rPr>
        <w:t>số</w:t>
      </w:r>
      <w:proofErr w:type="spellEnd"/>
      <w:r w:rsidR="00D86E80" w:rsidRPr="00FA714D">
        <w:rPr>
          <w:rFonts w:ascii="Arial" w:hAnsi="Arial" w:cs="Arial"/>
          <w:sz w:val="20"/>
          <w:szCs w:val="20"/>
        </w:rPr>
        <w:t xml:space="preserve"> 368/QĐ-TTg ngày 21 tháng 3 năm 2022 và đồng bộ với chiến lược phát triển của các ngành, lĩnh vực liên quan.</w:t>
      </w:r>
      <w:bookmarkStart w:id="8" w:name="bookmark8"/>
      <w:bookmarkEnd w:id="8"/>
    </w:p>
    <w:p w:rsidR="00E85AD9" w:rsidRDefault="00E85AD9" w:rsidP="00E85AD9">
      <w:pPr>
        <w:pStyle w:val="Vnbnnidung0"/>
        <w:tabs>
          <w:tab w:val="left" w:pos="112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86E80" w:rsidRPr="00FA714D">
        <w:rPr>
          <w:rFonts w:ascii="Arial" w:hAnsi="Arial" w:cs="Arial"/>
          <w:sz w:val="20"/>
          <w:szCs w:val="20"/>
        </w:rPr>
        <w:t xml:space="preserve">Phát triển TTCK đồng bộ và thống nhất trong tổng thể thị trường tài chính của đất nước, gắn liền với </w:t>
      </w:r>
      <w:proofErr w:type="spellStart"/>
      <w:r>
        <w:rPr>
          <w:rFonts w:ascii="Arial" w:hAnsi="Arial" w:cs="Arial"/>
          <w:sz w:val="20"/>
          <w:szCs w:val="20"/>
          <w:lang w:val="en-US"/>
        </w:rPr>
        <w:t>đổi</w:t>
      </w:r>
      <w:proofErr w:type="spellEnd"/>
      <w:r w:rsidR="00D86E80" w:rsidRPr="00FA714D">
        <w:rPr>
          <w:rFonts w:ascii="Arial" w:hAnsi="Arial" w:cs="Arial"/>
          <w:sz w:val="20"/>
          <w:szCs w:val="20"/>
        </w:rPr>
        <w:t xml:space="preserve"> </w:t>
      </w:r>
      <w:r>
        <w:rPr>
          <w:rFonts w:ascii="Arial" w:hAnsi="Arial" w:cs="Arial"/>
          <w:sz w:val="20"/>
          <w:szCs w:val="20"/>
        </w:rPr>
        <w:t>mới mô hình tăng trưởng và cơ cấu lại nề</w:t>
      </w:r>
      <w:r w:rsidR="00D86E80" w:rsidRPr="00FA714D">
        <w:rPr>
          <w:rFonts w:ascii="Arial" w:hAnsi="Arial" w:cs="Arial"/>
          <w:sz w:val="20"/>
          <w:szCs w:val="20"/>
        </w:rPr>
        <w:t>n kinh tế thị trường định hướng xã hội chủ ngh</w:t>
      </w:r>
      <w:r>
        <w:rPr>
          <w:rFonts w:ascii="Arial" w:hAnsi="Arial" w:cs="Arial"/>
          <w:sz w:val="20"/>
          <w:szCs w:val="20"/>
        </w:rPr>
        <w:t>ĩa; đẩy mạnh cơ cấu lại TTCK nhằ</w:t>
      </w:r>
      <w:r w:rsidR="00D86E80" w:rsidRPr="00FA714D">
        <w:rPr>
          <w:rFonts w:ascii="Arial" w:hAnsi="Arial" w:cs="Arial"/>
          <w:sz w:val="20"/>
          <w:szCs w:val="20"/>
        </w:rPr>
        <w:t>m hoàn chỉnh cấu trúc của thị trường tài chính nói chung và TTCK nói riêng.</w:t>
      </w:r>
      <w:bookmarkStart w:id="9" w:name="bookmark9"/>
      <w:bookmarkEnd w:id="9"/>
      <w:r w:rsidR="00FA714D">
        <w:rPr>
          <w:rFonts w:ascii="Arial" w:hAnsi="Arial" w:cs="Arial"/>
          <w:sz w:val="20"/>
          <w:szCs w:val="20"/>
          <w:lang w:val="en-US"/>
        </w:rPr>
        <w:t xml:space="preserve"> </w:t>
      </w:r>
    </w:p>
    <w:p w:rsidR="00B70DB6" w:rsidRDefault="00E85AD9" w:rsidP="00B70DB6">
      <w:pPr>
        <w:pStyle w:val="Vnbnnidung0"/>
        <w:tabs>
          <w:tab w:val="left" w:pos="112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Fonts w:ascii="Arial" w:hAnsi="Arial" w:cs="Arial"/>
          <w:sz w:val="20"/>
          <w:szCs w:val="20"/>
        </w:rPr>
        <w:t>Tiếp tục phát triể</w:t>
      </w:r>
      <w:r w:rsidR="00D86E80" w:rsidRPr="00FA714D">
        <w:rPr>
          <w:rFonts w:ascii="Arial" w:hAnsi="Arial" w:cs="Arial"/>
          <w:sz w:val="20"/>
          <w:szCs w:val="20"/>
        </w:rPr>
        <w:t>n TTCK về quy mô đồng thời tập trung nâng cao chất lượng thị trường, nâng cao năng lực tài chính v</w:t>
      </w:r>
      <w:r w:rsidR="00B70DB6">
        <w:rPr>
          <w:rFonts w:ascii="Arial" w:hAnsi="Arial" w:cs="Arial"/>
          <w:sz w:val="20"/>
          <w:szCs w:val="20"/>
        </w:rPr>
        <w:t>à khả năng cạnh tranh của các tổ</w:t>
      </w:r>
      <w:r w:rsidR="00D86E80" w:rsidRPr="00FA714D">
        <w:rPr>
          <w:rFonts w:ascii="Arial" w:hAnsi="Arial" w:cs="Arial"/>
          <w:sz w:val="20"/>
          <w:szCs w:val="20"/>
        </w:rPr>
        <w:t xml:space="preserve"> chức tham gia thị trường; chú trọng đổi mới, ứng dụng, phát triển công nghệ thông tin tiên tiến và tận dụng có hiệu quả thành tựu cách mạng công nghệ, tiếp cận với các thông lệ và chuẩn mực quốc tế.</w:t>
      </w:r>
      <w:bookmarkStart w:id="10" w:name="bookmark10"/>
      <w:bookmarkEnd w:id="10"/>
    </w:p>
    <w:p w:rsidR="00560C54" w:rsidRPr="00FA714D" w:rsidRDefault="00B70DB6" w:rsidP="00B70DB6">
      <w:pPr>
        <w:pStyle w:val="Vnbnnidung0"/>
        <w:tabs>
          <w:tab w:val="left" w:pos="112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D86E80" w:rsidRPr="00FA714D">
        <w:rPr>
          <w:rFonts w:ascii="Arial" w:hAnsi="Arial" w:cs="Arial"/>
          <w:sz w:val="20"/>
          <w:szCs w:val="20"/>
        </w:rPr>
        <w:t>Nhà nước thực hiện quản lý, giám sát TTCK bằng pháp luật; tăng cường quản lý, giám sát, bảo đảm an ninh, an toàn thị trường; phát huy vai trò tự quản của các tổ chức xã hội - nghề nghiệp về chứng khoán; đảm bảo các chủ th</w:t>
      </w:r>
      <w:r>
        <w:rPr>
          <w:rFonts w:ascii="Arial" w:hAnsi="Arial" w:cs="Arial"/>
          <w:sz w:val="20"/>
          <w:szCs w:val="20"/>
          <w:lang w:val="en-US"/>
        </w:rPr>
        <w:t>ể</w:t>
      </w:r>
      <w:r w:rsidR="00D86E80" w:rsidRPr="00FA714D">
        <w:rPr>
          <w:rFonts w:ascii="Arial" w:hAnsi="Arial" w:cs="Arial"/>
          <w:sz w:val="20"/>
          <w:szCs w:val="20"/>
        </w:rPr>
        <w:t xml:space="preserve"> tham gia thị trường tuân thủ đầy đủ quy định của pháp luật, được Nhà nước bảo vệ quyền và lợi ích hợp pháp.</w:t>
      </w:r>
    </w:p>
    <w:p w:rsidR="00560C54" w:rsidRPr="00FA714D" w:rsidRDefault="00B70DB6" w:rsidP="00B70DB6">
      <w:pPr>
        <w:pStyle w:val="Tiu10"/>
        <w:keepNext/>
        <w:keepLines/>
        <w:tabs>
          <w:tab w:val="left" w:pos="1051"/>
        </w:tabs>
        <w:spacing w:after="120"/>
        <w:ind w:firstLine="720"/>
        <w:jc w:val="both"/>
        <w:outlineLvl w:val="9"/>
        <w:rPr>
          <w:rFonts w:ascii="Arial" w:hAnsi="Arial" w:cs="Arial"/>
          <w:sz w:val="20"/>
          <w:szCs w:val="20"/>
        </w:rPr>
      </w:pPr>
      <w:bookmarkStart w:id="11" w:name="bookmark13"/>
      <w:bookmarkStart w:id="12" w:name="bookmark11"/>
      <w:bookmarkStart w:id="13" w:name="bookmark12"/>
      <w:bookmarkStart w:id="14" w:name="bookmark14"/>
      <w:bookmarkEnd w:id="11"/>
      <w:r>
        <w:rPr>
          <w:rFonts w:ascii="Arial" w:hAnsi="Arial" w:cs="Arial"/>
          <w:sz w:val="20"/>
          <w:szCs w:val="20"/>
          <w:lang w:val="en-US"/>
        </w:rPr>
        <w:t xml:space="preserve">2. </w:t>
      </w:r>
      <w:r w:rsidR="004459DF">
        <w:rPr>
          <w:rFonts w:ascii="Arial" w:hAnsi="Arial" w:cs="Arial"/>
          <w:sz w:val="20"/>
          <w:szCs w:val="20"/>
        </w:rPr>
        <w:t>Mục tiêu tổ</w:t>
      </w:r>
      <w:r w:rsidR="00D86E80" w:rsidRPr="00FA714D">
        <w:rPr>
          <w:rFonts w:ascii="Arial" w:hAnsi="Arial" w:cs="Arial"/>
          <w:sz w:val="20"/>
          <w:szCs w:val="20"/>
        </w:rPr>
        <w:t>ng quát</w:t>
      </w:r>
      <w:bookmarkEnd w:id="12"/>
      <w:bookmarkEnd w:id="13"/>
      <w:bookmarkEnd w:id="14"/>
    </w:p>
    <w:p w:rsidR="00560C54" w:rsidRPr="00FA714D" w:rsidRDefault="004459DF" w:rsidP="00FA714D">
      <w:pPr>
        <w:pStyle w:val="Vnbnnidung0"/>
        <w:spacing w:after="120" w:line="240" w:lineRule="auto"/>
        <w:ind w:firstLine="720"/>
        <w:jc w:val="both"/>
        <w:rPr>
          <w:rFonts w:ascii="Arial" w:hAnsi="Arial" w:cs="Arial"/>
          <w:sz w:val="20"/>
          <w:szCs w:val="20"/>
        </w:rPr>
      </w:pPr>
      <w:r>
        <w:rPr>
          <w:rFonts w:ascii="Arial" w:hAnsi="Arial" w:cs="Arial"/>
          <w:sz w:val="20"/>
          <w:szCs w:val="20"/>
        </w:rPr>
        <w:t>Phát triển TTCK ổ</w:t>
      </w:r>
      <w:r w:rsidR="00D86E80" w:rsidRPr="00FA714D">
        <w:rPr>
          <w:rFonts w:ascii="Arial" w:hAnsi="Arial" w:cs="Arial"/>
          <w:sz w:val="20"/>
          <w:szCs w:val="20"/>
        </w:rPr>
        <w:t xml:space="preserve">n định, an toàn, lành mạnh, hiệu quả, bền vững, hội nhập; nâng cao khả năng chống chịu rủi </w:t>
      </w:r>
      <w:r>
        <w:rPr>
          <w:rFonts w:ascii="Arial" w:hAnsi="Arial" w:cs="Arial"/>
          <w:sz w:val="20"/>
          <w:szCs w:val="20"/>
        </w:rPr>
        <w:t>ro, có cơ cấu hợp lý giữa các cấu phầ</w:t>
      </w:r>
      <w:r w:rsidR="00D86E80" w:rsidRPr="00FA714D">
        <w:rPr>
          <w:rFonts w:ascii="Arial" w:hAnsi="Arial" w:cs="Arial"/>
          <w:sz w:val="20"/>
          <w:szCs w:val="20"/>
        </w:rPr>
        <w:t xml:space="preserve">n thị trường, trở thành kênh huy động vốn trung và dài hạn quan trọng, chủ yếu cho nền kinh tế; duy trì tăng trưởng về quy mô, chú trọng nâng cao chất lượng; phát triển các công cụ tài chính xanh, tài chính bền vững; đẩy mạnh công tác chuyển đổi số trong lĩnh vực chứng khoán; xây dựng hệ thống quản lý, giám sát thị trường gắn với ứng dụng công nghệ thông tin hiện đại; tăng cường </w:t>
      </w:r>
      <w:r>
        <w:rPr>
          <w:rFonts w:ascii="Arial" w:hAnsi="Arial" w:cs="Arial"/>
          <w:sz w:val="20"/>
          <w:szCs w:val="20"/>
        </w:rPr>
        <w:t>liên kết và hội nhập quốc tế, từ</w:t>
      </w:r>
      <w:r w:rsidR="00D86E80" w:rsidRPr="00FA714D">
        <w:rPr>
          <w:rFonts w:ascii="Arial" w:hAnsi="Arial" w:cs="Arial"/>
          <w:sz w:val="20"/>
          <w:szCs w:val="20"/>
        </w:rPr>
        <w:t>ng bước thu hẹp về khoảng cách phát triển giữa TTCK Việt Nam so với TTCK các nước phát triển.</w:t>
      </w:r>
    </w:p>
    <w:p w:rsidR="00560C54" w:rsidRPr="004459DF" w:rsidRDefault="004459DF" w:rsidP="005624A4">
      <w:pPr>
        <w:pStyle w:val="Tiu10"/>
        <w:keepNext/>
        <w:keepLines/>
        <w:tabs>
          <w:tab w:val="left" w:pos="1054"/>
        </w:tabs>
        <w:spacing w:after="120"/>
        <w:ind w:firstLine="720"/>
        <w:jc w:val="both"/>
        <w:outlineLvl w:val="9"/>
        <w:rPr>
          <w:rFonts w:ascii="Arial" w:hAnsi="Arial" w:cs="Arial"/>
          <w:sz w:val="20"/>
          <w:szCs w:val="20"/>
          <w:lang w:val="en-US"/>
        </w:rPr>
      </w:pPr>
      <w:bookmarkStart w:id="15" w:name="bookmark17"/>
      <w:bookmarkStart w:id="16" w:name="bookmark15"/>
      <w:bookmarkStart w:id="17" w:name="bookmark16"/>
      <w:bookmarkStart w:id="18" w:name="bookmark18"/>
      <w:bookmarkEnd w:id="15"/>
      <w:r>
        <w:rPr>
          <w:rFonts w:ascii="Arial" w:hAnsi="Arial" w:cs="Arial"/>
          <w:sz w:val="20"/>
          <w:szCs w:val="20"/>
          <w:lang w:val="en-US"/>
        </w:rPr>
        <w:t xml:space="preserve">3. </w:t>
      </w:r>
      <w:r w:rsidR="00D86E80" w:rsidRPr="00FA714D">
        <w:rPr>
          <w:rFonts w:ascii="Arial" w:hAnsi="Arial" w:cs="Arial"/>
          <w:sz w:val="20"/>
          <w:szCs w:val="20"/>
        </w:rPr>
        <w:t>Mục tiêu cụ th</w:t>
      </w:r>
      <w:bookmarkEnd w:id="16"/>
      <w:bookmarkEnd w:id="17"/>
      <w:bookmarkEnd w:id="18"/>
      <w:r>
        <w:rPr>
          <w:rFonts w:ascii="Arial" w:hAnsi="Arial" w:cs="Arial"/>
          <w:sz w:val="20"/>
          <w:szCs w:val="20"/>
          <w:lang w:val="en-US"/>
        </w:rPr>
        <w:t>ể</w:t>
      </w:r>
    </w:p>
    <w:p w:rsidR="005624A4" w:rsidRDefault="004459DF" w:rsidP="005624A4">
      <w:pPr>
        <w:pStyle w:val="Vnbnnidung0"/>
        <w:tabs>
          <w:tab w:val="left" w:pos="950"/>
        </w:tabs>
        <w:spacing w:after="120" w:line="240" w:lineRule="auto"/>
        <w:ind w:firstLine="720"/>
        <w:jc w:val="both"/>
        <w:rPr>
          <w:rFonts w:ascii="Arial" w:hAnsi="Arial" w:cs="Arial"/>
          <w:sz w:val="20"/>
          <w:szCs w:val="20"/>
        </w:rPr>
      </w:pPr>
      <w:bookmarkStart w:id="19" w:name="bookmark19"/>
      <w:bookmarkEnd w:id="19"/>
      <w:r>
        <w:rPr>
          <w:rFonts w:ascii="Arial" w:hAnsi="Arial" w:cs="Arial"/>
          <w:sz w:val="20"/>
          <w:szCs w:val="20"/>
          <w:lang w:val="en-US"/>
        </w:rPr>
        <w:t xml:space="preserve">- </w:t>
      </w:r>
      <w:r w:rsidR="00D86E80" w:rsidRPr="00FA714D">
        <w:rPr>
          <w:rFonts w:ascii="Arial" w:hAnsi="Arial" w:cs="Arial"/>
          <w:sz w:val="20"/>
          <w:szCs w:val="20"/>
        </w:rPr>
        <w:t>Quy mô vốn hóa thị trường cổ phiếu đạt 100% GDP vào năm 2025 và đạt 120% GDP vào năm 2030</w:t>
      </w:r>
      <w:bookmarkStart w:id="20" w:name="_GoBack"/>
      <w:bookmarkEnd w:id="20"/>
      <w:r w:rsidR="00D86E80" w:rsidRPr="00FA714D">
        <w:rPr>
          <w:rFonts w:ascii="Arial" w:hAnsi="Arial" w:cs="Arial"/>
          <w:sz w:val="20"/>
          <w:szCs w:val="20"/>
        </w:rPr>
        <w:t xml:space="preserve">. Dư nợ thị trường trái phiếu đạt tối thiểu 47% GDP (trong đó dư nợ trái phiếu doanh nghiệp </w:t>
      </w:r>
      <w:r w:rsidR="00D86E80" w:rsidRPr="00FA714D">
        <w:rPr>
          <w:rFonts w:ascii="Arial" w:hAnsi="Arial" w:cs="Arial"/>
          <w:sz w:val="20"/>
          <w:szCs w:val="20"/>
        </w:rPr>
        <w:lastRenderedPageBreak/>
        <w:t>đạt tối thiểu 20% GDP) vào năm 2025 và đạt tối thiểu 58% GDP (trong đó dư nợ trái phiếu doanh nghiệp đạt tối thiểu 25% GDP) vào năm 2030; TTCK phái sinh tăng trưởng trung bình khoảng 20% - 30% mỗi năm trong giai đoạn 2021 - 2030.</w:t>
      </w:r>
      <w:bookmarkStart w:id="21" w:name="bookmark20"/>
      <w:bookmarkEnd w:id="21"/>
    </w:p>
    <w:p w:rsidR="005624A4" w:rsidRDefault="005624A4" w:rsidP="005624A4">
      <w:pPr>
        <w:pStyle w:val="Vnbnnidung0"/>
        <w:tabs>
          <w:tab w:val="left" w:pos="95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Số lượng tài khoản giao dịch chứng khoán của nhà đầu tư trên TTCK đạt 9 triệu tài khoản vào năm 2025 và 11 triệu tài khoản vào năm 20</w:t>
      </w:r>
      <w:r>
        <w:rPr>
          <w:rFonts w:ascii="Arial" w:hAnsi="Arial" w:cs="Arial"/>
          <w:sz w:val="20"/>
          <w:szCs w:val="20"/>
        </w:rPr>
        <w:t>30, trong đó tập trung phát triể</w:t>
      </w:r>
      <w:r w:rsidR="00D86E80" w:rsidRPr="00FA714D">
        <w:rPr>
          <w:rFonts w:ascii="Arial" w:hAnsi="Arial" w:cs="Arial"/>
          <w:sz w:val="20"/>
          <w:szCs w:val="20"/>
        </w:rPr>
        <w:t>n nhà đầu tư có tổ chức, nhà đầu tư chuyên nghiệp và thu hút sự tham gia của nhà đầu tư nước ngoài. Tăng tỷ trọng trái phi</w:t>
      </w:r>
      <w:r>
        <w:rPr>
          <w:rFonts w:ascii="Arial" w:hAnsi="Arial" w:cs="Arial"/>
          <w:sz w:val="20"/>
          <w:szCs w:val="20"/>
          <w:lang w:val="en-US"/>
        </w:rPr>
        <w:t>ế</w:t>
      </w:r>
      <w:r w:rsidR="00D86E80" w:rsidRPr="00FA714D">
        <w:rPr>
          <w:rFonts w:ascii="Arial" w:hAnsi="Arial" w:cs="Arial"/>
          <w:sz w:val="20"/>
          <w:szCs w:val="20"/>
        </w:rPr>
        <w:t>u Chính phủ do nhà đầu tư là tổ chức phi ngân hàng nắm giữ lên mức 55% vào năm 2025 và 60% vào năm 2030.</w:t>
      </w:r>
      <w:bookmarkStart w:id="22" w:name="bookmark21"/>
      <w:bookmarkEnd w:id="22"/>
    </w:p>
    <w:p w:rsidR="005624A4" w:rsidRDefault="005624A4" w:rsidP="005624A4">
      <w:pPr>
        <w:pStyle w:val="Vnbnnidung0"/>
        <w:tabs>
          <w:tab w:val="left" w:pos="95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Nâng cao chất lượng quản trị công ty niêm yết trên mức bình quân khu vực Đông Nam Á; áp dụng thông lệ tốt về tiêu chuẩn môi trường, xã hội và quản trị công ty</w:t>
      </w:r>
      <w:r>
        <w:rPr>
          <w:rFonts w:ascii="Arial" w:hAnsi="Arial" w:cs="Arial"/>
          <w:sz w:val="20"/>
          <w:szCs w:val="20"/>
        </w:rPr>
        <w:t xml:space="preserve"> (tiêu chuẩ</w:t>
      </w:r>
      <w:r w:rsidR="00D86E80" w:rsidRPr="00FA714D">
        <w:rPr>
          <w:rFonts w:ascii="Arial" w:hAnsi="Arial" w:cs="Arial"/>
          <w:sz w:val="20"/>
          <w:szCs w:val="20"/>
        </w:rPr>
        <w:t>n ESG) tại cá</w:t>
      </w:r>
      <w:r>
        <w:rPr>
          <w:rFonts w:ascii="Arial" w:hAnsi="Arial" w:cs="Arial"/>
          <w:sz w:val="20"/>
          <w:szCs w:val="20"/>
        </w:rPr>
        <w:t>c Sở giao dịch chứng khoán và Tổ</w:t>
      </w:r>
      <w:r w:rsidR="00D86E80" w:rsidRPr="00FA714D">
        <w:rPr>
          <w:rFonts w:ascii="Arial" w:hAnsi="Arial" w:cs="Arial"/>
          <w:sz w:val="20"/>
          <w:szCs w:val="20"/>
        </w:rPr>
        <w:t>ng công ty lưu ký và bù trừ c</w:t>
      </w:r>
      <w:r>
        <w:rPr>
          <w:rFonts w:ascii="Arial" w:hAnsi="Arial" w:cs="Arial"/>
          <w:sz w:val="20"/>
          <w:szCs w:val="20"/>
        </w:rPr>
        <w:t>hứng khoán Việt Nam hướng tới yế</w:t>
      </w:r>
      <w:r w:rsidR="00D86E80" w:rsidRPr="00FA714D">
        <w:rPr>
          <w:rFonts w:ascii="Arial" w:hAnsi="Arial" w:cs="Arial"/>
          <w:sz w:val="20"/>
          <w:szCs w:val="20"/>
        </w:rPr>
        <w:t>u t</w:t>
      </w:r>
      <w:r>
        <w:rPr>
          <w:rFonts w:ascii="Arial" w:hAnsi="Arial" w:cs="Arial"/>
          <w:sz w:val="20"/>
          <w:szCs w:val="20"/>
          <w:lang w:val="en-US"/>
        </w:rPr>
        <w:t>ố</w:t>
      </w:r>
      <w:r w:rsidR="00D86E80" w:rsidRPr="00FA714D">
        <w:rPr>
          <w:rFonts w:ascii="Arial" w:hAnsi="Arial" w:cs="Arial"/>
          <w:sz w:val="20"/>
          <w:szCs w:val="20"/>
        </w:rPr>
        <w:t xml:space="preserve"> phát tri</w:t>
      </w:r>
      <w:r>
        <w:rPr>
          <w:rFonts w:ascii="Arial" w:hAnsi="Arial" w:cs="Arial"/>
          <w:sz w:val="20"/>
          <w:szCs w:val="20"/>
          <w:lang w:val="en-US"/>
        </w:rPr>
        <w:t>ể</w:t>
      </w:r>
      <w:r w:rsidR="00D86E80" w:rsidRPr="00FA714D">
        <w:rPr>
          <w:rFonts w:ascii="Arial" w:hAnsi="Arial" w:cs="Arial"/>
          <w:sz w:val="20"/>
          <w:szCs w:val="20"/>
        </w:rPr>
        <w:t>n b</w:t>
      </w:r>
      <w:r>
        <w:rPr>
          <w:rFonts w:ascii="Arial" w:hAnsi="Arial" w:cs="Arial"/>
          <w:sz w:val="20"/>
          <w:szCs w:val="20"/>
          <w:lang w:val="en-US"/>
        </w:rPr>
        <w:t>ề</w:t>
      </w:r>
      <w:r w:rsidR="00D86E80" w:rsidRPr="00FA714D">
        <w:rPr>
          <w:rFonts w:ascii="Arial" w:hAnsi="Arial" w:cs="Arial"/>
          <w:sz w:val="20"/>
          <w:szCs w:val="20"/>
        </w:rPr>
        <w:t xml:space="preserve">n vững theo thông lệ </w:t>
      </w:r>
      <w:proofErr w:type="spellStart"/>
      <w:r>
        <w:rPr>
          <w:rFonts w:ascii="Arial" w:hAnsi="Arial" w:cs="Arial"/>
          <w:sz w:val="20"/>
          <w:szCs w:val="20"/>
          <w:lang w:val="en-US"/>
        </w:rPr>
        <w:t>quốc</w:t>
      </w:r>
      <w:proofErr w:type="spellEnd"/>
      <w:r>
        <w:rPr>
          <w:rFonts w:ascii="Arial" w:hAnsi="Arial" w:cs="Arial"/>
          <w:sz w:val="20"/>
          <w:szCs w:val="20"/>
          <w:lang w:val="en-US"/>
        </w:rPr>
        <w:t xml:space="preserve"> </w:t>
      </w:r>
      <w:proofErr w:type="spellStart"/>
      <w:r>
        <w:rPr>
          <w:rFonts w:ascii="Arial" w:hAnsi="Arial" w:cs="Arial"/>
          <w:sz w:val="20"/>
          <w:szCs w:val="20"/>
          <w:lang w:val="en-US"/>
        </w:rPr>
        <w:t>tế</w:t>
      </w:r>
      <w:proofErr w:type="spellEnd"/>
      <w:r w:rsidR="00D86E80" w:rsidRPr="00FA714D">
        <w:rPr>
          <w:rFonts w:ascii="Arial" w:hAnsi="Arial" w:cs="Arial"/>
          <w:sz w:val="20"/>
          <w:szCs w:val="20"/>
        </w:rPr>
        <w:t>.</w:t>
      </w:r>
      <w:bookmarkStart w:id="23" w:name="bookmark22"/>
      <w:bookmarkEnd w:id="23"/>
    </w:p>
    <w:p w:rsidR="005624A4" w:rsidRDefault="005624A4" w:rsidP="005624A4">
      <w:pPr>
        <w:pStyle w:val="Vnbnnidung0"/>
        <w:tabs>
          <w:tab w:val="left" w:pos="93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Hoàn thành việc phân bảng cổ phiếu niêm yết tại Sở giao dịch chứng khoán trong năm 2025.</w:t>
      </w:r>
      <w:bookmarkStart w:id="24" w:name="bookmark23"/>
      <w:bookmarkEnd w:id="24"/>
    </w:p>
    <w:p w:rsidR="005624A4" w:rsidRDefault="005624A4" w:rsidP="005624A4">
      <w:pPr>
        <w:pStyle w:val="Vnbnnidung0"/>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Phấn đấu đến năm 2025 nâng hạng TTCK Việt Nam từ thị trường cận biên lên thị trường mới nổi theo tiêu chuẩn phân hạng TTCK của các t</w:t>
      </w:r>
      <w:r>
        <w:rPr>
          <w:rFonts w:ascii="Arial" w:hAnsi="Arial" w:cs="Arial"/>
          <w:sz w:val="20"/>
          <w:szCs w:val="20"/>
          <w:lang w:val="en-US"/>
        </w:rPr>
        <w:t>ổ</w:t>
      </w:r>
      <w:r w:rsidR="00D86E80" w:rsidRPr="00FA714D">
        <w:rPr>
          <w:rFonts w:ascii="Arial" w:hAnsi="Arial" w:cs="Arial"/>
          <w:sz w:val="20"/>
          <w:szCs w:val="20"/>
        </w:rPr>
        <w:t xml:space="preserve"> chức quốc tế.</w:t>
      </w:r>
      <w:bookmarkStart w:id="25" w:name="bookmark24"/>
      <w:bookmarkEnd w:id="25"/>
    </w:p>
    <w:p w:rsidR="00560C54" w:rsidRPr="00FA714D" w:rsidRDefault="005624A4" w:rsidP="004B1C19">
      <w:pPr>
        <w:pStyle w:val="Vnbnnidung0"/>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Tích cực hội nhập thị trường tài chính, chứng khoán thế giới, đáp ứng yêu cầu về an ninh tài chính, nâng cao khả năng cạnh tranh, quản trị rủi ro, đưa vào áp dụng các chuẩn mực và thông lệ quốc tế; hướng tới đạt trình độ phát triển của nhóm 4 nước dẫn đầu khu vực ASEAN vào năm 2025.</w:t>
      </w:r>
    </w:p>
    <w:p w:rsidR="00560C54" w:rsidRPr="00FA714D" w:rsidRDefault="004B1C19" w:rsidP="004B1C19">
      <w:pPr>
        <w:pStyle w:val="Tiu10"/>
        <w:keepNext/>
        <w:keepLines/>
        <w:tabs>
          <w:tab w:val="left" w:pos="1047"/>
        </w:tabs>
        <w:spacing w:after="120"/>
        <w:ind w:firstLine="720"/>
        <w:jc w:val="both"/>
        <w:outlineLvl w:val="9"/>
        <w:rPr>
          <w:rFonts w:ascii="Arial" w:hAnsi="Arial" w:cs="Arial"/>
          <w:sz w:val="20"/>
          <w:szCs w:val="20"/>
        </w:rPr>
      </w:pPr>
      <w:bookmarkStart w:id="26" w:name="bookmark27"/>
      <w:bookmarkStart w:id="27" w:name="bookmark25"/>
      <w:bookmarkStart w:id="28" w:name="bookmark26"/>
      <w:bookmarkStart w:id="29" w:name="bookmark28"/>
      <w:bookmarkEnd w:id="26"/>
      <w:r>
        <w:rPr>
          <w:rFonts w:ascii="Arial" w:hAnsi="Arial" w:cs="Arial"/>
          <w:sz w:val="20"/>
          <w:szCs w:val="20"/>
          <w:lang w:val="en-US"/>
        </w:rPr>
        <w:t xml:space="preserve">4. </w:t>
      </w:r>
      <w:r>
        <w:rPr>
          <w:rFonts w:ascii="Arial" w:hAnsi="Arial" w:cs="Arial"/>
          <w:sz w:val="20"/>
          <w:szCs w:val="20"/>
        </w:rPr>
        <w:t>Các giải pháp thự</w:t>
      </w:r>
      <w:r w:rsidR="00D86E80" w:rsidRPr="00FA714D">
        <w:rPr>
          <w:rFonts w:ascii="Arial" w:hAnsi="Arial" w:cs="Arial"/>
          <w:sz w:val="20"/>
          <w:szCs w:val="20"/>
        </w:rPr>
        <w:t>c hiện</w:t>
      </w:r>
      <w:bookmarkEnd w:id="27"/>
      <w:bookmarkEnd w:id="28"/>
      <w:bookmarkEnd w:id="29"/>
    </w:p>
    <w:p w:rsidR="00560C54" w:rsidRPr="00FA714D" w:rsidRDefault="004B1C19" w:rsidP="004B1C19">
      <w:pPr>
        <w:pStyle w:val="Vnbnnidung0"/>
        <w:tabs>
          <w:tab w:val="left" w:pos="1057"/>
        </w:tabs>
        <w:spacing w:after="120" w:line="240" w:lineRule="auto"/>
        <w:ind w:firstLine="720"/>
        <w:jc w:val="both"/>
        <w:rPr>
          <w:rFonts w:ascii="Arial" w:hAnsi="Arial" w:cs="Arial"/>
          <w:sz w:val="20"/>
          <w:szCs w:val="20"/>
        </w:rPr>
      </w:pPr>
      <w:bookmarkStart w:id="30" w:name="bookmark29"/>
      <w:bookmarkEnd w:id="30"/>
      <w:r>
        <w:rPr>
          <w:rFonts w:ascii="Arial" w:hAnsi="Arial" w:cs="Arial"/>
          <w:sz w:val="20"/>
          <w:szCs w:val="20"/>
          <w:lang w:val="en-US"/>
        </w:rPr>
        <w:t xml:space="preserve">a) </w:t>
      </w:r>
      <w:r w:rsidR="00D86E80" w:rsidRPr="00FA714D">
        <w:rPr>
          <w:rFonts w:ascii="Arial" w:hAnsi="Arial" w:cs="Arial"/>
          <w:sz w:val="20"/>
          <w:szCs w:val="20"/>
        </w:rPr>
        <w:t>Hoàn thiện khung pháp lý:</w:t>
      </w:r>
    </w:p>
    <w:p w:rsidR="00830CA2" w:rsidRDefault="004B1C19" w:rsidP="00830CA2">
      <w:pPr>
        <w:pStyle w:val="Vnbnnidung0"/>
        <w:tabs>
          <w:tab w:val="left" w:pos="937"/>
        </w:tabs>
        <w:spacing w:after="120" w:line="240" w:lineRule="auto"/>
        <w:ind w:firstLine="720"/>
        <w:jc w:val="both"/>
        <w:rPr>
          <w:rFonts w:ascii="Arial" w:hAnsi="Arial" w:cs="Arial"/>
          <w:sz w:val="20"/>
          <w:szCs w:val="20"/>
        </w:rPr>
      </w:pPr>
      <w:bookmarkStart w:id="31" w:name="bookmark30"/>
      <w:bookmarkEnd w:id="31"/>
      <w:r>
        <w:rPr>
          <w:rFonts w:ascii="Arial" w:hAnsi="Arial" w:cs="Arial"/>
          <w:sz w:val="20"/>
          <w:szCs w:val="20"/>
          <w:lang w:val="en-US"/>
        </w:rPr>
        <w:t xml:space="preserve">- </w:t>
      </w:r>
      <w:r w:rsidR="00830CA2">
        <w:rPr>
          <w:rFonts w:ascii="Arial" w:hAnsi="Arial" w:cs="Arial"/>
          <w:sz w:val="20"/>
          <w:szCs w:val="20"/>
        </w:rPr>
        <w:t>Thực hiện rà soát, tổ</w:t>
      </w:r>
      <w:r w:rsidR="00D86E80" w:rsidRPr="00FA714D">
        <w:rPr>
          <w:rFonts w:ascii="Arial" w:hAnsi="Arial" w:cs="Arial"/>
          <w:sz w:val="20"/>
          <w:szCs w:val="20"/>
        </w:rPr>
        <w:t>ng kết thi hành Luật Chứng khoán s</w:t>
      </w:r>
      <w:r w:rsidR="00830CA2">
        <w:rPr>
          <w:rFonts w:ascii="Arial" w:hAnsi="Arial" w:cs="Arial"/>
          <w:sz w:val="20"/>
          <w:szCs w:val="20"/>
          <w:lang w:val="en-US"/>
        </w:rPr>
        <w:t>ố</w:t>
      </w:r>
      <w:r w:rsidR="00D86E80" w:rsidRPr="00FA714D">
        <w:rPr>
          <w:rFonts w:ascii="Arial" w:hAnsi="Arial" w:cs="Arial"/>
          <w:sz w:val="20"/>
          <w:szCs w:val="20"/>
        </w:rPr>
        <w:t xml:space="preserve"> 54/2019/QH14 và đề xuất sửa đổi, bổ sung Luật chứng khoán và các văn bản hướng dẫn Luật chứng khoán trong giai đoạn 2022-2025.</w:t>
      </w:r>
      <w:bookmarkStart w:id="32" w:name="bookmark31"/>
      <w:bookmarkEnd w:id="32"/>
    </w:p>
    <w:p w:rsidR="00560C54" w:rsidRPr="00FA714D" w:rsidRDefault="00830CA2" w:rsidP="00830CA2">
      <w:pPr>
        <w:pStyle w:val="Vnbnnidung0"/>
        <w:tabs>
          <w:tab w:val="left" w:pos="93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Nghiên cứu, đề xuất và xây dựng các văn bản pháp luật nhằm kịp thời khắc phục các bất cập trong thực tiễn hoạt động T</w:t>
      </w:r>
      <w:r>
        <w:rPr>
          <w:rFonts w:ascii="Arial" w:hAnsi="Arial" w:cs="Arial"/>
          <w:sz w:val="20"/>
          <w:szCs w:val="20"/>
        </w:rPr>
        <w:t>TCK và đáp ứng yêu cầu phát triể</w:t>
      </w:r>
      <w:r w:rsidR="00D86E80" w:rsidRPr="00FA714D">
        <w:rPr>
          <w:rFonts w:ascii="Arial" w:hAnsi="Arial" w:cs="Arial"/>
          <w:sz w:val="20"/>
          <w:szCs w:val="20"/>
        </w:rPr>
        <w:t>n mới, bảo đảm tính toàn diện của khung pháp lý quản lý hoạt động trên TTCK, phù hợp với tình hình trong nước và thông lệ quốc tế.</w:t>
      </w:r>
    </w:p>
    <w:p w:rsidR="00830CA2" w:rsidRDefault="00D86E80" w:rsidP="00830CA2">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Một số nội dung nghiên cứu, đề xuất cụ thể như: mô hình tổ chức, hoạt động của Tổng công ty lưu ký và bù trừ chứng khoán Việt Nam gắn với mở rộng phạm vi cung cấp sản phẩm, dịch vụ sau giao dịch cho TTCK; các quy định nhằm phát </w:t>
      </w:r>
      <w:proofErr w:type="spellStart"/>
      <w:r w:rsidR="00830CA2">
        <w:rPr>
          <w:rFonts w:ascii="Arial" w:hAnsi="Arial" w:cs="Arial"/>
          <w:sz w:val="20"/>
          <w:szCs w:val="20"/>
          <w:lang w:val="en-US"/>
        </w:rPr>
        <w:t>triển</w:t>
      </w:r>
      <w:proofErr w:type="spellEnd"/>
      <w:r w:rsidRPr="00FA714D">
        <w:rPr>
          <w:rFonts w:ascii="Arial" w:hAnsi="Arial" w:cs="Arial"/>
          <w:sz w:val="20"/>
          <w:szCs w:val="20"/>
        </w:rPr>
        <w:t xml:space="preserve"> công ty quản l</w:t>
      </w:r>
      <w:r w:rsidR="00830CA2">
        <w:rPr>
          <w:rFonts w:ascii="Arial" w:hAnsi="Arial" w:cs="Arial"/>
          <w:sz w:val="20"/>
          <w:szCs w:val="20"/>
        </w:rPr>
        <w:t>ý quỹ với điều kiện và tiêu chuẩn cao hơn đồ</w:t>
      </w:r>
      <w:r w:rsidRPr="00FA714D">
        <w:rPr>
          <w:rFonts w:ascii="Arial" w:hAnsi="Arial" w:cs="Arial"/>
          <w:sz w:val="20"/>
          <w:szCs w:val="20"/>
        </w:rPr>
        <w:t>ng thời nghiên cứu đề xuất cơ chế hỗ trợ</w:t>
      </w:r>
      <w:r w:rsidR="00830CA2">
        <w:rPr>
          <w:rFonts w:ascii="Arial" w:hAnsi="Arial" w:cs="Arial"/>
          <w:sz w:val="20"/>
          <w:szCs w:val="20"/>
        </w:rPr>
        <w:t xml:space="preserve"> đối với các quỹ đầ</w:t>
      </w:r>
      <w:r w:rsidRPr="00FA714D">
        <w:rPr>
          <w:rFonts w:ascii="Arial" w:hAnsi="Arial" w:cs="Arial"/>
          <w:sz w:val="20"/>
          <w:szCs w:val="20"/>
        </w:rPr>
        <w:t>u tư chứng khoán bảo đảm tính đồng bộ, thống nhất của hệ thống pháp luật; quy định về nhà đầu tư tham gia giao dịch trái phiếu doanh nghiệp chào bán riêng lẻ...</w:t>
      </w:r>
      <w:bookmarkStart w:id="33" w:name="bookmark32"/>
      <w:bookmarkEnd w:id="33"/>
    </w:p>
    <w:p w:rsidR="00B1620A" w:rsidRDefault="00830CA2" w:rsidP="00B1620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 xml:space="preserve">Hoàn thiện quy định pháp luật về giám sát, thanh tra và xử lý vi phạm trong lĩnh vực chứng khoán để bảo vệ quyền lợi </w:t>
      </w:r>
      <w:proofErr w:type="spellStart"/>
      <w:r w:rsidR="00B1620A">
        <w:rPr>
          <w:rFonts w:ascii="Arial" w:hAnsi="Arial" w:cs="Arial"/>
          <w:sz w:val="20"/>
          <w:szCs w:val="20"/>
          <w:lang w:val="en-US"/>
        </w:rPr>
        <w:t>hợp</w:t>
      </w:r>
      <w:proofErr w:type="spellEnd"/>
      <w:r w:rsidR="00D86E80" w:rsidRPr="00FA714D">
        <w:rPr>
          <w:rFonts w:ascii="Arial" w:hAnsi="Arial" w:cs="Arial"/>
          <w:sz w:val="20"/>
          <w:szCs w:val="20"/>
        </w:rPr>
        <w:t xml:space="preserve"> pháp của nhà đầu tư, giám sát và hạn chế rủi ro trên thị trường, tăng cường tính răn đe, đảm bảo trật tự, an toàn và minh bạch thị trường.</w:t>
      </w:r>
      <w:bookmarkStart w:id="34" w:name="bookmark33"/>
      <w:bookmarkEnd w:id="34"/>
    </w:p>
    <w:p w:rsidR="00B1620A" w:rsidRDefault="00B1620A" w:rsidP="00B1620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86E80" w:rsidRPr="00FA714D">
        <w:rPr>
          <w:rFonts w:ascii="Arial" w:hAnsi="Arial" w:cs="Arial"/>
          <w:sz w:val="20"/>
          <w:szCs w:val="20"/>
        </w:rPr>
        <w:t>Tăng cường năng lực quản lý, giám sát, thanh tra, kiểm tra và xử lý vi phạm:</w:t>
      </w:r>
      <w:bookmarkStart w:id="35" w:name="bookmark34"/>
      <w:bookmarkEnd w:id="35"/>
    </w:p>
    <w:p w:rsidR="00B1620A" w:rsidRDefault="00B1620A" w:rsidP="00B1620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Kiện toàn chức năng, nhiệm vụ, quy</w:t>
      </w:r>
      <w:r>
        <w:rPr>
          <w:rFonts w:ascii="Arial" w:hAnsi="Arial" w:cs="Arial"/>
          <w:sz w:val="20"/>
          <w:szCs w:val="20"/>
          <w:lang w:val="en-US"/>
        </w:rPr>
        <w:t>ề</w:t>
      </w:r>
      <w:r w:rsidR="00D86E80" w:rsidRPr="00FA714D">
        <w:rPr>
          <w:rFonts w:ascii="Arial" w:hAnsi="Arial" w:cs="Arial"/>
          <w:sz w:val="20"/>
          <w:szCs w:val="20"/>
        </w:rPr>
        <w:t xml:space="preserve">n hạn và cơ </w:t>
      </w:r>
      <w:proofErr w:type="spellStart"/>
      <w:r>
        <w:rPr>
          <w:rFonts w:ascii="Arial" w:hAnsi="Arial" w:cs="Arial"/>
          <w:sz w:val="20"/>
          <w:szCs w:val="20"/>
          <w:lang w:val="en-US"/>
        </w:rPr>
        <w:t>cấu</w:t>
      </w:r>
      <w:proofErr w:type="spellEnd"/>
      <w:r>
        <w:rPr>
          <w:rFonts w:ascii="Arial" w:hAnsi="Arial" w:cs="Arial"/>
          <w:sz w:val="20"/>
          <w:szCs w:val="20"/>
          <w:lang w:val="en-US"/>
        </w:rPr>
        <w:t xml:space="preserve"> </w:t>
      </w:r>
      <w:proofErr w:type="spellStart"/>
      <w:r>
        <w:rPr>
          <w:rFonts w:ascii="Arial" w:hAnsi="Arial" w:cs="Arial"/>
          <w:sz w:val="20"/>
          <w:szCs w:val="20"/>
          <w:lang w:val="en-US"/>
        </w:rPr>
        <w:t>tổ</w:t>
      </w:r>
      <w:proofErr w:type="spellEnd"/>
      <w:r w:rsidR="00D86E80" w:rsidRPr="00FA714D">
        <w:rPr>
          <w:rFonts w:ascii="Arial" w:hAnsi="Arial" w:cs="Arial"/>
          <w:sz w:val="20"/>
          <w:szCs w:val="20"/>
        </w:rPr>
        <w:t xml:space="preserve"> chức của cơ quan giám sát, thanh tra chuyên ngành trong lĩnh vực chứng khoán, đảm bảo đ</w:t>
      </w:r>
      <w:r>
        <w:rPr>
          <w:rFonts w:ascii="Arial" w:hAnsi="Arial" w:cs="Arial"/>
          <w:sz w:val="20"/>
          <w:szCs w:val="20"/>
          <w:lang w:val="en-US"/>
        </w:rPr>
        <w:t>ủ</w:t>
      </w:r>
      <w:r w:rsidR="00D86E80" w:rsidRPr="00FA714D">
        <w:rPr>
          <w:rFonts w:ascii="Arial" w:hAnsi="Arial" w:cs="Arial"/>
          <w:sz w:val="20"/>
          <w:szCs w:val="20"/>
        </w:rPr>
        <w:t xml:space="preserve"> năng lực thực thi pháp luật.</w:t>
      </w:r>
      <w:bookmarkStart w:id="36" w:name="bookmark35"/>
      <w:bookmarkEnd w:id="36"/>
    </w:p>
    <w:p w:rsidR="00B1620A" w:rsidRDefault="00B1620A" w:rsidP="00B1620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 xml:space="preserve">Xây dựng hệ thống giám sát kết nối giữa </w:t>
      </w:r>
      <w:proofErr w:type="spellStart"/>
      <w:r>
        <w:rPr>
          <w:rFonts w:ascii="Arial" w:hAnsi="Arial" w:cs="Arial"/>
          <w:sz w:val="20"/>
          <w:szCs w:val="20"/>
          <w:lang w:val="en-US"/>
        </w:rPr>
        <w:t>Ủy</w:t>
      </w:r>
      <w:proofErr w:type="spellEnd"/>
      <w:r w:rsidR="00D86E80" w:rsidRPr="00FA714D">
        <w:rPr>
          <w:rFonts w:ascii="Arial" w:hAnsi="Arial" w:cs="Arial"/>
          <w:sz w:val="20"/>
          <w:szCs w:val="20"/>
        </w:rPr>
        <w:t xml:space="preserve"> ban Chứng khoán Nhà nước, Sở giao dị</w:t>
      </w:r>
      <w:r>
        <w:rPr>
          <w:rFonts w:ascii="Arial" w:hAnsi="Arial" w:cs="Arial"/>
          <w:sz w:val="20"/>
          <w:szCs w:val="20"/>
        </w:rPr>
        <w:t>ch chứng khoán, Tổ</w:t>
      </w:r>
      <w:r w:rsidR="00D86E80" w:rsidRPr="00FA714D">
        <w:rPr>
          <w:rFonts w:ascii="Arial" w:hAnsi="Arial" w:cs="Arial"/>
          <w:sz w:val="20"/>
          <w:szCs w:val="20"/>
        </w:rPr>
        <w:t>ng công ty lưu ký và bù trừ chứng khoán Việt Nam và các thành viên thị trường.</w:t>
      </w:r>
      <w:bookmarkStart w:id="37" w:name="bookmark36"/>
      <w:bookmarkEnd w:id="37"/>
    </w:p>
    <w:p w:rsidR="00B1620A" w:rsidRDefault="00B1620A" w:rsidP="00B1620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 xml:space="preserve">Áp dụng phương thức giám sát </w:t>
      </w:r>
      <w:r>
        <w:rPr>
          <w:rFonts w:ascii="Arial" w:hAnsi="Arial" w:cs="Arial"/>
          <w:sz w:val="20"/>
          <w:szCs w:val="20"/>
        </w:rPr>
        <w:t>dựa trên rủi ro, xây dựng hệ thố</w:t>
      </w:r>
      <w:r w:rsidR="00D86E80" w:rsidRPr="00FA714D">
        <w:rPr>
          <w:rFonts w:ascii="Arial" w:hAnsi="Arial" w:cs="Arial"/>
          <w:sz w:val="20"/>
          <w:szCs w:val="20"/>
        </w:rPr>
        <w:t>ng các chỉ số cảnh báo sớm, đảm bảo giám sát hi</w:t>
      </w:r>
      <w:r>
        <w:rPr>
          <w:rFonts w:ascii="Arial" w:hAnsi="Arial" w:cs="Arial"/>
          <w:sz w:val="20"/>
          <w:szCs w:val="20"/>
        </w:rPr>
        <w:t>ệu quả, toàn diện, hiện đại, tiế</w:t>
      </w:r>
      <w:r w:rsidR="00D86E80" w:rsidRPr="00FA714D">
        <w:rPr>
          <w:rFonts w:ascii="Arial" w:hAnsi="Arial" w:cs="Arial"/>
          <w:sz w:val="20"/>
          <w:szCs w:val="20"/>
        </w:rPr>
        <w:t xml:space="preserve">p cận với thông lệ </w:t>
      </w:r>
      <w:r>
        <w:rPr>
          <w:rFonts w:ascii="Arial" w:hAnsi="Arial" w:cs="Arial"/>
          <w:sz w:val="20"/>
          <w:szCs w:val="20"/>
        </w:rPr>
        <w:t>quố</w:t>
      </w:r>
      <w:r w:rsidR="00D86E80" w:rsidRPr="00FA714D">
        <w:rPr>
          <w:rFonts w:ascii="Arial" w:hAnsi="Arial" w:cs="Arial"/>
          <w:sz w:val="20"/>
          <w:szCs w:val="20"/>
        </w:rPr>
        <w:t>c tế.</w:t>
      </w:r>
      <w:bookmarkStart w:id="38" w:name="bookmark37"/>
      <w:bookmarkEnd w:id="38"/>
    </w:p>
    <w:p w:rsidR="00B1620A" w:rsidRDefault="00B1620A" w:rsidP="00B1620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Tăng cường tri</w:t>
      </w:r>
      <w:r>
        <w:rPr>
          <w:rFonts w:ascii="Arial" w:hAnsi="Arial" w:cs="Arial"/>
          <w:sz w:val="20"/>
          <w:szCs w:val="20"/>
        </w:rPr>
        <w:t>ển khai hoạt động thanh tra, kiể</w:t>
      </w:r>
      <w:r w:rsidR="00D86E80" w:rsidRPr="00FA714D">
        <w:rPr>
          <w:rFonts w:ascii="Arial" w:hAnsi="Arial" w:cs="Arial"/>
          <w:sz w:val="20"/>
          <w:szCs w:val="20"/>
        </w:rPr>
        <w:t>m tra, xử lý vi phạm toàn di</w:t>
      </w:r>
      <w:r>
        <w:rPr>
          <w:rFonts w:ascii="Arial" w:hAnsi="Arial" w:cs="Arial"/>
          <w:sz w:val="20"/>
          <w:szCs w:val="20"/>
        </w:rPr>
        <w:t>ện nhưng có trọng tâm, trọng điể</w:t>
      </w:r>
      <w:r w:rsidR="00D86E80" w:rsidRPr="00FA714D">
        <w:rPr>
          <w:rFonts w:ascii="Arial" w:hAnsi="Arial" w:cs="Arial"/>
          <w:sz w:val="20"/>
          <w:szCs w:val="20"/>
        </w:rPr>
        <w:t>m, tập trung vào các vụ việc có ảnh hưởng lớn tới TTCK, tăng cường giám sát liên thông giữa các cấu phần của TTCK. Tăng cường quản lý, giám sát chặt chẽ hoạt động các công ty chứng khoán, công ty quản lý quỹ.</w:t>
      </w:r>
      <w:bookmarkStart w:id="39" w:name="bookmark38"/>
      <w:bookmarkEnd w:id="39"/>
    </w:p>
    <w:p w:rsidR="00B30D73" w:rsidRDefault="00B1620A" w:rsidP="00B30D7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Tăng cường năng lực quản lý, giám sát của cơ quan quản</w:t>
      </w:r>
      <w:r w:rsidR="00B30D73">
        <w:rPr>
          <w:rFonts w:ascii="Arial" w:hAnsi="Arial" w:cs="Arial"/>
          <w:sz w:val="20"/>
          <w:szCs w:val="20"/>
        </w:rPr>
        <w:t xml:space="preserve"> lý nhằm đảm bảo TTCK vận hành ổ</w:t>
      </w:r>
      <w:r w:rsidR="00D86E80" w:rsidRPr="00FA714D">
        <w:rPr>
          <w:rFonts w:ascii="Arial" w:hAnsi="Arial" w:cs="Arial"/>
          <w:sz w:val="20"/>
          <w:szCs w:val="20"/>
        </w:rPr>
        <w:t>n định, trật tự, an toàn và min</w:t>
      </w:r>
      <w:r w:rsidR="00B30D73">
        <w:rPr>
          <w:rFonts w:ascii="Arial" w:hAnsi="Arial" w:cs="Arial"/>
          <w:sz w:val="20"/>
          <w:szCs w:val="20"/>
        </w:rPr>
        <w:t>h bạch, hướng tới áp dụng hệ thố</w:t>
      </w:r>
      <w:r w:rsidR="00D86E80" w:rsidRPr="00FA714D">
        <w:rPr>
          <w:rFonts w:ascii="Arial" w:hAnsi="Arial" w:cs="Arial"/>
          <w:sz w:val="20"/>
          <w:szCs w:val="20"/>
        </w:rPr>
        <w:t>ng quản lý, giám sát thông minh dựa trên ứng dụng công nghệ số vào các hoạt động lưu trữ, thống kê, phân tích dữ liệu, dự báo và giám sát TTCK.</w:t>
      </w:r>
      <w:bookmarkStart w:id="40" w:name="bookmark39"/>
      <w:bookmarkEnd w:id="40"/>
    </w:p>
    <w:p w:rsidR="00B30D73" w:rsidRDefault="00B30D73" w:rsidP="00B30D7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 xml:space="preserve">Xây dựng cơ chế phối hợp giữa Bộ Tài chính và các bộ, ngành có liên quan để tuyên truyền, giám sát thực thi các quy định pháp luật, giám sát liên ngành nhằm kịp thời phát hiện và xử lý các hành </w:t>
      </w:r>
      <w:r w:rsidR="00D86E80" w:rsidRPr="00FA714D">
        <w:rPr>
          <w:rFonts w:ascii="Arial" w:hAnsi="Arial" w:cs="Arial"/>
          <w:sz w:val="20"/>
          <w:szCs w:val="20"/>
        </w:rPr>
        <w:lastRenderedPageBreak/>
        <w:t>vi vi phạm.</w:t>
      </w:r>
      <w:bookmarkStart w:id="41" w:name="bookmark40"/>
      <w:bookmarkEnd w:id="41"/>
    </w:p>
    <w:p w:rsidR="00B30D73" w:rsidRDefault="00B30D73" w:rsidP="00B30D7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Tiếp tục đầ</w:t>
      </w:r>
      <w:r w:rsidR="00D86E80" w:rsidRPr="00FA714D">
        <w:rPr>
          <w:rFonts w:ascii="Arial" w:hAnsi="Arial" w:cs="Arial"/>
          <w:sz w:val="20"/>
          <w:szCs w:val="20"/>
        </w:rPr>
        <w:t>u tư, nâng cấp hệ thống công nghệ thông tin hiện đại, đảm bảo an ninh, an toàn hệ thống công nghệ thông tin và cơ sở dữ liệu phục vụ tốt công tác quản lý và giám sát thị trường.</w:t>
      </w:r>
      <w:bookmarkStart w:id="42" w:name="bookmark41"/>
      <w:bookmarkEnd w:id="42"/>
    </w:p>
    <w:p w:rsidR="00B30D73" w:rsidRDefault="00B30D73" w:rsidP="00B30D7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D86E80" w:rsidRPr="00FA714D">
        <w:rPr>
          <w:rFonts w:ascii="Arial" w:hAnsi="Arial" w:cs="Arial"/>
          <w:sz w:val="20"/>
          <w:szCs w:val="20"/>
        </w:rPr>
        <w:t>Tăng cung hàng hóa cho thị trường và cải thiện chất lượng nguồn cung:</w:t>
      </w:r>
      <w:bookmarkStart w:id="43" w:name="bookmark42"/>
      <w:bookmarkEnd w:id="43"/>
    </w:p>
    <w:p w:rsidR="00560C54" w:rsidRPr="00FA714D" w:rsidRDefault="00B30D73" w:rsidP="00B30D7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Đa dạng cơ sở hàng hóa trên thị trường:</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Phát triển thị trường c</w:t>
      </w:r>
      <w:r w:rsidR="00DF26D5">
        <w:rPr>
          <w:rFonts w:ascii="Arial" w:hAnsi="Arial" w:cs="Arial"/>
          <w:sz w:val="20"/>
          <w:szCs w:val="20"/>
          <w:lang w:val="en-US"/>
        </w:rPr>
        <w:t>ổ</w:t>
      </w:r>
      <w:r w:rsidRPr="00FA714D">
        <w:rPr>
          <w:rFonts w:ascii="Arial" w:hAnsi="Arial" w:cs="Arial"/>
          <w:sz w:val="20"/>
          <w:szCs w:val="20"/>
        </w:rPr>
        <w:t xml:space="preserve"> phiếu: Khuyến khích các loại hình doanh nghiệp thực hiện chào bán cổ phiếu lần đầu ra công chúng (IPO) g</w:t>
      </w:r>
      <w:r w:rsidR="00DF26D5">
        <w:rPr>
          <w:rFonts w:ascii="Arial" w:hAnsi="Arial" w:cs="Arial"/>
          <w:sz w:val="20"/>
          <w:szCs w:val="20"/>
          <w:lang w:val="en-US"/>
        </w:rPr>
        <w:t>ắ</w:t>
      </w:r>
      <w:r w:rsidRPr="00FA714D">
        <w:rPr>
          <w:rFonts w:ascii="Arial" w:hAnsi="Arial" w:cs="Arial"/>
          <w:sz w:val="20"/>
          <w:szCs w:val="20"/>
        </w:rPr>
        <w:t>n với niêm yết, đăng ký giao dịch trên TTCK; thu hút các doanh nghiệp có quy mô lớn, tình hình tài chính, quản trị công ty tốt thực hiện niêm yết trên TTCK; hỗ trợ tích cực việc hoàn thành kế hoạch cổ phần hóa và thoái vốn nhà nước theo quy định của pháp luật về cổ phần hóa.</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Ph</w:t>
      </w:r>
      <w:r w:rsidR="00DF26D5">
        <w:rPr>
          <w:rFonts w:ascii="Arial" w:hAnsi="Arial" w:cs="Arial"/>
          <w:sz w:val="20"/>
          <w:szCs w:val="20"/>
        </w:rPr>
        <w:t>át triể</w:t>
      </w:r>
      <w:r w:rsidRPr="00FA714D">
        <w:rPr>
          <w:rFonts w:ascii="Arial" w:hAnsi="Arial" w:cs="Arial"/>
          <w:sz w:val="20"/>
          <w:szCs w:val="20"/>
        </w:rPr>
        <w:t>n thị trường trái phiếu Chính phủ: Phát hành đa dạng các kỳ hạn trái phiếu Chính phủ, trái phiếu được Chính phủ bảo lãnh và trái phiếu chính quyền địa phương để đáp ứng mục tiêu huy động vốn của cơ quan phát hành và phù hợp với nhu cầu của nhà đầu tư. Nghiên cứu khả năng phát hành các sản phẩm trái phiếu mới đ</w:t>
      </w:r>
      <w:r w:rsidR="00DF26D5">
        <w:rPr>
          <w:rFonts w:ascii="Arial" w:hAnsi="Arial" w:cs="Arial"/>
          <w:sz w:val="20"/>
          <w:szCs w:val="20"/>
          <w:lang w:val="en-US"/>
        </w:rPr>
        <w:t>ể</w:t>
      </w:r>
      <w:r w:rsidR="00DF26D5">
        <w:rPr>
          <w:rFonts w:ascii="Arial" w:hAnsi="Arial" w:cs="Arial"/>
          <w:sz w:val="20"/>
          <w:szCs w:val="20"/>
        </w:rPr>
        <w:t xml:space="preserve"> đa dạng hóa sản phẩ</w:t>
      </w:r>
      <w:r w:rsidRPr="00FA714D">
        <w:rPr>
          <w:rFonts w:ascii="Arial" w:hAnsi="Arial" w:cs="Arial"/>
          <w:sz w:val="20"/>
          <w:szCs w:val="20"/>
        </w:rPr>
        <w:t>m trên thị trường.</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Phát triển thị trường trái phiếu</w:t>
      </w:r>
      <w:r w:rsidR="00DF26D5">
        <w:rPr>
          <w:rFonts w:ascii="Arial" w:hAnsi="Arial" w:cs="Arial"/>
          <w:sz w:val="20"/>
          <w:szCs w:val="20"/>
        </w:rPr>
        <w:t xml:space="preserve"> doanh nghiệp: Tập trung thúc đẩ</w:t>
      </w:r>
      <w:r w:rsidRPr="00FA714D">
        <w:rPr>
          <w:rFonts w:ascii="Arial" w:hAnsi="Arial" w:cs="Arial"/>
          <w:sz w:val="20"/>
          <w:szCs w:val="20"/>
        </w:rPr>
        <w:t>y việc chào bán trái phi</w:t>
      </w:r>
      <w:r w:rsidR="00DF26D5">
        <w:rPr>
          <w:rFonts w:ascii="Arial" w:hAnsi="Arial" w:cs="Arial"/>
          <w:sz w:val="20"/>
          <w:szCs w:val="20"/>
        </w:rPr>
        <w:t>ếu doanh nghiệp ra công chúng gắ</w:t>
      </w:r>
      <w:r w:rsidRPr="00FA714D">
        <w:rPr>
          <w:rFonts w:ascii="Arial" w:hAnsi="Arial" w:cs="Arial"/>
          <w:sz w:val="20"/>
          <w:szCs w:val="20"/>
        </w:rPr>
        <w:t>n với niêm y</w:t>
      </w:r>
      <w:r w:rsidR="00DF26D5">
        <w:rPr>
          <w:rFonts w:ascii="Arial" w:hAnsi="Arial" w:cs="Arial"/>
          <w:sz w:val="20"/>
          <w:szCs w:val="20"/>
          <w:lang w:val="en-US"/>
        </w:rPr>
        <w:t>ế</w:t>
      </w:r>
      <w:r w:rsidRPr="00FA714D">
        <w:rPr>
          <w:rFonts w:ascii="Arial" w:hAnsi="Arial" w:cs="Arial"/>
          <w:sz w:val="20"/>
          <w:szCs w:val="20"/>
        </w:rPr>
        <w:t>t; khuyến khích các doanh nghiệp phát hành đa dạng các lo</w:t>
      </w:r>
      <w:r w:rsidR="00DF26D5">
        <w:rPr>
          <w:rFonts w:ascii="Arial" w:hAnsi="Arial" w:cs="Arial"/>
          <w:sz w:val="20"/>
          <w:szCs w:val="20"/>
        </w:rPr>
        <w:t>ại trái phiếu phù hợp với nhu cầ</w:t>
      </w:r>
      <w:r w:rsidRPr="00FA714D">
        <w:rPr>
          <w:rFonts w:ascii="Arial" w:hAnsi="Arial" w:cs="Arial"/>
          <w:sz w:val="20"/>
          <w:szCs w:val="20"/>
        </w:rPr>
        <w:t>u huy động vốn; phát triển các sản phẩm trái phiếu doanh nghiệp cho mục tiêu thực hiện dự án, dự án đầu tư theo hình thức đối tác c</w:t>
      </w:r>
      <w:r w:rsidR="00DF26D5">
        <w:rPr>
          <w:rFonts w:ascii="Arial" w:hAnsi="Arial" w:cs="Arial"/>
          <w:sz w:val="20"/>
          <w:szCs w:val="20"/>
        </w:rPr>
        <w:t>ông tư (PPP) nhằm thúc đẩy huy đ</w:t>
      </w:r>
      <w:r w:rsidRPr="00FA714D">
        <w:rPr>
          <w:rFonts w:ascii="Arial" w:hAnsi="Arial" w:cs="Arial"/>
          <w:sz w:val="20"/>
          <w:szCs w:val="20"/>
        </w:rPr>
        <w:t xml:space="preserve">ộng vốn cho phát triển cơ sở hạ </w:t>
      </w:r>
      <w:r w:rsidR="00DF26D5">
        <w:rPr>
          <w:rFonts w:ascii="Arial" w:hAnsi="Arial" w:cs="Arial"/>
          <w:sz w:val="20"/>
          <w:szCs w:val="20"/>
        </w:rPr>
        <w:t>tầng; vận hành thị trường thứ cấ</w:t>
      </w:r>
      <w:r w:rsidRPr="00FA714D">
        <w:rPr>
          <w:rFonts w:ascii="Arial" w:hAnsi="Arial" w:cs="Arial"/>
          <w:sz w:val="20"/>
          <w:szCs w:val="20"/>
        </w:rPr>
        <w:t>p trái phiếu doanh nghiệp riêng lẻ cho các nhà đầu tư chứng khoán chuyên nghiệp nhằm tăng tính thanh khoản, tính minh bạch của thị trường.</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Phát triển thị trường trái phiếu xanh: Khuyến khích việc phát hành trái ph</w:t>
      </w:r>
      <w:r w:rsidR="00025DA3">
        <w:rPr>
          <w:rFonts w:ascii="Arial" w:hAnsi="Arial" w:cs="Arial"/>
          <w:sz w:val="20"/>
          <w:szCs w:val="20"/>
        </w:rPr>
        <w:t>iếu Chính phủ xanh, trái phiế</w:t>
      </w:r>
      <w:r w:rsidRPr="00FA714D">
        <w:rPr>
          <w:rFonts w:ascii="Arial" w:hAnsi="Arial" w:cs="Arial"/>
          <w:sz w:val="20"/>
          <w:szCs w:val="20"/>
        </w:rPr>
        <w:t>u chính quy</w:t>
      </w:r>
      <w:r w:rsidR="00025DA3">
        <w:rPr>
          <w:rFonts w:ascii="Arial" w:hAnsi="Arial" w:cs="Arial"/>
          <w:sz w:val="20"/>
          <w:szCs w:val="20"/>
          <w:lang w:val="en-US"/>
        </w:rPr>
        <w:t>ề</w:t>
      </w:r>
      <w:r w:rsidRPr="00FA714D">
        <w:rPr>
          <w:rFonts w:ascii="Arial" w:hAnsi="Arial" w:cs="Arial"/>
          <w:sz w:val="20"/>
          <w:szCs w:val="20"/>
        </w:rPr>
        <w:t>n địa phương xanh và trái phi</w:t>
      </w:r>
      <w:r w:rsidR="00025DA3">
        <w:rPr>
          <w:rFonts w:ascii="Arial" w:hAnsi="Arial" w:cs="Arial"/>
          <w:sz w:val="20"/>
          <w:szCs w:val="20"/>
          <w:lang w:val="en-US"/>
        </w:rPr>
        <w:t>ế</w:t>
      </w:r>
      <w:r w:rsidRPr="00FA714D">
        <w:rPr>
          <w:rFonts w:ascii="Arial" w:hAnsi="Arial" w:cs="Arial"/>
          <w:sz w:val="20"/>
          <w:szCs w:val="20"/>
        </w:rPr>
        <w:t>u doanh nghiệp xanh nhằm tạo thêm kênh huy động vốn cho ngân sách, cho doanh nghiệp và thu hút các nhà đ</w:t>
      </w:r>
      <w:r w:rsidR="00025DA3">
        <w:rPr>
          <w:rFonts w:ascii="Arial" w:hAnsi="Arial" w:cs="Arial"/>
          <w:sz w:val="20"/>
          <w:szCs w:val="20"/>
          <w:lang w:val="en-US"/>
        </w:rPr>
        <w:t>ầ</w:t>
      </w:r>
      <w:r w:rsidRPr="00FA714D">
        <w:rPr>
          <w:rFonts w:ascii="Arial" w:hAnsi="Arial" w:cs="Arial"/>
          <w:sz w:val="20"/>
          <w:szCs w:val="20"/>
        </w:rPr>
        <w:t>u tư hướng đ</w:t>
      </w:r>
      <w:r w:rsidR="00025DA3">
        <w:rPr>
          <w:rFonts w:ascii="Arial" w:hAnsi="Arial" w:cs="Arial"/>
          <w:sz w:val="20"/>
          <w:szCs w:val="20"/>
          <w:lang w:val="en-US"/>
        </w:rPr>
        <w:t>ế</w:t>
      </w:r>
      <w:r w:rsidRPr="00FA714D">
        <w:rPr>
          <w:rFonts w:ascii="Arial" w:hAnsi="Arial" w:cs="Arial"/>
          <w:sz w:val="20"/>
          <w:szCs w:val="20"/>
        </w:rPr>
        <w:t>n các mục tiêu phát tri</w:t>
      </w:r>
      <w:r w:rsidR="00025DA3">
        <w:rPr>
          <w:rFonts w:ascii="Arial" w:hAnsi="Arial" w:cs="Arial"/>
          <w:sz w:val="20"/>
          <w:szCs w:val="20"/>
          <w:lang w:val="en-US"/>
        </w:rPr>
        <w:t>ể</w:t>
      </w:r>
      <w:r w:rsidRPr="00FA714D">
        <w:rPr>
          <w:rFonts w:ascii="Arial" w:hAnsi="Arial" w:cs="Arial"/>
          <w:sz w:val="20"/>
          <w:szCs w:val="20"/>
        </w:rPr>
        <w:t>n kinh tế bền vững.</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Phát triển sản phẩm chứng khoán phái sinh và các sản phẩm mới: Tiếp tục triển khai sản phẩm hợp đồng tương lai dựa trên chỉ số chứng khoán và </w:t>
      </w:r>
      <w:proofErr w:type="spellStart"/>
      <w:r w:rsidR="00025DA3">
        <w:rPr>
          <w:rFonts w:ascii="Arial" w:hAnsi="Arial" w:cs="Arial"/>
          <w:sz w:val="20"/>
          <w:szCs w:val="20"/>
          <w:lang w:val="en-US"/>
        </w:rPr>
        <w:t>hợp</w:t>
      </w:r>
      <w:proofErr w:type="spellEnd"/>
      <w:r w:rsidRPr="00FA714D">
        <w:rPr>
          <w:rFonts w:ascii="Arial" w:hAnsi="Arial" w:cs="Arial"/>
          <w:sz w:val="20"/>
          <w:szCs w:val="20"/>
        </w:rPr>
        <w:t xml:space="preserve"> đồng tương lai trái phiếu Chính phủ; từng bước triển khai </w:t>
      </w:r>
      <w:r w:rsidR="00025DA3">
        <w:rPr>
          <w:rFonts w:ascii="Arial" w:hAnsi="Arial" w:cs="Arial"/>
          <w:sz w:val="20"/>
          <w:szCs w:val="20"/>
        </w:rPr>
        <w:t>hợp đồng</w:t>
      </w:r>
      <w:r w:rsidRPr="00FA714D">
        <w:rPr>
          <w:rFonts w:ascii="Arial" w:hAnsi="Arial" w:cs="Arial"/>
          <w:sz w:val="20"/>
          <w:szCs w:val="20"/>
        </w:rPr>
        <w:t xml:space="preserve"> quyền chọn chỉ số chứng khoán, các sản phẩm </w:t>
      </w:r>
      <w:r w:rsidR="00025DA3">
        <w:rPr>
          <w:rFonts w:ascii="Arial" w:hAnsi="Arial" w:cs="Arial"/>
          <w:sz w:val="20"/>
          <w:szCs w:val="20"/>
        </w:rPr>
        <w:t>hợp đồng</w:t>
      </w:r>
      <w:r w:rsidRPr="00FA714D">
        <w:rPr>
          <w:rFonts w:ascii="Arial" w:hAnsi="Arial" w:cs="Arial"/>
          <w:sz w:val="20"/>
          <w:szCs w:val="20"/>
        </w:rPr>
        <w:t xml:space="preserve"> tương lai, hợp đồng quy</w:t>
      </w:r>
      <w:r w:rsidR="00025DA3">
        <w:rPr>
          <w:rFonts w:ascii="Arial" w:hAnsi="Arial" w:cs="Arial"/>
          <w:sz w:val="20"/>
          <w:szCs w:val="20"/>
          <w:lang w:val="en-US"/>
        </w:rPr>
        <w:t>ề</w:t>
      </w:r>
      <w:r w:rsidRPr="00FA714D">
        <w:rPr>
          <w:rFonts w:ascii="Arial" w:hAnsi="Arial" w:cs="Arial"/>
          <w:sz w:val="20"/>
          <w:szCs w:val="20"/>
        </w:rPr>
        <w:t xml:space="preserve">n chọn dựa trên cổ phiếu đơn lẻ hoặc nhóm cổ phiếu; cải tiến chất lượng chỉ số hiện hành, sửa đổi bộ quy tắc chỉ số </w:t>
      </w:r>
      <w:r w:rsidR="00025DA3">
        <w:rPr>
          <w:rFonts w:ascii="Arial" w:hAnsi="Arial" w:cs="Arial"/>
          <w:sz w:val="20"/>
          <w:szCs w:val="20"/>
        </w:rPr>
        <w:t>phù hợp</w:t>
      </w:r>
      <w:r w:rsidRPr="00FA714D">
        <w:rPr>
          <w:rFonts w:ascii="Arial" w:hAnsi="Arial" w:cs="Arial"/>
          <w:sz w:val="20"/>
          <w:szCs w:val="20"/>
        </w:rPr>
        <w:t xml:space="preserve"> với thông lệ quốc tế, đồng thời phát triển thêm các chỉ số cơ sở để làm tài sản cơ sở cho TTCK phái sinh...; hướng tới </w:t>
      </w:r>
      <w:r w:rsidR="00D87082">
        <w:rPr>
          <w:rFonts w:ascii="Arial" w:hAnsi="Arial" w:cs="Arial"/>
          <w:sz w:val="20"/>
          <w:szCs w:val="20"/>
        </w:rPr>
        <w:t>phát triển</w:t>
      </w:r>
      <w:r w:rsidRPr="00FA714D">
        <w:rPr>
          <w:rFonts w:ascii="Arial" w:hAnsi="Arial" w:cs="Arial"/>
          <w:sz w:val="20"/>
          <w:szCs w:val="20"/>
        </w:rPr>
        <w:t xml:space="preserve"> đa dạng các sản phẩm phái sinh dựa trên nhiều tài sản cơ sở khác nhau.</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Nghiên cứu, triển khai đa dạng các sản phẩm chứng quyền có bả</w:t>
      </w:r>
      <w:r w:rsidR="00B549C9">
        <w:rPr>
          <w:rFonts w:ascii="Arial" w:hAnsi="Arial" w:cs="Arial"/>
          <w:sz w:val="20"/>
          <w:szCs w:val="20"/>
        </w:rPr>
        <w:t>o đảm, các loại sản phẩm cấu trú</w:t>
      </w:r>
      <w:r w:rsidRPr="00FA714D">
        <w:rPr>
          <w:rFonts w:ascii="Arial" w:hAnsi="Arial" w:cs="Arial"/>
          <w:sz w:val="20"/>
          <w:szCs w:val="20"/>
        </w:rPr>
        <w:t xml:space="preserve">c, các loại chứng chỉ lưu ký, các loại chứng chỉ quỹ đầu tư chứng khoán, các công cụ tài chính xanh </w:t>
      </w:r>
      <w:r w:rsidR="00025DA3">
        <w:rPr>
          <w:rFonts w:ascii="Arial" w:hAnsi="Arial" w:cs="Arial"/>
          <w:sz w:val="20"/>
          <w:szCs w:val="20"/>
        </w:rPr>
        <w:t>phù hợp</w:t>
      </w:r>
      <w:r w:rsidRPr="00FA714D">
        <w:rPr>
          <w:rFonts w:ascii="Arial" w:hAnsi="Arial" w:cs="Arial"/>
          <w:sz w:val="20"/>
          <w:szCs w:val="20"/>
        </w:rPr>
        <w:t xml:space="preserve"> với trình độ phát </w:t>
      </w:r>
      <w:proofErr w:type="spellStart"/>
      <w:r w:rsidR="00B549C9">
        <w:rPr>
          <w:rFonts w:ascii="Arial" w:hAnsi="Arial" w:cs="Arial"/>
          <w:sz w:val="20"/>
          <w:szCs w:val="20"/>
          <w:lang w:val="en-US"/>
        </w:rPr>
        <w:t>triển</w:t>
      </w:r>
      <w:proofErr w:type="spellEnd"/>
      <w:r w:rsidRPr="00FA714D">
        <w:rPr>
          <w:rFonts w:ascii="Arial" w:hAnsi="Arial" w:cs="Arial"/>
          <w:sz w:val="20"/>
          <w:szCs w:val="20"/>
        </w:rPr>
        <w:t xml:space="preserve"> của TTCK.</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Nâng cao tính minh bạch và chất lượng hàng hóa:</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Thực hiện sắp xếp, phân loại cổ phiếu niêm yết và cổ phiếu đăng ký giao dịch trên Sở giao dịch chứng khoán Việt Nam dựa trên quy mô, chất lượng đồng thời nâng cao điều kiện niêm yết và điều </w:t>
      </w:r>
      <w:r w:rsidR="009B2237">
        <w:rPr>
          <w:rFonts w:ascii="Arial" w:hAnsi="Arial" w:cs="Arial"/>
          <w:sz w:val="20"/>
          <w:szCs w:val="20"/>
        </w:rPr>
        <w:t>kiện duy trì niêm yết đối với cổ</w:t>
      </w:r>
      <w:r w:rsidRPr="00FA714D">
        <w:rPr>
          <w:rFonts w:ascii="Arial" w:hAnsi="Arial" w:cs="Arial"/>
          <w:sz w:val="20"/>
          <w:szCs w:val="20"/>
        </w:rPr>
        <w:t xml:space="preserve"> phiếu.</w:t>
      </w:r>
    </w:p>
    <w:p w:rsidR="00560C54" w:rsidRPr="00FA714D" w:rsidRDefault="00B549C9" w:rsidP="00FA714D">
      <w:pPr>
        <w:pStyle w:val="Vnbnnidung0"/>
        <w:spacing w:after="120" w:line="240" w:lineRule="auto"/>
        <w:ind w:firstLine="720"/>
        <w:jc w:val="both"/>
        <w:rPr>
          <w:rFonts w:ascii="Arial" w:hAnsi="Arial" w:cs="Arial"/>
          <w:sz w:val="20"/>
          <w:szCs w:val="20"/>
        </w:rPr>
      </w:pPr>
      <w:r>
        <w:rPr>
          <w:rFonts w:ascii="Arial" w:hAnsi="Arial" w:cs="Arial"/>
          <w:sz w:val="20"/>
          <w:szCs w:val="20"/>
        </w:rPr>
        <w:t>+ Thẩ</w:t>
      </w:r>
      <w:r w:rsidR="00D86E80" w:rsidRPr="00FA714D">
        <w:rPr>
          <w:rFonts w:ascii="Arial" w:hAnsi="Arial" w:cs="Arial"/>
          <w:sz w:val="20"/>
          <w:szCs w:val="20"/>
        </w:rPr>
        <w:t xml:space="preserve">m định, giám sát chặt chẽ việc phát hành chứng </w:t>
      </w:r>
      <w:r w:rsidR="00EA2C68">
        <w:rPr>
          <w:rFonts w:ascii="Arial" w:hAnsi="Arial" w:cs="Arial"/>
          <w:sz w:val="20"/>
          <w:szCs w:val="20"/>
        </w:rPr>
        <w:t>khoán; tăng cường thanh tra, kiể</w:t>
      </w:r>
      <w:r w:rsidR="00D86E80" w:rsidRPr="00FA714D">
        <w:rPr>
          <w:rFonts w:ascii="Arial" w:hAnsi="Arial" w:cs="Arial"/>
          <w:sz w:val="20"/>
          <w:szCs w:val="20"/>
        </w:rPr>
        <w:t>m tra, giám sát việc sử dụng vốn đúng mục đích theo phương án phát hành được cấp phép theo quy định pháp luật; kiểm tra, giám sát việc công bố thông tin của các doanh nghiệp huy động vốn trên TTCK; xử lý nghiêm các trường hợp vi phạm. Kiểm tra, xử lý kịp thời các doanh nghiệp không tuân thủ quy định pháp luật về niêm yết/đăng ký giao dịch.</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Tăng cường kiểm tra việc tuân thủ công bố </w:t>
      </w:r>
      <w:r w:rsidR="00EA2C68">
        <w:rPr>
          <w:rFonts w:ascii="Arial" w:hAnsi="Arial" w:cs="Arial"/>
          <w:sz w:val="20"/>
          <w:szCs w:val="20"/>
        </w:rPr>
        <w:t>thông tin báo cáo tài chính; kiể</w:t>
      </w:r>
      <w:r w:rsidRPr="00FA714D">
        <w:rPr>
          <w:rFonts w:ascii="Arial" w:hAnsi="Arial" w:cs="Arial"/>
          <w:sz w:val="20"/>
          <w:szCs w:val="20"/>
        </w:rPr>
        <w:t>m tra, giám sát việc cung cấp dịch vụ ki</w:t>
      </w:r>
      <w:r w:rsidR="00EA2C68">
        <w:rPr>
          <w:rFonts w:ascii="Arial" w:hAnsi="Arial" w:cs="Arial"/>
          <w:sz w:val="20"/>
          <w:szCs w:val="20"/>
        </w:rPr>
        <w:t>ểm toán của các doanh nghiệp kiể</w:t>
      </w:r>
      <w:r w:rsidRPr="00FA714D">
        <w:rPr>
          <w:rFonts w:ascii="Arial" w:hAnsi="Arial" w:cs="Arial"/>
          <w:sz w:val="20"/>
          <w:szCs w:val="20"/>
        </w:rPr>
        <w:t>m toán, kiểm toán viên nhằm nâng cao chất lượng báo cáo tài chính và dịch vụ kế toán - kiểm toán; xử lý nghiêm đối với hành</w:t>
      </w:r>
      <w:r w:rsidR="00EA2C68">
        <w:rPr>
          <w:rFonts w:ascii="Arial" w:hAnsi="Arial" w:cs="Arial"/>
          <w:sz w:val="20"/>
          <w:szCs w:val="20"/>
        </w:rPr>
        <w:t xml:space="preserve"> vi vi phạm của doanh nghiệp kiểm toán, kiểm toán viên khi thực hiện kiể</w:t>
      </w:r>
      <w:r w:rsidRPr="00FA714D">
        <w:rPr>
          <w:rFonts w:ascii="Arial" w:hAnsi="Arial" w:cs="Arial"/>
          <w:sz w:val="20"/>
          <w:szCs w:val="20"/>
        </w:rPr>
        <w:t>m toán các doanh nghiệp niêm y</w:t>
      </w:r>
      <w:r w:rsidR="00EA2C68">
        <w:rPr>
          <w:rFonts w:ascii="Arial" w:hAnsi="Arial" w:cs="Arial"/>
          <w:sz w:val="20"/>
          <w:szCs w:val="20"/>
          <w:lang w:val="en-US"/>
        </w:rPr>
        <w:t>ế</w:t>
      </w:r>
      <w:r w:rsidRPr="00FA714D">
        <w:rPr>
          <w:rFonts w:ascii="Arial" w:hAnsi="Arial" w:cs="Arial"/>
          <w:sz w:val="20"/>
          <w:szCs w:val="20"/>
        </w:rPr>
        <w:t>t, công ty đại chúng.</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Tiếp cận thông lệ quốc tế và </w:t>
      </w:r>
      <w:r w:rsidR="00025DA3">
        <w:rPr>
          <w:rFonts w:ascii="Arial" w:hAnsi="Arial" w:cs="Arial"/>
          <w:sz w:val="20"/>
          <w:szCs w:val="20"/>
        </w:rPr>
        <w:t>phù hợp</w:t>
      </w:r>
      <w:r w:rsidRPr="00FA714D">
        <w:rPr>
          <w:rFonts w:ascii="Arial" w:hAnsi="Arial" w:cs="Arial"/>
          <w:sz w:val="20"/>
          <w:szCs w:val="20"/>
        </w:rPr>
        <w:t xml:space="preserve"> với điều kiện của Việt Nam </w:t>
      </w:r>
      <w:proofErr w:type="spellStart"/>
      <w:r w:rsidR="00E70AF1">
        <w:rPr>
          <w:rFonts w:ascii="Arial" w:hAnsi="Arial" w:cs="Arial"/>
          <w:sz w:val="20"/>
          <w:szCs w:val="20"/>
          <w:lang w:val="en-US"/>
        </w:rPr>
        <w:t>đối</w:t>
      </w:r>
      <w:proofErr w:type="spellEnd"/>
      <w:r w:rsidRPr="00FA714D">
        <w:rPr>
          <w:rFonts w:ascii="Arial" w:hAnsi="Arial" w:cs="Arial"/>
          <w:sz w:val="20"/>
          <w:szCs w:val="20"/>
        </w:rPr>
        <w:t xml:space="preserve"> với các chuẩn mực về kế toán, kiểm toán. Áp</w:t>
      </w:r>
      <w:r w:rsidR="00E70AF1">
        <w:rPr>
          <w:rFonts w:ascii="Arial" w:hAnsi="Arial" w:cs="Arial"/>
          <w:sz w:val="20"/>
          <w:szCs w:val="20"/>
        </w:rPr>
        <w:t xml:space="preserve"> dụng các chuẩn mực kế toán quố</w:t>
      </w:r>
      <w:r w:rsidRPr="00FA714D">
        <w:rPr>
          <w:rFonts w:ascii="Arial" w:hAnsi="Arial" w:cs="Arial"/>
          <w:sz w:val="20"/>
          <w:szCs w:val="20"/>
        </w:rPr>
        <w:t>c tế (IAS), chuẩn mực báo cáo tài chính quốc t</w:t>
      </w:r>
      <w:r w:rsidR="00E70AF1">
        <w:rPr>
          <w:rFonts w:ascii="Arial" w:hAnsi="Arial" w:cs="Arial"/>
          <w:sz w:val="20"/>
          <w:szCs w:val="20"/>
          <w:lang w:val="en-US"/>
        </w:rPr>
        <w:t>ế</w:t>
      </w:r>
      <w:r w:rsidRPr="00FA714D">
        <w:rPr>
          <w:rFonts w:ascii="Arial" w:hAnsi="Arial" w:cs="Arial"/>
          <w:sz w:val="20"/>
          <w:szCs w:val="20"/>
        </w:rPr>
        <w:t xml:space="preserve"> (IFRS) góp phần nâng cao tính minh bạch và tăng hiệu quả c</w:t>
      </w:r>
      <w:r w:rsidR="00E70AF1">
        <w:rPr>
          <w:rFonts w:ascii="Arial" w:hAnsi="Arial" w:cs="Arial"/>
          <w:sz w:val="20"/>
          <w:szCs w:val="20"/>
        </w:rPr>
        <w:t>ung cấp thông tin cho các nhà đầ</w:t>
      </w:r>
      <w:r w:rsidRPr="00FA714D">
        <w:rPr>
          <w:rFonts w:ascii="Arial" w:hAnsi="Arial" w:cs="Arial"/>
          <w:sz w:val="20"/>
          <w:szCs w:val="20"/>
        </w:rPr>
        <w:t>u tư.</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Nâng cao chất lượng công bố thông tin của công ty đại chúng trên cơ sở thúc đẩy việc tuyên truyền, phổ biến các quy định v</w:t>
      </w:r>
      <w:r w:rsidR="00E70AF1">
        <w:rPr>
          <w:rFonts w:ascii="Arial" w:hAnsi="Arial" w:cs="Arial"/>
          <w:sz w:val="20"/>
          <w:szCs w:val="20"/>
          <w:lang w:val="en-US"/>
        </w:rPr>
        <w:t>ề</w:t>
      </w:r>
      <w:r w:rsidRPr="00FA714D">
        <w:rPr>
          <w:rFonts w:ascii="Arial" w:hAnsi="Arial" w:cs="Arial"/>
          <w:sz w:val="20"/>
          <w:szCs w:val="20"/>
        </w:rPr>
        <w:t xml:space="preserve"> công b</w:t>
      </w:r>
      <w:r w:rsidR="00E70AF1">
        <w:rPr>
          <w:rFonts w:ascii="Arial" w:hAnsi="Arial" w:cs="Arial"/>
          <w:sz w:val="20"/>
          <w:szCs w:val="20"/>
          <w:lang w:val="en-US"/>
        </w:rPr>
        <w:t>ố</w:t>
      </w:r>
      <w:r w:rsidRPr="00FA714D">
        <w:rPr>
          <w:rFonts w:ascii="Arial" w:hAnsi="Arial" w:cs="Arial"/>
          <w:sz w:val="20"/>
          <w:szCs w:val="20"/>
        </w:rPr>
        <w:t xml:space="preserve"> thông tin; khuyến khích các đối tượng công bố thông tin bằng </w:t>
      </w:r>
      <w:r w:rsidRPr="00FA714D">
        <w:rPr>
          <w:rFonts w:ascii="Arial" w:hAnsi="Arial" w:cs="Arial"/>
          <w:sz w:val="20"/>
          <w:szCs w:val="20"/>
        </w:rPr>
        <w:lastRenderedPageBreak/>
        <w:t>tiếng Anh; t</w:t>
      </w:r>
      <w:r w:rsidR="00E70AF1">
        <w:rPr>
          <w:rFonts w:ascii="Arial" w:hAnsi="Arial" w:cs="Arial"/>
          <w:sz w:val="20"/>
          <w:szCs w:val="20"/>
          <w:lang w:val="en-US"/>
        </w:rPr>
        <w:t>ổ</w:t>
      </w:r>
      <w:r w:rsidRPr="00FA714D">
        <w:rPr>
          <w:rFonts w:ascii="Arial" w:hAnsi="Arial" w:cs="Arial"/>
          <w:sz w:val="20"/>
          <w:szCs w:val="20"/>
        </w:rPr>
        <w:t xml:space="preserve"> chức ki</w:t>
      </w:r>
      <w:r w:rsidR="00E70AF1">
        <w:rPr>
          <w:rFonts w:ascii="Arial" w:hAnsi="Arial" w:cs="Arial"/>
          <w:sz w:val="20"/>
          <w:szCs w:val="20"/>
          <w:lang w:val="en-US"/>
        </w:rPr>
        <w:t>ể</w:t>
      </w:r>
      <w:r w:rsidRPr="00FA714D">
        <w:rPr>
          <w:rFonts w:ascii="Arial" w:hAnsi="Arial" w:cs="Arial"/>
          <w:sz w:val="20"/>
          <w:szCs w:val="20"/>
        </w:rPr>
        <w:t>m tra để chấn chỉnh, nhắc nhở doanh nghiệp, thành viên, cổ đông lớn, người nội bộ, người có liên quan thực hiện nghĩa vụ báo cáo, công bố thông tin đ</w:t>
      </w:r>
      <w:r w:rsidR="00E70AF1">
        <w:rPr>
          <w:rFonts w:ascii="Arial" w:hAnsi="Arial" w:cs="Arial"/>
          <w:sz w:val="20"/>
          <w:szCs w:val="20"/>
          <w:lang w:val="en-US"/>
        </w:rPr>
        <w:t>ầ</w:t>
      </w:r>
      <w:r w:rsidRPr="00FA714D">
        <w:rPr>
          <w:rFonts w:ascii="Arial" w:hAnsi="Arial" w:cs="Arial"/>
          <w:sz w:val="20"/>
          <w:szCs w:val="20"/>
        </w:rPr>
        <w:t xml:space="preserve">y đủ và kịp </w:t>
      </w:r>
      <w:proofErr w:type="spellStart"/>
      <w:r w:rsidR="00E70AF1">
        <w:rPr>
          <w:rFonts w:ascii="Arial" w:hAnsi="Arial" w:cs="Arial"/>
          <w:sz w:val="20"/>
          <w:szCs w:val="20"/>
          <w:lang w:val="en-US"/>
        </w:rPr>
        <w:t>thời</w:t>
      </w:r>
      <w:proofErr w:type="spellEnd"/>
      <w:r w:rsidRPr="00FA714D">
        <w:rPr>
          <w:rFonts w:ascii="Arial" w:hAnsi="Arial" w:cs="Arial"/>
          <w:sz w:val="20"/>
          <w:szCs w:val="20"/>
        </w:rPr>
        <w:t xml:space="preserve">; hiện đại hóa hệ thống công bố thông tin của </w:t>
      </w:r>
      <w:proofErr w:type="spellStart"/>
      <w:r w:rsidR="00E70AF1">
        <w:rPr>
          <w:rFonts w:ascii="Arial" w:hAnsi="Arial" w:cs="Arial"/>
          <w:sz w:val="20"/>
          <w:szCs w:val="20"/>
          <w:lang w:val="en-US"/>
        </w:rPr>
        <w:t>Ủy</w:t>
      </w:r>
      <w:proofErr w:type="spellEnd"/>
      <w:r w:rsidRPr="00FA714D">
        <w:rPr>
          <w:rFonts w:ascii="Arial" w:hAnsi="Arial" w:cs="Arial"/>
          <w:sz w:val="20"/>
          <w:szCs w:val="20"/>
        </w:rPr>
        <w:t xml:space="preserve"> ban Chứng khoán Nhà nước nhằm hỗ trợ các doanh nghiệp, thành viên thị trường thực hiện công b</w:t>
      </w:r>
      <w:r w:rsidR="00E70AF1">
        <w:rPr>
          <w:rFonts w:ascii="Arial" w:hAnsi="Arial" w:cs="Arial"/>
          <w:sz w:val="20"/>
          <w:szCs w:val="20"/>
          <w:lang w:val="en-US"/>
        </w:rPr>
        <w:t>ố</w:t>
      </w:r>
      <w:r w:rsidR="00E70AF1">
        <w:rPr>
          <w:rFonts w:ascii="Arial" w:hAnsi="Arial" w:cs="Arial"/>
          <w:sz w:val="20"/>
          <w:szCs w:val="20"/>
        </w:rPr>
        <w:t xml:space="preserve"> thông tin đầ</w:t>
      </w:r>
      <w:r w:rsidRPr="00FA714D">
        <w:rPr>
          <w:rFonts w:ascii="Arial" w:hAnsi="Arial" w:cs="Arial"/>
          <w:sz w:val="20"/>
          <w:szCs w:val="20"/>
        </w:rPr>
        <w:t>y đủ theo quy định.</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Phối </w:t>
      </w:r>
      <w:proofErr w:type="spellStart"/>
      <w:r w:rsidR="00E70AF1">
        <w:rPr>
          <w:rFonts w:ascii="Arial" w:hAnsi="Arial" w:cs="Arial"/>
          <w:sz w:val="20"/>
          <w:szCs w:val="20"/>
          <w:lang w:val="en-US"/>
        </w:rPr>
        <w:t>hợp</w:t>
      </w:r>
      <w:proofErr w:type="spellEnd"/>
      <w:r w:rsidRPr="00FA714D">
        <w:rPr>
          <w:rFonts w:ascii="Arial" w:hAnsi="Arial" w:cs="Arial"/>
          <w:sz w:val="20"/>
          <w:szCs w:val="20"/>
        </w:rPr>
        <w:t xml:space="preserve"> với các đơn vị trong và ngoài nước để đẩy mạnh các chương trình đào tạo, tuyên truyền về quản trị công ty, chương trình đánh giá xếp loại quản trị công ty hàng năm cho các công ty niêm yết; nâng cao vai trò và trách nhiệm của các Sở giao dịch chứng khoán trong việc giám sát thực hiện các quy định về công bố thông tin và quản trị công ty.</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Nâng cao chất lượng báo cáo thường niên của công ty đại chúng, hướng tới yếu tố phát triển bền vững dựa trên áp dụng tiêu chuẩn môi trường, xã hội và quản trị doanh nghiệp (tiêu chuẩn ESG) theo thông lệ quốc tế.</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Tăng cường vai trò và trách nhiệm của các tổ chức xếp hạng tín nhiệm trên thị trường trái phiếu doanh nghiệp, tiến tới yêu cầu doanh nghiệp phát hành trái phiếu phải được xếp hạng tín nhiệm, hình thành thói quen và thông lệ sử dụng kết quả xếp hạng tín nhiệm khi phát hành, đầu tư trái phiếu doanh nghiệp.</w:t>
      </w:r>
    </w:p>
    <w:p w:rsidR="002D6F15" w:rsidRDefault="00D86E80" w:rsidP="002D6F15">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Nghiên cứu về tổ chức cung cấp dịch vụ định giá trái phiếu, tổ chức cung cấp dịch vụ định giá trái phiếu xanh, trái phiếu bền </w:t>
      </w:r>
      <w:proofErr w:type="spellStart"/>
      <w:r w:rsidR="002D6F15">
        <w:rPr>
          <w:rFonts w:ascii="Arial" w:hAnsi="Arial" w:cs="Arial"/>
          <w:sz w:val="20"/>
          <w:szCs w:val="20"/>
          <w:lang w:val="en-US"/>
        </w:rPr>
        <w:t>vững</w:t>
      </w:r>
      <w:proofErr w:type="spellEnd"/>
      <w:r w:rsidRPr="00FA714D">
        <w:rPr>
          <w:rFonts w:ascii="Arial" w:hAnsi="Arial" w:cs="Arial"/>
          <w:sz w:val="20"/>
          <w:szCs w:val="20"/>
        </w:rPr>
        <w:t xml:space="preserve">; chuẩn hóa quy định về trách nhiệm của </w:t>
      </w:r>
      <w:r w:rsidR="007641D9">
        <w:rPr>
          <w:rFonts w:ascii="Arial" w:hAnsi="Arial" w:cs="Arial"/>
          <w:sz w:val="20"/>
          <w:szCs w:val="20"/>
        </w:rPr>
        <w:t>tổ chức</w:t>
      </w:r>
      <w:r w:rsidRPr="00FA714D">
        <w:rPr>
          <w:rFonts w:ascii="Arial" w:hAnsi="Arial" w:cs="Arial"/>
          <w:sz w:val="20"/>
          <w:szCs w:val="20"/>
        </w:rPr>
        <w:t xml:space="preserve"> đại diện người sở hữu trái phiếu, t</w:t>
      </w:r>
      <w:r w:rsidR="002D6F15">
        <w:rPr>
          <w:rFonts w:ascii="Arial" w:hAnsi="Arial" w:cs="Arial"/>
          <w:sz w:val="20"/>
          <w:szCs w:val="20"/>
          <w:lang w:val="en-US"/>
        </w:rPr>
        <w:t>ổ</w:t>
      </w:r>
      <w:r w:rsidRPr="00FA714D">
        <w:rPr>
          <w:rFonts w:ascii="Arial" w:hAnsi="Arial" w:cs="Arial"/>
          <w:sz w:val="20"/>
          <w:szCs w:val="20"/>
        </w:rPr>
        <w:t xml:space="preserve"> chức quản lý tài sản đảm bảo để tăng tính chuyên nghiệp cho thị trường trái phiếu doanh nghiệp.</w:t>
      </w:r>
      <w:bookmarkStart w:id="44" w:name="bookmark43"/>
      <w:bookmarkEnd w:id="44"/>
    </w:p>
    <w:p w:rsidR="002D6F15" w:rsidRDefault="002D6F15" w:rsidP="002D6F1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D86E80" w:rsidRPr="00FA714D">
        <w:rPr>
          <w:rFonts w:ascii="Arial" w:hAnsi="Arial" w:cs="Arial"/>
          <w:sz w:val="20"/>
          <w:szCs w:val="20"/>
        </w:rPr>
        <w:t>Giải pháp phát triển và đa dạng hóa</w:t>
      </w:r>
      <w:r>
        <w:rPr>
          <w:rFonts w:ascii="Arial" w:hAnsi="Arial" w:cs="Arial"/>
          <w:sz w:val="20"/>
          <w:szCs w:val="20"/>
        </w:rPr>
        <w:t xml:space="preserve"> cơ sở nhà đầu tư, cải thiện chấ</w:t>
      </w:r>
      <w:r w:rsidR="00D86E80" w:rsidRPr="00FA714D">
        <w:rPr>
          <w:rFonts w:ascii="Arial" w:hAnsi="Arial" w:cs="Arial"/>
          <w:sz w:val="20"/>
          <w:szCs w:val="20"/>
        </w:rPr>
        <w:t>t lượng cầu đầu tư nhằm hướng tới cầu đầu tư bền vững:</w:t>
      </w:r>
      <w:bookmarkStart w:id="45" w:name="bookmark44"/>
      <w:bookmarkEnd w:id="45"/>
    </w:p>
    <w:p w:rsidR="00560C54" w:rsidRPr="00FA714D" w:rsidRDefault="002D6F15" w:rsidP="002D6F1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Đa dạng hóa cơ sở nhà đầu tư trong nước:</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Phát triển các nhà đầu tư tổ chức trong nước trong đó chú trọng phát triển các loại hình quỹ đầu tư chứng khoán; nghiên cứu xây dựng các văn bản pháp luật đối với loại hình quỹ đầu tư vào thị trường tiền tệ (money market funds), các loại hình chứng chỉ quỹ ETF phức hợp (leverage/inverse ETF), quỹ của quỹ (fund of funds)... phù hợp với trình độ phát triển của TTCK, hướng tới cơ cấu hợp lý giữa nhà đầu tư cá nhân và nhà đầu tư </w:t>
      </w:r>
      <w:r w:rsidR="007641D9">
        <w:rPr>
          <w:rFonts w:ascii="Arial" w:hAnsi="Arial" w:cs="Arial"/>
          <w:sz w:val="20"/>
          <w:szCs w:val="20"/>
        </w:rPr>
        <w:t>tổ chức</w:t>
      </w:r>
      <w:r w:rsidR="00101DAE">
        <w:rPr>
          <w:rFonts w:ascii="Arial" w:hAnsi="Arial" w:cs="Arial"/>
          <w:sz w:val="20"/>
          <w:szCs w:val="20"/>
        </w:rPr>
        <w:t>, giữa nhà đầ</w:t>
      </w:r>
      <w:r w:rsidRPr="00FA714D">
        <w:rPr>
          <w:rFonts w:ascii="Arial" w:hAnsi="Arial" w:cs="Arial"/>
          <w:sz w:val="20"/>
          <w:szCs w:val="20"/>
        </w:rPr>
        <w:t xml:space="preserve">u tư trong nước và nhà đầu tư nước ngoài, thúc </w:t>
      </w:r>
      <w:proofErr w:type="spellStart"/>
      <w:r w:rsidR="00101DAE">
        <w:rPr>
          <w:rFonts w:ascii="Arial" w:hAnsi="Arial" w:cs="Arial"/>
          <w:sz w:val="20"/>
          <w:szCs w:val="20"/>
          <w:lang w:val="en-US"/>
        </w:rPr>
        <w:t>đẩy</w:t>
      </w:r>
      <w:proofErr w:type="spellEnd"/>
      <w:r w:rsidRPr="00FA714D">
        <w:rPr>
          <w:rFonts w:ascii="Arial" w:hAnsi="Arial" w:cs="Arial"/>
          <w:sz w:val="20"/>
          <w:szCs w:val="20"/>
        </w:rPr>
        <w:t xml:space="preserve"> TTCK phát triển theo hướng bền vững.</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Đa dạng hóa kênh phân phối chứng chỉ quỹ; khuyến khích sự tham gia của các nhà đầu tư vào TTCK thông qua các loại hình quỹ đầu tư, đặc biệt là quỹ hưu trí bổ sung tự nguyện nhằm thúc đẩy phát triển chương trình hưu trí tự nguyện tại Việt Nam.</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Nghiên cứu các giải pháp khuyến khích doanh nghiệp bảo hiểm tham gia đầu tư trên thị trường sơ cấp và thứ cấp </w:t>
      </w:r>
      <w:r w:rsidR="00101DAE">
        <w:rPr>
          <w:rFonts w:ascii="Arial" w:hAnsi="Arial" w:cs="Arial"/>
          <w:sz w:val="20"/>
          <w:szCs w:val="20"/>
        </w:rPr>
        <w:t>trái phiếu Chính phủ, mở rộng đầ</w:t>
      </w:r>
      <w:r w:rsidRPr="00FA714D">
        <w:rPr>
          <w:rFonts w:ascii="Arial" w:hAnsi="Arial" w:cs="Arial"/>
          <w:sz w:val="20"/>
          <w:szCs w:val="20"/>
        </w:rPr>
        <w:t>u tư vào trái phiếu doanh nghiệp có xếp hạng tín nhiệm, trái phiếu niêm yết, c</w:t>
      </w:r>
      <w:r w:rsidR="00101DAE">
        <w:rPr>
          <w:rFonts w:ascii="Arial" w:hAnsi="Arial" w:cs="Arial"/>
          <w:sz w:val="20"/>
          <w:szCs w:val="20"/>
          <w:lang w:val="en-US"/>
        </w:rPr>
        <w:t>ổ</w:t>
      </w:r>
      <w:r w:rsidRPr="00FA714D">
        <w:rPr>
          <w:rFonts w:ascii="Arial" w:hAnsi="Arial" w:cs="Arial"/>
          <w:sz w:val="20"/>
          <w:szCs w:val="20"/>
        </w:rPr>
        <w:t xml:space="preserve"> phiếu, chứng chỉ quỹ niêm yết phù hợp quy định pháp luật và nguyên tắc, mục tiêu đầu</w:t>
      </w:r>
      <w:r w:rsidR="00101DAE">
        <w:rPr>
          <w:rFonts w:ascii="Arial" w:hAnsi="Arial" w:cs="Arial"/>
          <w:sz w:val="20"/>
          <w:szCs w:val="20"/>
        </w:rPr>
        <w:t xml:space="preserve"> tư của các doanh nghiệp bảo hiể</w:t>
      </w:r>
      <w:r w:rsidRPr="00FA714D">
        <w:rPr>
          <w:rFonts w:ascii="Arial" w:hAnsi="Arial" w:cs="Arial"/>
          <w:sz w:val="20"/>
          <w:szCs w:val="20"/>
        </w:rPr>
        <w:t>m.</w:t>
      </w:r>
    </w:p>
    <w:p w:rsidR="00F93008" w:rsidRDefault="00D86E80" w:rsidP="00F93008">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Nghiên cứu các giải pháp thu hút nhà đầu tư tổ chức và cá nhân tham gia đầu tư vào các công cụ tài chính xanh phù hợp với quy định pháp luật.</w:t>
      </w:r>
      <w:bookmarkStart w:id="46" w:name="bookmark45"/>
      <w:bookmarkEnd w:id="46"/>
    </w:p>
    <w:p w:rsidR="00560C54" w:rsidRPr="00FA714D" w:rsidRDefault="00F93008" w:rsidP="00F930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Thu hút nhà đầu tư nước ngoài:</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Tiếp tục cải cách hành chính, đơn giản hóa các thủ tục đầu tư, tạo điều kiện thuận </w:t>
      </w:r>
      <w:r w:rsidR="00F93008">
        <w:rPr>
          <w:rFonts w:ascii="Arial" w:hAnsi="Arial" w:cs="Arial"/>
          <w:sz w:val="20"/>
          <w:szCs w:val="20"/>
        </w:rPr>
        <w:t>lợi cho nhà đầu tư nước ngoài đầ</w:t>
      </w:r>
      <w:r w:rsidRPr="00FA714D">
        <w:rPr>
          <w:rFonts w:ascii="Arial" w:hAnsi="Arial" w:cs="Arial"/>
          <w:sz w:val="20"/>
          <w:szCs w:val="20"/>
        </w:rPr>
        <w:t>u tư vào TTCK Việt Nam.</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Tăng cường tính minh bạch trong hoạt động thị trường, đả</w:t>
      </w:r>
      <w:r w:rsidR="00F93008">
        <w:rPr>
          <w:rFonts w:ascii="Arial" w:hAnsi="Arial" w:cs="Arial"/>
          <w:sz w:val="20"/>
          <w:szCs w:val="20"/>
        </w:rPr>
        <w:t>m bảo quyền bình đẳ</w:t>
      </w:r>
      <w:r w:rsidRPr="00FA714D">
        <w:rPr>
          <w:rFonts w:ascii="Arial" w:hAnsi="Arial" w:cs="Arial"/>
          <w:sz w:val="20"/>
          <w:szCs w:val="20"/>
        </w:rPr>
        <w:t>ng trong việc tiếp cận thông tin của nhà đầu tư</w:t>
      </w:r>
      <w:r w:rsidR="00F93008">
        <w:rPr>
          <w:rFonts w:ascii="Arial" w:hAnsi="Arial" w:cs="Arial"/>
          <w:sz w:val="20"/>
          <w:szCs w:val="20"/>
        </w:rPr>
        <w:t xml:space="preserve"> nước ngoài thông qua việc khuyế</w:t>
      </w:r>
      <w:r w:rsidRPr="00FA714D">
        <w:rPr>
          <w:rFonts w:ascii="Arial" w:hAnsi="Arial" w:cs="Arial"/>
          <w:sz w:val="20"/>
          <w:szCs w:val="20"/>
        </w:rPr>
        <w:t xml:space="preserve">n khích các </w:t>
      </w:r>
      <w:r w:rsidR="007641D9">
        <w:rPr>
          <w:rFonts w:ascii="Arial" w:hAnsi="Arial" w:cs="Arial"/>
          <w:sz w:val="20"/>
          <w:szCs w:val="20"/>
        </w:rPr>
        <w:t>tổ chức</w:t>
      </w:r>
      <w:r w:rsidRPr="00FA714D">
        <w:rPr>
          <w:rFonts w:ascii="Arial" w:hAnsi="Arial" w:cs="Arial"/>
          <w:sz w:val="20"/>
          <w:szCs w:val="20"/>
        </w:rPr>
        <w:t xml:space="preserve"> niêm yết, công ty đại chúng thực hiện công bố thông tin bằng tiếng Anh.</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Thực hiện các giải pháp để đưa trái phiếu Chính phủ Việt Nam vào rổ chỉ s</w:t>
      </w:r>
      <w:r w:rsidR="00F93008">
        <w:rPr>
          <w:rFonts w:ascii="Arial" w:hAnsi="Arial" w:cs="Arial"/>
          <w:sz w:val="20"/>
          <w:szCs w:val="20"/>
          <w:lang w:val="en-US"/>
        </w:rPr>
        <w:t>ố</w:t>
      </w:r>
      <w:r w:rsidRPr="00FA714D">
        <w:rPr>
          <w:rFonts w:ascii="Arial" w:hAnsi="Arial" w:cs="Arial"/>
          <w:sz w:val="20"/>
          <w:szCs w:val="20"/>
        </w:rPr>
        <w:t xml:space="preserve"> </w:t>
      </w:r>
      <w:r w:rsidR="00F93008">
        <w:rPr>
          <w:rFonts w:ascii="Arial" w:hAnsi="Arial" w:cs="Arial"/>
          <w:sz w:val="20"/>
          <w:szCs w:val="20"/>
        </w:rPr>
        <w:t>trái phiếu Chính phủ quốc tế nhằ</w:t>
      </w:r>
      <w:r w:rsidRPr="00FA714D">
        <w:rPr>
          <w:rFonts w:ascii="Arial" w:hAnsi="Arial" w:cs="Arial"/>
          <w:sz w:val="20"/>
          <w:szCs w:val="20"/>
        </w:rPr>
        <w:t>m nâng cao tính cạnh tranh và thu hút nhà đầu tư nước ngoài tham gia đầu tư trái phiếu Chính phủ Việt Nam.</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Rà soát và bổ sung các quy định nhằm thu hút nguồn vốn đầu tư nước ngoài vào thị trường vốn, thị trường trái phiếu;</w:t>
      </w:r>
      <w:r w:rsidR="00F93008">
        <w:rPr>
          <w:rFonts w:ascii="Arial" w:hAnsi="Arial" w:cs="Arial"/>
          <w:sz w:val="20"/>
          <w:szCs w:val="20"/>
        </w:rPr>
        <w:t xml:space="preserve"> nâng cao tính chuyển đổi của đồ</w:t>
      </w:r>
      <w:r w:rsidRPr="00FA714D">
        <w:rPr>
          <w:rFonts w:ascii="Arial" w:hAnsi="Arial" w:cs="Arial"/>
          <w:sz w:val="20"/>
          <w:szCs w:val="20"/>
        </w:rPr>
        <w:t>ng tiền Việt Nam theo các cơ chế, chính sách hiện hành của Nhà nước.</w:t>
      </w:r>
    </w:p>
    <w:p w:rsidR="005161D1" w:rsidRDefault="00D86E80" w:rsidP="005161D1">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Đẩy mạnh việc thực hiện các giải pháp nhằm nâng hạng TTCK từ thị trường cận biên lên thị trường mới nổi theo tiêu chuẩn phân hạng TTCK của các t</w:t>
      </w:r>
      <w:r w:rsidR="005161D1">
        <w:rPr>
          <w:rFonts w:ascii="Arial" w:hAnsi="Arial" w:cs="Arial"/>
          <w:sz w:val="20"/>
          <w:szCs w:val="20"/>
          <w:lang w:val="en-US"/>
        </w:rPr>
        <w:t>ổ</w:t>
      </w:r>
      <w:r w:rsidRPr="00FA714D">
        <w:rPr>
          <w:rFonts w:ascii="Arial" w:hAnsi="Arial" w:cs="Arial"/>
          <w:sz w:val="20"/>
          <w:szCs w:val="20"/>
        </w:rPr>
        <w:t xml:space="preserve"> chức quốc tế.</w:t>
      </w:r>
    </w:p>
    <w:p w:rsidR="005161D1" w:rsidRDefault="00D86E80" w:rsidP="005161D1">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lastRenderedPageBreak/>
        <w:t>đ) Nâng cao hiệu quả hoạt động thị trường và hiện đại hóa cơ sở hạ tầng, thông tin trên TTCK:</w:t>
      </w:r>
      <w:bookmarkStart w:id="47" w:name="bookmark46"/>
      <w:bookmarkEnd w:id="47"/>
    </w:p>
    <w:p w:rsidR="00560C54" w:rsidRPr="00FA714D" w:rsidRDefault="005161D1" w:rsidP="005161D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V</w:t>
      </w:r>
      <w:r>
        <w:rPr>
          <w:rFonts w:ascii="Arial" w:hAnsi="Arial" w:cs="Arial"/>
          <w:sz w:val="20"/>
          <w:szCs w:val="20"/>
          <w:lang w:val="en-US"/>
        </w:rPr>
        <w:t>ề</w:t>
      </w:r>
      <w:r w:rsidR="00D86E80" w:rsidRPr="00FA714D">
        <w:rPr>
          <w:rFonts w:ascii="Arial" w:hAnsi="Arial" w:cs="Arial"/>
          <w:sz w:val="20"/>
          <w:szCs w:val="20"/>
        </w:rPr>
        <w:t xml:space="preserve"> nâng cao hiệu quả hoạt động của TTCK:</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Triển khai hiệu quả hoạt động của Sở giao dịch chứng khoán Việt Nam và các công ty con, thực hiện phân định các thị trường giao dịch chứng khoán tại các Sở giao</w:t>
      </w:r>
      <w:r w:rsidR="0071791F">
        <w:rPr>
          <w:rFonts w:ascii="Arial" w:hAnsi="Arial" w:cs="Arial"/>
          <w:sz w:val="20"/>
          <w:szCs w:val="20"/>
        </w:rPr>
        <w:t xml:space="preserve"> dịch chứng khoán trên nguyên tắ</w:t>
      </w:r>
      <w:r w:rsidRPr="00FA714D">
        <w:rPr>
          <w:rFonts w:ascii="Arial" w:hAnsi="Arial" w:cs="Arial"/>
          <w:sz w:val="20"/>
          <w:szCs w:val="20"/>
        </w:rPr>
        <w:t>c không làm xáo trộn, đảm bảo duy trì hoạt động liên tục và ổn định, đáp ứng yêu cầu quản lý, thuận lợi cho hoạt động huy động vốn của doanh nghiệp, hoạt động đầu tư, giao dịch chứng khoán của nhà đầu tư.</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Phát triển đa dạng các dịch vụ h</w:t>
      </w:r>
      <w:r w:rsidR="0071791F">
        <w:rPr>
          <w:rFonts w:ascii="Arial" w:hAnsi="Arial" w:cs="Arial"/>
          <w:sz w:val="20"/>
          <w:szCs w:val="20"/>
          <w:lang w:val="en-US"/>
        </w:rPr>
        <w:t>ỗ</w:t>
      </w:r>
      <w:r w:rsidRPr="00FA714D">
        <w:rPr>
          <w:rFonts w:ascii="Arial" w:hAnsi="Arial" w:cs="Arial"/>
          <w:sz w:val="20"/>
          <w:szCs w:val="20"/>
        </w:rPr>
        <w:t xml:space="preserve"> trợ sau giao dịch theo thông lệ và chuẩn mực quốc tế.</w:t>
      </w:r>
    </w:p>
    <w:p w:rsidR="0071791F" w:rsidRDefault="00D86E80" w:rsidP="0071791F">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Áp dụng thông lệ quốc tế về tiêu chuẩn môi trường, xã hội và quản trị công ty (tiêu chuẩn ESG) tại các Sở giao dịch chứng khoán, Tổng công ty lưu ký và bù trừ chứng khoán Việt </w:t>
      </w:r>
      <w:r w:rsidR="0071791F">
        <w:rPr>
          <w:rFonts w:ascii="Arial" w:hAnsi="Arial" w:cs="Arial"/>
          <w:sz w:val="20"/>
          <w:szCs w:val="20"/>
        </w:rPr>
        <w:t>Nam hướng tới mục tiêu phát triển xanh và bền vữ</w:t>
      </w:r>
      <w:r w:rsidRPr="00FA714D">
        <w:rPr>
          <w:rFonts w:ascii="Arial" w:hAnsi="Arial" w:cs="Arial"/>
          <w:sz w:val="20"/>
          <w:szCs w:val="20"/>
        </w:rPr>
        <w:t>ng trong lĩnh vực chứng khoán. Các Sở giao dịch chứng khoán tích cực và chủ động tham gia sáng kiến Sở giao dịch chứng khoán phát triển bền vững của Liên Hợp Quốc.</w:t>
      </w:r>
      <w:bookmarkStart w:id="48" w:name="bookmark47"/>
      <w:bookmarkEnd w:id="48"/>
    </w:p>
    <w:p w:rsidR="00560C54" w:rsidRPr="00FA714D" w:rsidRDefault="0071791F" w:rsidP="0071791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 xml:space="preserve">Hiện đại hóa cơ sở </w:t>
      </w:r>
      <w:r>
        <w:rPr>
          <w:rFonts w:ascii="Arial" w:hAnsi="Arial" w:cs="Arial"/>
          <w:sz w:val="20"/>
          <w:szCs w:val="20"/>
        </w:rPr>
        <w:t>hạ tầng, đổi mới toàn diện và đồ</w:t>
      </w:r>
      <w:r w:rsidR="00D86E80" w:rsidRPr="00FA714D">
        <w:rPr>
          <w:rFonts w:ascii="Arial" w:hAnsi="Arial" w:cs="Arial"/>
          <w:sz w:val="20"/>
          <w:szCs w:val="20"/>
        </w:rPr>
        <w:t>ng bộ công nghệ giao dịch, đăng ký, lưu ký, bù trừ và thanh toán trên TTCK.</w:t>
      </w:r>
    </w:p>
    <w:p w:rsid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Tập trung phát triển thị trường thứ cấp t</w:t>
      </w:r>
      <w:r w:rsidR="00EB40AC">
        <w:rPr>
          <w:rFonts w:ascii="Arial" w:hAnsi="Arial" w:cs="Arial"/>
          <w:sz w:val="20"/>
          <w:szCs w:val="20"/>
        </w:rPr>
        <w:t>rái phiếu Chính phủ nhằm thúc đẩ</w:t>
      </w:r>
      <w:r w:rsidRPr="00FA714D">
        <w:rPr>
          <w:rFonts w:ascii="Arial" w:hAnsi="Arial" w:cs="Arial"/>
          <w:sz w:val="20"/>
          <w:szCs w:val="20"/>
        </w:rPr>
        <w:t>y thanh khoản thị trường, h</w:t>
      </w:r>
      <w:r w:rsidR="00EB40AC">
        <w:rPr>
          <w:rFonts w:ascii="Arial" w:hAnsi="Arial" w:cs="Arial"/>
          <w:sz w:val="20"/>
          <w:szCs w:val="20"/>
          <w:lang w:val="en-US"/>
        </w:rPr>
        <w:t>ỗ</w:t>
      </w:r>
      <w:r w:rsidR="00EB40AC">
        <w:rPr>
          <w:rFonts w:ascii="Arial" w:hAnsi="Arial" w:cs="Arial"/>
          <w:sz w:val="20"/>
          <w:szCs w:val="20"/>
        </w:rPr>
        <w:t xml:space="preserve"> trợ đáp ứng nhu cầu huy động vố</w:t>
      </w:r>
      <w:r w:rsidRPr="00FA714D">
        <w:rPr>
          <w:rFonts w:ascii="Arial" w:hAnsi="Arial" w:cs="Arial"/>
          <w:sz w:val="20"/>
          <w:szCs w:val="20"/>
        </w:rPr>
        <w:t xml:space="preserve">n cho ngân sách Nhà nước và công tác tái cơ cấu ngân sách và nợ công theo hướng an toàn, bền vững; </w:t>
      </w:r>
      <w:r w:rsidR="00EB40AC">
        <w:rPr>
          <w:rFonts w:ascii="Arial" w:hAnsi="Arial" w:cs="Arial"/>
          <w:sz w:val="20"/>
          <w:szCs w:val="20"/>
        </w:rPr>
        <w:t>thiết lập đường cong lã</w:t>
      </w:r>
      <w:r w:rsidRPr="00FA714D">
        <w:rPr>
          <w:rFonts w:ascii="Arial" w:hAnsi="Arial" w:cs="Arial"/>
          <w:sz w:val="20"/>
          <w:szCs w:val="20"/>
        </w:rPr>
        <w:t>i suất chuẩn trên thị trường trái phiếu Chính phủ làm tham chiếu cho thị trường tài chính.</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Xây dựng, vận hành đồng bộ hệ thống giao dịch, đăng </w:t>
      </w:r>
      <w:r w:rsidR="00097060">
        <w:rPr>
          <w:rFonts w:ascii="Arial" w:hAnsi="Arial" w:cs="Arial"/>
          <w:sz w:val="20"/>
          <w:szCs w:val="20"/>
        </w:rPr>
        <w:t>ký, lưu ký, thanh toán trái phiế</w:t>
      </w:r>
      <w:r w:rsidRPr="00FA714D">
        <w:rPr>
          <w:rFonts w:ascii="Arial" w:hAnsi="Arial" w:cs="Arial"/>
          <w:sz w:val="20"/>
          <w:szCs w:val="20"/>
        </w:rPr>
        <w:t>u doanh nghiệp chào bán riêng lẻ dành cho các nhà đầu tư chứng khoán chuyên nghiệp; cải tiến và hiện đại hóa cơ sở hạ tầng thị trường trái phiếu doanh nghiệp phát hành ra công chúng, niêm yết và giao dịch tại Sở giao dịch chứng khoán; nâng cấp chuyên trang thông tin, cổng thông tin về trái phiếu doanh nghiệp tại Sở giao dịch chứng khoán.</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Tự chủ trong nghiên cứu và ứng dụng công nghệ thông tin để tổ chức giao dịch và quản lý, giám sát TTCK: chủ động lựa chọn việc triển khai các giải pháp công nghệ phù hợp áp dụng trong hoạt động giao dịch, quản lý và giám sát thị trường; thực hiện các giải pháp để nâng cao năng lực, trình độ của đội ngũ nhân lực công nghệ thông tin; chú trọng đầu tư để đảm bảo an ninh, an toàn thị trường, an toàn thông tin, dữ liệu ngành chứng khoán.</w:t>
      </w:r>
    </w:p>
    <w:p w:rsidR="00560C54" w:rsidRPr="00FA714D" w:rsidRDefault="002D47AB" w:rsidP="00FA714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lang w:val="en-US"/>
        </w:rPr>
        <w:t>Ứ</w:t>
      </w:r>
      <w:r w:rsidR="00D86E80" w:rsidRPr="00FA714D">
        <w:rPr>
          <w:rFonts w:ascii="Arial" w:hAnsi="Arial" w:cs="Arial"/>
          <w:sz w:val="20"/>
          <w:szCs w:val="20"/>
        </w:rPr>
        <w:t xml:space="preserve">ng dụng công nghệ thông tin trong hoạt động trao </w:t>
      </w:r>
      <w:proofErr w:type="spellStart"/>
      <w:r>
        <w:rPr>
          <w:rFonts w:ascii="Arial" w:hAnsi="Arial" w:cs="Arial"/>
          <w:sz w:val="20"/>
          <w:szCs w:val="20"/>
          <w:lang w:val="en-US"/>
        </w:rPr>
        <w:t>đổi</w:t>
      </w:r>
      <w:proofErr w:type="spellEnd"/>
      <w:r w:rsidR="00D86E80" w:rsidRPr="00FA714D">
        <w:rPr>
          <w:rFonts w:ascii="Arial" w:hAnsi="Arial" w:cs="Arial"/>
          <w:sz w:val="20"/>
          <w:szCs w:val="20"/>
        </w:rPr>
        <w:t xml:space="preserve"> thông tin, quản lý, giám sát giữa cơ quan quản lý với </w:t>
      </w:r>
      <w:r>
        <w:rPr>
          <w:rFonts w:ascii="Arial" w:hAnsi="Arial" w:cs="Arial"/>
          <w:sz w:val="20"/>
          <w:szCs w:val="20"/>
        </w:rPr>
        <w:t>các Sở giao dịch chứng khoán, Tổ</w:t>
      </w:r>
      <w:r w:rsidR="00D86E80" w:rsidRPr="00FA714D">
        <w:rPr>
          <w:rFonts w:ascii="Arial" w:hAnsi="Arial" w:cs="Arial"/>
          <w:sz w:val="20"/>
          <w:szCs w:val="20"/>
        </w:rPr>
        <w:t>ng công ty lưu ký và bù trừ chứng khoán Việt Nam và thành viên thị trường.</w:t>
      </w:r>
    </w:p>
    <w:p w:rsidR="002D47AB" w:rsidRDefault="002D47AB" w:rsidP="002D47AB">
      <w:pPr>
        <w:pStyle w:val="Vnbnnidung0"/>
        <w:spacing w:after="120" w:line="240" w:lineRule="auto"/>
        <w:ind w:firstLine="720"/>
        <w:jc w:val="both"/>
        <w:rPr>
          <w:rFonts w:ascii="Arial" w:hAnsi="Arial" w:cs="Arial"/>
          <w:sz w:val="20"/>
          <w:szCs w:val="20"/>
        </w:rPr>
      </w:pPr>
      <w:r>
        <w:rPr>
          <w:rFonts w:ascii="Arial" w:hAnsi="Arial" w:cs="Arial"/>
          <w:sz w:val="20"/>
          <w:szCs w:val="20"/>
        </w:rPr>
        <w:t>+ Triể</w:t>
      </w:r>
      <w:r w:rsidR="00D86E80" w:rsidRPr="00FA714D">
        <w:rPr>
          <w:rFonts w:ascii="Arial" w:hAnsi="Arial" w:cs="Arial"/>
          <w:sz w:val="20"/>
          <w:szCs w:val="20"/>
        </w:rPr>
        <w:t>n khai hoạt động bù trừ, thanh toán giao dịch chứng khoán cơ sở theo mô hình đối tác bù trừ trung tâm (CCP); cung cấp dịch vụ bù trừ, thanh t</w:t>
      </w:r>
      <w:r>
        <w:rPr>
          <w:rFonts w:ascii="Arial" w:hAnsi="Arial" w:cs="Arial"/>
          <w:sz w:val="20"/>
          <w:szCs w:val="20"/>
        </w:rPr>
        <w:t>oán theo mô hình CCP cho các chứ</w:t>
      </w:r>
      <w:r w:rsidR="00D86E80" w:rsidRPr="00FA714D">
        <w:rPr>
          <w:rFonts w:ascii="Arial" w:hAnsi="Arial" w:cs="Arial"/>
          <w:sz w:val="20"/>
          <w:szCs w:val="20"/>
        </w:rPr>
        <w:t>ng khoán phái sinh trên thị trường phi tập trung (OTC). Nghiên cứu và tiến tới liên kết giữa Tổng công ty lưu ký và bù trừ chứng khoán Việt Nam với các tổ chức đăng ký, lưu ký, bù trừ, thanh toán trong khu vực đ</w:t>
      </w:r>
      <w:r>
        <w:rPr>
          <w:rFonts w:ascii="Arial" w:hAnsi="Arial" w:cs="Arial"/>
          <w:sz w:val="20"/>
          <w:szCs w:val="20"/>
          <w:lang w:val="en-US"/>
        </w:rPr>
        <w:t>ể</w:t>
      </w:r>
      <w:r w:rsidR="00D86E80" w:rsidRPr="00FA714D">
        <w:rPr>
          <w:rFonts w:ascii="Arial" w:hAnsi="Arial" w:cs="Arial"/>
          <w:sz w:val="20"/>
          <w:szCs w:val="20"/>
        </w:rPr>
        <w:t xml:space="preserve"> cung cấp dịch vụ cho các giao dịch xuyên biên giới.</w:t>
      </w:r>
      <w:bookmarkStart w:id="49" w:name="bookmark48"/>
      <w:bookmarkEnd w:id="49"/>
    </w:p>
    <w:p w:rsidR="00560C54" w:rsidRPr="00FA714D" w:rsidRDefault="002D47AB" w:rsidP="002D47A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D86E80" w:rsidRPr="00FA714D">
        <w:rPr>
          <w:rFonts w:ascii="Arial" w:hAnsi="Arial" w:cs="Arial"/>
          <w:sz w:val="20"/>
          <w:szCs w:val="20"/>
        </w:rPr>
        <w:t xml:space="preserve">Phát triển, tăng cường năng lực hệ thống các tổ chức trung gian thị trường và phát huy vai trò của các </w:t>
      </w:r>
      <w:r w:rsidR="007641D9">
        <w:rPr>
          <w:rFonts w:ascii="Arial" w:hAnsi="Arial" w:cs="Arial"/>
          <w:sz w:val="20"/>
          <w:szCs w:val="20"/>
        </w:rPr>
        <w:t>tổ chức</w:t>
      </w:r>
      <w:r w:rsidR="00D86E80" w:rsidRPr="00FA714D">
        <w:rPr>
          <w:rFonts w:ascii="Arial" w:hAnsi="Arial" w:cs="Arial"/>
          <w:sz w:val="20"/>
          <w:szCs w:val="20"/>
        </w:rPr>
        <w:t xml:space="preserve"> xã hội - nghề nghiệp v</w:t>
      </w:r>
      <w:r>
        <w:rPr>
          <w:rFonts w:ascii="Arial" w:hAnsi="Arial" w:cs="Arial"/>
          <w:sz w:val="20"/>
          <w:szCs w:val="20"/>
          <w:lang w:val="en-US"/>
        </w:rPr>
        <w:t>ề</w:t>
      </w:r>
      <w:r w:rsidR="00D86E80" w:rsidRPr="00FA714D">
        <w:rPr>
          <w:rFonts w:ascii="Arial" w:hAnsi="Arial" w:cs="Arial"/>
          <w:sz w:val="20"/>
          <w:szCs w:val="20"/>
        </w:rPr>
        <w:t xml:space="preserve"> chứng khoán:</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Phát triển các công ty chứng khoán và các công ty quản lý quỹ:</w:t>
      </w:r>
    </w:p>
    <w:p w:rsidR="00560C54" w:rsidRPr="00FA714D" w:rsidRDefault="002D47AB" w:rsidP="00FA714D">
      <w:pPr>
        <w:pStyle w:val="Vnbnnidung0"/>
        <w:spacing w:after="120" w:line="240" w:lineRule="auto"/>
        <w:ind w:firstLine="720"/>
        <w:jc w:val="both"/>
        <w:rPr>
          <w:rFonts w:ascii="Arial" w:hAnsi="Arial" w:cs="Arial"/>
          <w:sz w:val="20"/>
          <w:szCs w:val="20"/>
        </w:rPr>
      </w:pPr>
      <w:r>
        <w:rPr>
          <w:rFonts w:ascii="Arial" w:hAnsi="Arial" w:cs="Arial"/>
          <w:sz w:val="20"/>
          <w:szCs w:val="20"/>
        </w:rPr>
        <w:t>+ Đẩ</w:t>
      </w:r>
      <w:r w:rsidR="00D86E80" w:rsidRPr="00FA714D">
        <w:rPr>
          <w:rFonts w:ascii="Arial" w:hAnsi="Arial" w:cs="Arial"/>
          <w:sz w:val="20"/>
          <w:szCs w:val="20"/>
        </w:rPr>
        <w:t>y mạnh quá trình tái cấu trúc công ty chứng khoán, công ty quản lý quỹ theo Đ</w:t>
      </w:r>
      <w:r w:rsidR="00FF7DF9">
        <w:rPr>
          <w:rFonts w:ascii="Arial" w:hAnsi="Arial" w:cs="Arial"/>
          <w:sz w:val="20"/>
          <w:szCs w:val="20"/>
          <w:lang w:val="en-US"/>
        </w:rPr>
        <w:t>ề</w:t>
      </w:r>
      <w:r w:rsidR="00D86E80" w:rsidRPr="00FA714D">
        <w:rPr>
          <w:rFonts w:ascii="Arial" w:hAnsi="Arial" w:cs="Arial"/>
          <w:sz w:val="20"/>
          <w:szCs w:val="20"/>
        </w:rPr>
        <w:t xml:space="preserve"> án “Cơ cấu lại thị trường chứng khoán và thị trường bảo </w:t>
      </w:r>
      <w:proofErr w:type="spellStart"/>
      <w:r w:rsidR="00FF7DF9">
        <w:rPr>
          <w:rFonts w:ascii="Arial" w:hAnsi="Arial" w:cs="Arial"/>
          <w:sz w:val="20"/>
          <w:szCs w:val="20"/>
          <w:lang w:val="en-US"/>
        </w:rPr>
        <w:t>hiểm</w:t>
      </w:r>
      <w:proofErr w:type="spellEnd"/>
      <w:r w:rsidR="00FF7DF9">
        <w:rPr>
          <w:rFonts w:ascii="Arial" w:hAnsi="Arial" w:cs="Arial"/>
          <w:sz w:val="20"/>
          <w:szCs w:val="20"/>
          <w:lang w:val="en-US"/>
        </w:rPr>
        <w:t xml:space="preserve"> </w:t>
      </w:r>
      <w:proofErr w:type="spellStart"/>
      <w:r w:rsidR="00FF7DF9">
        <w:rPr>
          <w:rFonts w:ascii="Arial" w:hAnsi="Arial" w:cs="Arial"/>
          <w:sz w:val="20"/>
          <w:szCs w:val="20"/>
          <w:lang w:val="en-US"/>
        </w:rPr>
        <w:t>đến</w:t>
      </w:r>
      <w:proofErr w:type="spellEnd"/>
      <w:r w:rsidR="00D86E80" w:rsidRPr="00FA714D">
        <w:rPr>
          <w:rFonts w:ascii="Arial" w:hAnsi="Arial" w:cs="Arial"/>
          <w:sz w:val="20"/>
          <w:szCs w:val="20"/>
        </w:rPr>
        <w:t xml:space="preserve"> năm 2020 và định hướng đến năm 2025” ban hành kèm theo Quyết định số 242/QĐ-TTg ngày 28 tháng 02 năm 2019 của Thủ tướng Chính phủ nhằm nâng cao năng lực hoạt động của công ty chứng khoán, công ty quản lý quỹ; nâng cao năng lực quản trị công ty, quản trị rủi ro, tăng khả năng cạnh tranh của các công ty trên thị trường.</w:t>
      </w:r>
    </w:p>
    <w:p w:rsidR="00FF7DF9" w:rsidRDefault="00D86E80" w:rsidP="00FF7DF9">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Tiếp tục phát triển hoạt động khối các công ty chứng khoán theo hai mô hình: đa năng (thực hiện nhiều nghiệp vụ kinh doanh chứng khoán) và chuyên doanh (thực h</w:t>
      </w:r>
      <w:r w:rsidR="00FF7DF9">
        <w:rPr>
          <w:rFonts w:ascii="Arial" w:hAnsi="Arial" w:cs="Arial"/>
          <w:sz w:val="20"/>
          <w:szCs w:val="20"/>
        </w:rPr>
        <w:t>iện một nghiệp vụ kinh doanh chứ</w:t>
      </w:r>
      <w:r w:rsidRPr="00FA714D">
        <w:rPr>
          <w:rFonts w:ascii="Arial" w:hAnsi="Arial" w:cs="Arial"/>
          <w:sz w:val="20"/>
          <w:szCs w:val="20"/>
        </w:rPr>
        <w:t xml:space="preserve">ng khoán) trên cơ sở tăng cường năng lực quản trị công ty và thực hiện phân loại công ty chứng khoán; tiếp tục kiên quyết xử lý công ty chứng khoán yếu kém, lành mạnh hóa, tăng cường năng lực tài chính </w:t>
      </w:r>
      <w:proofErr w:type="spellStart"/>
      <w:r w:rsidR="00FF7DF9">
        <w:rPr>
          <w:rFonts w:ascii="Arial" w:hAnsi="Arial" w:cs="Arial"/>
          <w:sz w:val="20"/>
          <w:szCs w:val="20"/>
          <w:lang w:val="en-US"/>
        </w:rPr>
        <w:t>khối</w:t>
      </w:r>
      <w:proofErr w:type="spellEnd"/>
      <w:r w:rsidR="00FF7DF9">
        <w:rPr>
          <w:rFonts w:ascii="Arial" w:hAnsi="Arial" w:cs="Arial"/>
          <w:sz w:val="20"/>
          <w:szCs w:val="20"/>
        </w:rPr>
        <w:t xml:space="preserve"> công ty chứng khoán; phát triể</w:t>
      </w:r>
      <w:r w:rsidRPr="00FA714D">
        <w:rPr>
          <w:rFonts w:ascii="Arial" w:hAnsi="Arial" w:cs="Arial"/>
          <w:sz w:val="20"/>
          <w:szCs w:val="20"/>
        </w:rPr>
        <w:t>n chuyên nghiệp các dịch vụ được phép hoạt động của công ty chứng</w:t>
      </w:r>
      <w:r w:rsidR="00FF7DF9">
        <w:rPr>
          <w:rFonts w:ascii="Arial" w:hAnsi="Arial" w:cs="Arial"/>
          <w:sz w:val="20"/>
          <w:szCs w:val="20"/>
        </w:rPr>
        <w:t xml:space="preserve"> khoán theo </w:t>
      </w:r>
      <w:r w:rsidR="00FF7DF9">
        <w:rPr>
          <w:rFonts w:ascii="Arial" w:hAnsi="Arial" w:cs="Arial"/>
          <w:sz w:val="20"/>
          <w:szCs w:val="20"/>
          <w:lang w:val="en-US"/>
        </w:rPr>
        <w:t>L</w:t>
      </w:r>
      <w:r w:rsidRPr="00FA714D">
        <w:rPr>
          <w:rFonts w:ascii="Arial" w:hAnsi="Arial" w:cs="Arial"/>
          <w:sz w:val="20"/>
          <w:szCs w:val="20"/>
        </w:rPr>
        <w:t>uật Chứng khoán; tăng cường vai trò tạo lập thị trường, nâng cao tiềm lực tài chính, chất lượng ngu</w:t>
      </w:r>
      <w:r w:rsidR="00FF7DF9">
        <w:rPr>
          <w:rFonts w:ascii="Arial" w:hAnsi="Arial" w:cs="Arial"/>
          <w:sz w:val="20"/>
          <w:szCs w:val="20"/>
        </w:rPr>
        <w:t>ồn nhân lực và phát triển hệ thống công nghệ có chiề</w:t>
      </w:r>
      <w:r w:rsidRPr="00FA714D">
        <w:rPr>
          <w:rFonts w:ascii="Arial" w:hAnsi="Arial" w:cs="Arial"/>
          <w:sz w:val="20"/>
          <w:szCs w:val="20"/>
        </w:rPr>
        <w:t>u sâu tại các công ty chứng khoán.</w:t>
      </w:r>
    </w:p>
    <w:p w:rsidR="00560C54" w:rsidRPr="00FA714D" w:rsidRDefault="00D86E80" w:rsidP="00FF7DF9">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lastRenderedPageBreak/>
        <w:t xml:space="preserve">+ Hoàn thiện cơ chế xử lý phá sản, mất khả năng thanh toán </w:t>
      </w:r>
      <w:proofErr w:type="spellStart"/>
      <w:r w:rsidR="00FF7DF9">
        <w:rPr>
          <w:rFonts w:ascii="Arial" w:hAnsi="Arial" w:cs="Arial"/>
          <w:sz w:val="20"/>
          <w:szCs w:val="20"/>
          <w:lang w:val="en-US"/>
        </w:rPr>
        <w:t>đối</w:t>
      </w:r>
      <w:proofErr w:type="spellEnd"/>
      <w:r w:rsidRPr="00FA714D">
        <w:rPr>
          <w:rFonts w:ascii="Arial" w:hAnsi="Arial" w:cs="Arial"/>
          <w:sz w:val="20"/>
          <w:szCs w:val="20"/>
        </w:rPr>
        <w:t xml:space="preserve"> với các tổ chức trung gian trên TTCK.</w:t>
      </w:r>
    </w:p>
    <w:p w:rsidR="00402E4D" w:rsidRDefault="00D86E80" w:rsidP="00402E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Nghiên cứu, xây dựng cơ chế hướng dẫn, quản lý và giám sát việc áp dụng công nghệ tài chính trong giao dịch chứng khoán: ứng dụng phổ biến nhận diện khách hàng điện tử (eKYC); ứng dụng thanh toán điện tử trong giao dịch chứng khoán; dịch vụ tư vấn đầu tư tự động và triển khai quản lý danh mục tự động; thúc đẩy giao dịch tài chính số hóa trên TTCK, đáp ứng nhu cầu </w:t>
      </w:r>
      <w:proofErr w:type="spellStart"/>
      <w:r w:rsidR="00402E4D">
        <w:rPr>
          <w:rFonts w:ascii="Arial" w:hAnsi="Arial" w:cs="Arial"/>
          <w:sz w:val="20"/>
          <w:szCs w:val="20"/>
          <w:lang w:val="en-US"/>
        </w:rPr>
        <w:t>chuyển</w:t>
      </w:r>
      <w:proofErr w:type="spellEnd"/>
      <w:r w:rsidR="00402E4D">
        <w:rPr>
          <w:rFonts w:ascii="Arial" w:hAnsi="Arial" w:cs="Arial"/>
          <w:sz w:val="20"/>
          <w:szCs w:val="20"/>
          <w:lang w:val="en-US"/>
        </w:rPr>
        <w:t xml:space="preserve"> </w:t>
      </w:r>
      <w:proofErr w:type="spellStart"/>
      <w:r w:rsidR="00402E4D">
        <w:rPr>
          <w:rFonts w:ascii="Arial" w:hAnsi="Arial" w:cs="Arial"/>
          <w:sz w:val="20"/>
          <w:szCs w:val="20"/>
          <w:lang w:val="en-US"/>
        </w:rPr>
        <w:t>đổi</w:t>
      </w:r>
      <w:proofErr w:type="spellEnd"/>
      <w:r w:rsidRPr="00FA714D">
        <w:rPr>
          <w:rFonts w:ascii="Arial" w:hAnsi="Arial" w:cs="Arial"/>
          <w:sz w:val="20"/>
          <w:szCs w:val="20"/>
        </w:rPr>
        <w:t xml:space="preserve"> số nền kinh tế nói chung.</w:t>
      </w:r>
      <w:bookmarkStart w:id="50" w:name="bookmark49"/>
      <w:bookmarkEnd w:id="50"/>
    </w:p>
    <w:p w:rsidR="00560C54" w:rsidRPr="00FA714D" w:rsidRDefault="00402E4D" w:rsidP="00402E4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Phát huy vai trò của các tổ chức xã hội - nghề nghiệp, tổ chức phụ trợ về chứng khoán:</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Thúc đẩy việc thực hiện chức năng giám sát của các tổ chức xã hội - nghề nghiệp về </w:t>
      </w:r>
      <w:r w:rsidR="00402E4D">
        <w:rPr>
          <w:rFonts w:ascii="Arial" w:hAnsi="Arial" w:cs="Arial"/>
          <w:sz w:val="20"/>
          <w:szCs w:val="20"/>
        </w:rPr>
        <w:t>chứng khoán</w:t>
      </w:r>
      <w:r w:rsidRPr="00FA714D">
        <w:rPr>
          <w:rFonts w:ascii="Arial" w:hAnsi="Arial" w:cs="Arial"/>
          <w:sz w:val="20"/>
          <w:szCs w:val="20"/>
        </w:rPr>
        <w:t xml:space="preserve"> thông qua việc tăng cường, chủ động hỗ trợ cơ quan quản lý nhà nước trong ho</w:t>
      </w:r>
      <w:r w:rsidR="00553592">
        <w:rPr>
          <w:rFonts w:ascii="Arial" w:hAnsi="Arial" w:cs="Arial"/>
          <w:sz w:val="20"/>
          <w:szCs w:val="20"/>
        </w:rPr>
        <w:t>ạt động xây dự</w:t>
      </w:r>
      <w:r w:rsidRPr="00FA714D">
        <w:rPr>
          <w:rFonts w:ascii="Arial" w:hAnsi="Arial" w:cs="Arial"/>
          <w:sz w:val="20"/>
          <w:szCs w:val="20"/>
        </w:rPr>
        <w:t>ng chính sách pháp luật, đào tạo nguồn nhân lực, giám sát sự tuân thủ quy định pháp luật đối với các thành viên của hiệp hội.</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Phối hợp với các tổ chức xã hội - nghề</w:t>
      </w:r>
      <w:r w:rsidR="00D87F79">
        <w:rPr>
          <w:rFonts w:ascii="Arial" w:hAnsi="Arial" w:cs="Arial"/>
          <w:sz w:val="20"/>
          <w:szCs w:val="20"/>
        </w:rPr>
        <w:t xml:space="preserve"> nghiệp ban hành các bộ quy chuẩ</w:t>
      </w:r>
      <w:r w:rsidRPr="00FA714D">
        <w:rPr>
          <w:rFonts w:ascii="Arial" w:hAnsi="Arial" w:cs="Arial"/>
          <w:sz w:val="20"/>
          <w:szCs w:val="20"/>
        </w:rPr>
        <w:t>n chuyên môn và đạo đức nghề nghiệp; kiểm tra, giám s</w:t>
      </w:r>
      <w:r w:rsidR="00A14452">
        <w:rPr>
          <w:rFonts w:ascii="Arial" w:hAnsi="Arial" w:cs="Arial"/>
          <w:sz w:val="20"/>
          <w:szCs w:val="20"/>
        </w:rPr>
        <w:t>át việc thực thi các bộ quy chuẩ</w:t>
      </w:r>
      <w:r w:rsidRPr="00FA714D">
        <w:rPr>
          <w:rFonts w:ascii="Arial" w:hAnsi="Arial" w:cs="Arial"/>
          <w:sz w:val="20"/>
          <w:szCs w:val="20"/>
        </w:rPr>
        <w:t>n nhằm nâng cao chất lượng hành nghề và đạo đức nghề nghiệp của các tổ chức, cá nhân tham gia TTCK. Triển khai hiệu quả công tác thông tin tuyên truyền, phổ biến pháp luật về chứng khoán và TTCK.</w:t>
      </w:r>
    </w:p>
    <w:p w:rsidR="001F2C7B" w:rsidRDefault="00D86E80" w:rsidP="001F2C7B">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Nâng cao hiệu quả hoạt động, chất lượng cung cấp dịch vụ, năng lực tài chính và đạo đức nghề nghiệp của các </w:t>
      </w:r>
      <w:r w:rsidR="007641D9">
        <w:rPr>
          <w:rFonts w:ascii="Arial" w:hAnsi="Arial" w:cs="Arial"/>
          <w:sz w:val="20"/>
          <w:szCs w:val="20"/>
        </w:rPr>
        <w:t>tổ chức</w:t>
      </w:r>
      <w:r w:rsidR="001F2C7B">
        <w:rPr>
          <w:rFonts w:ascii="Arial" w:hAnsi="Arial" w:cs="Arial"/>
          <w:sz w:val="20"/>
          <w:szCs w:val="20"/>
        </w:rPr>
        <w:t xml:space="preserve"> xếp hạng tín nhiệm, công ty kiể</w:t>
      </w:r>
      <w:r w:rsidRPr="00FA714D">
        <w:rPr>
          <w:rFonts w:ascii="Arial" w:hAnsi="Arial" w:cs="Arial"/>
          <w:sz w:val="20"/>
          <w:szCs w:val="20"/>
        </w:rPr>
        <w:t xml:space="preserve">m toán độc lập trên TTCK. Thực hiện hỗ trợ cơ quan quản lý trong công tác quản lý, giám sát thực hiện nghiệp vụ về kế toán, kiểm toán theo quy định pháp luật của các </w:t>
      </w:r>
      <w:r w:rsidR="007641D9">
        <w:rPr>
          <w:rFonts w:ascii="Arial" w:hAnsi="Arial" w:cs="Arial"/>
          <w:sz w:val="20"/>
          <w:szCs w:val="20"/>
        </w:rPr>
        <w:t>tổ chức</w:t>
      </w:r>
      <w:r w:rsidRPr="00FA714D">
        <w:rPr>
          <w:rFonts w:ascii="Arial" w:hAnsi="Arial" w:cs="Arial"/>
          <w:sz w:val="20"/>
          <w:szCs w:val="20"/>
        </w:rPr>
        <w:t xml:space="preserve"> kiểm toán, kiểm toán viên được chấp thuận kiểm toán cho đơn vị có lợi ích công chúng thuộc lĩnh vực chứng khoán. Khuyến khích các </w:t>
      </w:r>
      <w:r w:rsidR="007641D9">
        <w:rPr>
          <w:rFonts w:ascii="Arial" w:hAnsi="Arial" w:cs="Arial"/>
          <w:sz w:val="20"/>
          <w:szCs w:val="20"/>
        </w:rPr>
        <w:t>tổ chức</w:t>
      </w:r>
      <w:r w:rsidRPr="00FA714D">
        <w:rPr>
          <w:rFonts w:ascii="Arial" w:hAnsi="Arial" w:cs="Arial"/>
          <w:sz w:val="20"/>
          <w:szCs w:val="20"/>
        </w:rPr>
        <w:t xml:space="preserve"> xếp hạng tín nhiệm quốc tế tham gia cung cấp dịch vụ tại thị trường Việt Nam.</w:t>
      </w:r>
      <w:bookmarkStart w:id="51" w:name="bookmark50"/>
      <w:bookmarkEnd w:id="51"/>
    </w:p>
    <w:p w:rsidR="001F2C7B" w:rsidRDefault="001F2C7B" w:rsidP="001F2C7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D86E80" w:rsidRPr="00FA714D">
        <w:rPr>
          <w:rFonts w:ascii="Arial" w:hAnsi="Arial" w:cs="Arial"/>
          <w:sz w:val="20"/>
          <w:szCs w:val="20"/>
        </w:rPr>
        <w:t>Tăng cường sự phối hợp giữa chính sách tài khóa, tiền tệ và các chính sách vĩ mô khác:</w:t>
      </w:r>
      <w:bookmarkStart w:id="52" w:name="bookmark51"/>
      <w:bookmarkEnd w:id="52"/>
    </w:p>
    <w:p w:rsidR="001F2C7B" w:rsidRDefault="001F2C7B" w:rsidP="001F2C7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Tăng cường phối hợp chặt c</w:t>
      </w:r>
      <w:r>
        <w:rPr>
          <w:rFonts w:ascii="Arial" w:hAnsi="Arial" w:cs="Arial"/>
          <w:sz w:val="20"/>
          <w:szCs w:val="20"/>
        </w:rPr>
        <w:t>hẽ giữa chính sách tài khóa, tiề</w:t>
      </w:r>
      <w:r w:rsidR="00D86E80" w:rsidRPr="00FA714D">
        <w:rPr>
          <w:rFonts w:ascii="Arial" w:hAnsi="Arial" w:cs="Arial"/>
          <w:sz w:val="20"/>
          <w:szCs w:val="20"/>
        </w:rPr>
        <w:t>n tệ và các chí</w:t>
      </w:r>
      <w:r>
        <w:rPr>
          <w:rFonts w:ascii="Arial" w:hAnsi="Arial" w:cs="Arial"/>
          <w:sz w:val="20"/>
          <w:szCs w:val="20"/>
        </w:rPr>
        <w:t>nh sách vĩ mô khác để giữ vững ổ</w:t>
      </w:r>
      <w:r w:rsidR="00D86E80" w:rsidRPr="00FA714D">
        <w:rPr>
          <w:rFonts w:ascii="Arial" w:hAnsi="Arial" w:cs="Arial"/>
          <w:sz w:val="20"/>
          <w:szCs w:val="20"/>
        </w:rPr>
        <w:t xml:space="preserve">n định kinh tế vĩ mô, bảo đảm các cân </w:t>
      </w:r>
      <w:proofErr w:type="spellStart"/>
      <w:r>
        <w:rPr>
          <w:rFonts w:ascii="Arial" w:hAnsi="Arial" w:cs="Arial"/>
          <w:sz w:val="20"/>
          <w:szCs w:val="20"/>
          <w:lang w:val="en-US"/>
        </w:rPr>
        <w:t>đối</w:t>
      </w:r>
      <w:proofErr w:type="spellEnd"/>
      <w:r w:rsidR="00D86E80" w:rsidRPr="00FA714D">
        <w:rPr>
          <w:rFonts w:ascii="Arial" w:hAnsi="Arial" w:cs="Arial"/>
          <w:sz w:val="20"/>
          <w:szCs w:val="20"/>
        </w:rPr>
        <w:t xml:space="preserve"> lớn của nền kinh tế, tạo điều kiện ổn định, phát triển nhanh, an toàn, hiệu quả, b</w:t>
      </w:r>
      <w:r>
        <w:rPr>
          <w:rFonts w:ascii="Arial" w:hAnsi="Arial" w:cs="Arial"/>
          <w:sz w:val="20"/>
          <w:szCs w:val="20"/>
          <w:lang w:val="en-US"/>
        </w:rPr>
        <w:t>ề</w:t>
      </w:r>
      <w:r w:rsidR="00D86E80" w:rsidRPr="00FA714D">
        <w:rPr>
          <w:rFonts w:ascii="Arial" w:hAnsi="Arial" w:cs="Arial"/>
          <w:sz w:val="20"/>
          <w:szCs w:val="20"/>
        </w:rPr>
        <w:t>n vững TTCK, thị trường trái phi</w:t>
      </w:r>
      <w:r>
        <w:rPr>
          <w:rFonts w:ascii="Arial" w:hAnsi="Arial" w:cs="Arial"/>
          <w:sz w:val="20"/>
          <w:szCs w:val="20"/>
          <w:lang w:val="en-US"/>
        </w:rPr>
        <w:t>ế</w:t>
      </w:r>
      <w:r w:rsidR="00D86E80" w:rsidRPr="00FA714D">
        <w:rPr>
          <w:rFonts w:ascii="Arial" w:hAnsi="Arial" w:cs="Arial"/>
          <w:sz w:val="20"/>
          <w:szCs w:val="20"/>
        </w:rPr>
        <w:t>u.</w:t>
      </w:r>
      <w:bookmarkStart w:id="53" w:name="bookmark52"/>
      <w:bookmarkEnd w:id="53"/>
    </w:p>
    <w:p w:rsidR="002D0CAD" w:rsidRDefault="001F2C7B" w:rsidP="002D0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 xml:space="preserve">Tăng cường sự phối </w:t>
      </w:r>
      <w:proofErr w:type="spellStart"/>
      <w:r w:rsidR="00BE7BE8">
        <w:rPr>
          <w:rFonts w:ascii="Arial" w:hAnsi="Arial" w:cs="Arial"/>
          <w:sz w:val="20"/>
          <w:szCs w:val="20"/>
          <w:lang w:val="en-US"/>
        </w:rPr>
        <w:t>hợp</w:t>
      </w:r>
      <w:proofErr w:type="spellEnd"/>
      <w:r w:rsidR="00D86E80" w:rsidRPr="00FA714D">
        <w:rPr>
          <w:rFonts w:ascii="Arial" w:hAnsi="Arial" w:cs="Arial"/>
          <w:sz w:val="20"/>
          <w:szCs w:val="20"/>
        </w:rPr>
        <w:t xml:space="preserve"> giữa Bộ Tài chính và Ngân hàng Nhà nước trong việc trao đổi, cung cấp các thông tin theo Quy chế phối hợp công tác và trao đổi thông tin giữa Bộ Tài chính và Ngân hàng Nhà nước.</w:t>
      </w:r>
      <w:bookmarkStart w:id="54" w:name="bookmark53"/>
      <w:bookmarkEnd w:id="54"/>
    </w:p>
    <w:p w:rsidR="002D0CAD" w:rsidRDefault="002D0CAD" w:rsidP="002D0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Tăng cường phối hợp giữa Bộ Tài chính và Ngân hàng Nhà nước trong việc giám sát các hoạt động phát hành, đầu</w:t>
      </w:r>
      <w:r>
        <w:rPr>
          <w:rFonts w:ascii="Arial" w:hAnsi="Arial" w:cs="Arial"/>
          <w:sz w:val="20"/>
          <w:szCs w:val="20"/>
        </w:rPr>
        <w:t xml:space="preserve"> tư, cung cấp dịch vụ của các tổ</w:t>
      </w:r>
      <w:r w:rsidR="00D86E80" w:rsidRPr="00FA714D">
        <w:rPr>
          <w:rFonts w:ascii="Arial" w:hAnsi="Arial" w:cs="Arial"/>
          <w:sz w:val="20"/>
          <w:szCs w:val="20"/>
        </w:rPr>
        <w:t xml:space="preserve"> chức tín dụng trên TTCK nhằm đảm bảo tính minh bạch và hạn chế các rủi ro hệ thống trên thị trường tài chính; quản lý, giám sát dòng vốn đầu tư gián tiếp nước ngoài và nâng cao năng lực quản trị rủi ro đố</w:t>
      </w:r>
      <w:r>
        <w:rPr>
          <w:rFonts w:ascii="Arial" w:hAnsi="Arial" w:cs="Arial"/>
          <w:sz w:val="20"/>
          <w:szCs w:val="20"/>
        </w:rPr>
        <w:t>i với thị trường chứng khoán nhằ</w:t>
      </w:r>
      <w:r w:rsidR="00D86E80" w:rsidRPr="00FA714D">
        <w:rPr>
          <w:rFonts w:ascii="Arial" w:hAnsi="Arial" w:cs="Arial"/>
          <w:sz w:val="20"/>
          <w:szCs w:val="20"/>
        </w:rPr>
        <w:t>m đảm bảo sự an toàn của thị trường.</w:t>
      </w:r>
      <w:bookmarkStart w:id="55" w:name="bookmark54"/>
      <w:bookmarkEnd w:id="55"/>
    </w:p>
    <w:p w:rsidR="002D0CAD" w:rsidRDefault="002D0CAD" w:rsidP="002D0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Rà soát, sửa đổi các quy định về cấp phép để tạo điều kiện thuận lợi cho các t</w:t>
      </w:r>
      <w:r>
        <w:rPr>
          <w:rFonts w:ascii="Arial" w:hAnsi="Arial" w:cs="Arial"/>
          <w:sz w:val="20"/>
          <w:szCs w:val="20"/>
          <w:lang w:val="en-US"/>
        </w:rPr>
        <w:t>ổ</w:t>
      </w:r>
      <w:r w:rsidR="00D86E80" w:rsidRPr="00FA714D">
        <w:rPr>
          <w:rFonts w:ascii="Arial" w:hAnsi="Arial" w:cs="Arial"/>
          <w:sz w:val="20"/>
          <w:szCs w:val="20"/>
        </w:rPr>
        <w:t xml:space="preserve"> chức tín dụng khi tham gia giao dịch, triển khai các sản phẩm, nghiệp vụ trên TTCK cơ sở và TTCK phái sinh.</w:t>
      </w:r>
      <w:bookmarkStart w:id="56" w:name="bookmark55"/>
      <w:bookmarkEnd w:id="56"/>
    </w:p>
    <w:p w:rsidR="002D0CAD" w:rsidRDefault="002D0CAD" w:rsidP="002D0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D86E80" w:rsidRPr="00FA714D">
        <w:rPr>
          <w:rFonts w:ascii="Arial" w:hAnsi="Arial" w:cs="Arial"/>
          <w:sz w:val="20"/>
          <w:szCs w:val="20"/>
        </w:rPr>
        <w:t>Tăng cường và chủ động hội nhập quốc tế:</w:t>
      </w:r>
      <w:bookmarkStart w:id="57" w:name="bookmark56"/>
      <w:bookmarkEnd w:id="57"/>
    </w:p>
    <w:p w:rsidR="00EC39EB" w:rsidRDefault="002D0CAD" w:rsidP="00EC39E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 xml:space="preserve">Chủ động hội nhập quốc tế để hài hòa hóa khuôn khổ pháp lý hướng tới các chuẩn mực chung về lĩnh vực </w:t>
      </w:r>
      <w:r w:rsidR="00402E4D">
        <w:rPr>
          <w:rFonts w:ascii="Arial" w:hAnsi="Arial" w:cs="Arial"/>
          <w:sz w:val="20"/>
          <w:szCs w:val="20"/>
        </w:rPr>
        <w:t>chứng khoán</w:t>
      </w:r>
      <w:r w:rsidR="00D86E80" w:rsidRPr="00FA714D">
        <w:rPr>
          <w:rFonts w:ascii="Arial" w:hAnsi="Arial" w:cs="Arial"/>
          <w:sz w:val="20"/>
          <w:szCs w:val="20"/>
        </w:rPr>
        <w:t xml:space="preserve"> của khu vực và thế </w:t>
      </w:r>
      <w:r>
        <w:rPr>
          <w:rFonts w:ascii="Arial" w:hAnsi="Arial" w:cs="Arial"/>
          <w:sz w:val="20"/>
          <w:szCs w:val="20"/>
        </w:rPr>
        <w:t>giới như: chuẩ</w:t>
      </w:r>
      <w:r w:rsidR="00D86E80" w:rsidRPr="00FA714D">
        <w:rPr>
          <w:rFonts w:ascii="Arial" w:hAnsi="Arial" w:cs="Arial"/>
          <w:sz w:val="20"/>
          <w:szCs w:val="20"/>
        </w:rPr>
        <w:t>n mực về quản trị công ty, công bố thông tin liên quan đến p</w:t>
      </w:r>
      <w:r>
        <w:rPr>
          <w:rFonts w:ascii="Arial" w:hAnsi="Arial" w:cs="Arial"/>
          <w:sz w:val="20"/>
          <w:szCs w:val="20"/>
        </w:rPr>
        <w:t>hát triển bền vững, áp dụng chuẩ</w:t>
      </w:r>
      <w:r w:rsidR="00D86E80" w:rsidRPr="00FA714D">
        <w:rPr>
          <w:rFonts w:ascii="Arial" w:hAnsi="Arial" w:cs="Arial"/>
          <w:sz w:val="20"/>
          <w:szCs w:val="20"/>
        </w:rPr>
        <w:t>n mực báo cáo tài chính quốc tế (IFRS) đối với các doanh nghiệp niêm yết, các dịch vụ giao dịch và thanh toán xuyên biên giới (Cross border services), công nhận lẫn nhau về chứng chỉ hành nghề, báo cáo phân tích, cùng tham gia sáng kiến tài chính xanh, tài chính bền vững...</w:t>
      </w:r>
      <w:bookmarkStart w:id="58" w:name="bookmark57"/>
      <w:bookmarkEnd w:id="58"/>
    </w:p>
    <w:p w:rsidR="00EC39EB" w:rsidRDefault="00EC39EB" w:rsidP="00EC39E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Hoàn thiện cơ sở hạ tầng kỹ thuật, công nghệ, pháp lý cho quá trình hội nhập TTCK quốc tế, trước mắt là liên kết vào các TTCK khu vực ASEAN.</w:t>
      </w:r>
      <w:bookmarkStart w:id="59" w:name="bookmark58"/>
      <w:bookmarkEnd w:id="59"/>
    </w:p>
    <w:p w:rsidR="00EC39EB" w:rsidRDefault="00EC39EB" w:rsidP="00EC39E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Tích cực triển khai các cam kết, thỏa thuận hợp tác song phương, đa phương và các hiệp định đã ký kết, đồng thời mở rộng hợp tác song phương, đa phương trong lĩnh vực chứng khoán: triển khai một cách hiệu quả các dự án đã ký kết với các đối tác quốc tế đến năm 2030; tìm kiếm các nhà tài trợ và các nguồn tài trợ, phương thức tài trợ mới; chủ động khai thác nguồn lực tài chính từ các tổ chức tài chính khu vực cho các dự án trong nước; nâng cao hiệu quả quản lý và sử dụng các nguồn h</w:t>
      </w:r>
      <w:r>
        <w:rPr>
          <w:rFonts w:ascii="Arial" w:hAnsi="Arial" w:cs="Arial"/>
          <w:sz w:val="20"/>
          <w:szCs w:val="20"/>
          <w:lang w:val="en-US"/>
        </w:rPr>
        <w:t>ỗ</w:t>
      </w:r>
      <w:r w:rsidR="00D86E80" w:rsidRPr="00FA714D">
        <w:rPr>
          <w:rFonts w:ascii="Arial" w:hAnsi="Arial" w:cs="Arial"/>
          <w:sz w:val="20"/>
          <w:szCs w:val="20"/>
        </w:rPr>
        <w:t xml:space="preserve"> trợ tài chính và kỹ thuật trong lĩnh vực tài chính; hoàn thiện mô hình ban quản lý các chương trình, dự án có sử dụng tài trợ nước ngoài của Bộ Tài chính, </w:t>
      </w:r>
      <w:proofErr w:type="spellStart"/>
      <w:r>
        <w:rPr>
          <w:rFonts w:ascii="Arial" w:hAnsi="Arial" w:cs="Arial"/>
          <w:sz w:val="20"/>
          <w:szCs w:val="20"/>
          <w:lang w:val="en-US"/>
        </w:rPr>
        <w:t>Ủy</w:t>
      </w:r>
      <w:proofErr w:type="spellEnd"/>
      <w:r w:rsidR="00D86E80" w:rsidRPr="00FA714D">
        <w:rPr>
          <w:rFonts w:ascii="Arial" w:hAnsi="Arial" w:cs="Arial"/>
          <w:sz w:val="20"/>
          <w:szCs w:val="20"/>
        </w:rPr>
        <w:t xml:space="preserve"> ban Chứng khoán Nhà nước.</w:t>
      </w:r>
      <w:bookmarkStart w:id="60" w:name="bookmark59"/>
      <w:bookmarkEnd w:id="60"/>
    </w:p>
    <w:p w:rsidR="00380394" w:rsidRDefault="00EC39EB" w:rsidP="00380394">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00D86E80" w:rsidRPr="00FA714D">
        <w:rPr>
          <w:rFonts w:ascii="Arial" w:hAnsi="Arial" w:cs="Arial"/>
          <w:sz w:val="20"/>
          <w:szCs w:val="20"/>
        </w:rPr>
        <w:t xml:space="preserve">Xây dựng cơ chế hợp tác, chia sẻ thông tin và giám sát giữa cơ quan quản lý TTCK Việt Nam với các cơ quan quản lý và các </w:t>
      </w:r>
      <w:r w:rsidR="007641D9">
        <w:rPr>
          <w:rFonts w:ascii="Arial" w:hAnsi="Arial" w:cs="Arial"/>
          <w:sz w:val="20"/>
          <w:szCs w:val="20"/>
        </w:rPr>
        <w:t>tổ chức</w:t>
      </w:r>
      <w:r w:rsidR="00D86E80" w:rsidRPr="00FA714D">
        <w:rPr>
          <w:rFonts w:ascii="Arial" w:hAnsi="Arial" w:cs="Arial"/>
          <w:sz w:val="20"/>
          <w:szCs w:val="20"/>
        </w:rPr>
        <w:t xml:space="preserve"> quốc tế hoạt động trong lĩnh vực chứng khoán và TTCK; giám sát, phát hiện và xử lý kịp thời các hành vi vi phạm xuyên biên giới.</w:t>
      </w:r>
      <w:bookmarkStart w:id="61" w:name="bookmark60"/>
      <w:bookmarkEnd w:id="61"/>
    </w:p>
    <w:p w:rsidR="00502811" w:rsidRDefault="00380394" w:rsidP="00502811">
      <w:pPr>
        <w:pStyle w:val="Vnbnnidung0"/>
        <w:spacing w:after="120" w:line="240" w:lineRule="auto"/>
        <w:ind w:firstLine="720"/>
        <w:jc w:val="both"/>
        <w:rPr>
          <w:rFonts w:ascii="Arial" w:hAnsi="Arial" w:cs="Arial"/>
          <w:sz w:val="20"/>
          <w:szCs w:val="20"/>
        </w:rPr>
      </w:pPr>
      <w:r w:rsidRPr="00AD6955">
        <w:rPr>
          <w:rFonts w:ascii="Arial" w:hAnsi="Arial" w:cs="Arial"/>
          <w:sz w:val="20"/>
          <w:szCs w:val="20"/>
          <w:lang w:val="en-US"/>
        </w:rPr>
        <w:t xml:space="preserve">- </w:t>
      </w:r>
      <w:r w:rsidR="00D86E80" w:rsidRPr="00AD6955">
        <w:rPr>
          <w:rFonts w:ascii="Arial" w:hAnsi="Arial" w:cs="Arial"/>
          <w:sz w:val="20"/>
          <w:szCs w:val="20"/>
        </w:rPr>
        <w:t>Tích cực hợp tác với đối tác nước n</w:t>
      </w:r>
      <w:r w:rsidRPr="00AD6955">
        <w:rPr>
          <w:rFonts w:ascii="Arial" w:hAnsi="Arial" w:cs="Arial"/>
          <w:sz w:val="20"/>
          <w:szCs w:val="20"/>
        </w:rPr>
        <w:t>goài nhằm nghiên cứu các sản phẩ</w:t>
      </w:r>
      <w:r w:rsidR="00D86E80" w:rsidRPr="00AD6955">
        <w:rPr>
          <w:rFonts w:ascii="Arial" w:hAnsi="Arial" w:cs="Arial"/>
          <w:sz w:val="20"/>
          <w:szCs w:val="20"/>
        </w:rPr>
        <w:t>m mới cho thị trường, đặc biệt chú trọng</w:t>
      </w:r>
      <w:r w:rsidR="00D86E80" w:rsidRPr="00FA714D">
        <w:rPr>
          <w:rFonts w:ascii="Arial" w:hAnsi="Arial" w:cs="Arial"/>
          <w:sz w:val="20"/>
          <w:szCs w:val="20"/>
        </w:rPr>
        <w:t xml:space="preserve"> đến các sản phẩm liên quan đến tài chính xanh và phát triển bền vững.</w:t>
      </w:r>
      <w:bookmarkStart w:id="62" w:name="bookmark61"/>
      <w:bookmarkEnd w:id="62"/>
    </w:p>
    <w:p w:rsidR="00502811" w:rsidRDefault="00502811" w:rsidP="00502811">
      <w:pPr>
        <w:pStyle w:val="Vnbnnidung0"/>
        <w:spacing w:after="120" w:line="240" w:lineRule="auto"/>
        <w:ind w:firstLine="720"/>
        <w:jc w:val="both"/>
        <w:rPr>
          <w:rFonts w:ascii="Arial" w:hAnsi="Arial" w:cs="Arial"/>
          <w:sz w:val="20"/>
          <w:szCs w:val="20"/>
        </w:rPr>
      </w:pPr>
      <w:proofErr w:type="spellStart"/>
      <w:r>
        <w:rPr>
          <w:rFonts w:ascii="Arial" w:hAnsi="Arial" w:cs="Arial"/>
          <w:sz w:val="20"/>
          <w:szCs w:val="20"/>
          <w:lang w:val="en-US"/>
        </w:rPr>
        <w:t>i</w:t>
      </w:r>
      <w:proofErr w:type="spellEnd"/>
      <w:r>
        <w:rPr>
          <w:rFonts w:ascii="Arial" w:hAnsi="Arial" w:cs="Arial"/>
          <w:sz w:val="20"/>
          <w:szCs w:val="20"/>
          <w:lang w:val="en-US"/>
        </w:rPr>
        <w:t xml:space="preserve">) </w:t>
      </w:r>
      <w:r w:rsidR="00D86E80" w:rsidRPr="00FA714D">
        <w:rPr>
          <w:rFonts w:ascii="Arial" w:hAnsi="Arial" w:cs="Arial"/>
          <w:sz w:val="20"/>
          <w:szCs w:val="20"/>
        </w:rPr>
        <w:t>Nâng cao chất lượng nguồn nhân lực, tăng cường công tác đào tạo, nghiên cứu và thông tin tuyên truyền:</w:t>
      </w:r>
      <w:bookmarkStart w:id="63" w:name="bookmark62"/>
      <w:bookmarkEnd w:id="63"/>
    </w:p>
    <w:p w:rsidR="00560C54" w:rsidRPr="00FA714D" w:rsidRDefault="00502811" w:rsidP="0050281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 xml:space="preserve">Đối với đào tạo, bồi </w:t>
      </w:r>
      <w:proofErr w:type="spellStart"/>
      <w:r w:rsidR="00D86E80">
        <w:rPr>
          <w:rFonts w:ascii="Arial" w:hAnsi="Arial" w:cs="Arial"/>
          <w:sz w:val="20"/>
          <w:szCs w:val="20"/>
          <w:lang w:val="en-US"/>
        </w:rPr>
        <w:t>dưỡng</w:t>
      </w:r>
      <w:proofErr w:type="spellEnd"/>
      <w:r w:rsidR="00D86E80" w:rsidRPr="00FA714D">
        <w:rPr>
          <w:rFonts w:ascii="Arial" w:hAnsi="Arial" w:cs="Arial"/>
          <w:sz w:val="20"/>
          <w:szCs w:val="20"/>
        </w:rPr>
        <w:t xml:space="preserve"> đội ngũ cán bộ công chức, người lao động làm công tác quản lý, giám sát, thanh tra tại cơ quan quản lý nhà nước, Sở giao dịch chứng khoán và Tổng công ty lưu ký và bù trừ chứng khoán Việt Nam:</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Xây dựng, triển khai các chương trình đào tạo và bồi dưỡng phù hợp với vị trí việ</w:t>
      </w:r>
      <w:r w:rsidR="00761CEC">
        <w:rPr>
          <w:rFonts w:ascii="Arial" w:hAnsi="Arial" w:cs="Arial"/>
          <w:sz w:val="20"/>
          <w:szCs w:val="20"/>
        </w:rPr>
        <w:t>c làm; chú trọng các nội dung về vận hành, sử dụng các hệ thố</w:t>
      </w:r>
      <w:r w:rsidRPr="00FA714D">
        <w:rPr>
          <w:rFonts w:ascii="Arial" w:hAnsi="Arial" w:cs="Arial"/>
          <w:sz w:val="20"/>
          <w:szCs w:val="20"/>
        </w:rPr>
        <w:t>ng quản lý, giám sát tự động trên TTCK. Đa dạ</w:t>
      </w:r>
      <w:r w:rsidR="001F5CBE">
        <w:rPr>
          <w:rFonts w:ascii="Arial" w:hAnsi="Arial" w:cs="Arial"/>
          <w:sz w:val="20"/>
          <w:szCs w:val="20"/>
        </w:rPr>
        <w:t>ng hóa các hình thức đào tạo, bồ</w:t>
      </w:r>
      <w:r w:rsidRPr="00FA714D">
        <w:rPr>
          <w:rFonts w:ascii="Arial" w:hAnsi="Arial" w:cs="Arial"/>
          <w:sz w:val="20"/>
          <w:szCs w:val="20"/>
        </w:rPr>
        <w:t>i dưỡng trong đó đẩy mạnh ứng d</w:t>
      </w:r>
      <w:r w:rsidR="00856A36">
        <w:rPr>
          <w:rFonts w:ascii="Arial" w:hAnsi="Arial" w:cs="Arial"/>
          <w:sz w:val="20"/>
          <w:szCs w:val="20"/>
        </w:rPr>
        <w:t>ụng công nghệ thông tin trong bố</w:t>
      </w:r>
      <w:r w:rsidRPr="00FA714D">
        <w:rPr>
          <w:rFonts w:ascii="Arial" w:hAnsi="Arial" w:cs="Arial"/>
          <w:sz w:val="20"/>
          <w:szCs w:val="20"/>
        </w:rPr>
        <w:t>i cảnh cách mạng công nghiệp 4.0.</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Nâng cao năng lực đánh giá</w:t>
      </w:r>
      <w:r w:rsidR="00D90A3A">
        <w:rPr>
          <w:rFonts w:ascii="Arial" w:hAnsi="Arial" w:cs="Arial"/>
          <w:sz w:val="20"/>
          <w:szCs w:val="20"/>
        </w:rPr>
        <w:t>, dự báo về diễn biến TTCK và nề</w:t>
      </w:r>
      <w:r w:rsidRPr="00FA714D">
        <w:rPr>
          <w:rFonts w:ascii="Arial" w:hAnsi="Arial" w:cs="Arial"/>
          <w:sz w:val="20"/>
          <w:szCs w:val="20"/>
        </w:rPr>
        <w:t>n kinh tế; có chính sách quản lý, sử dụng, thu</w:t>
      </w:r>
      <w:r w:rsidR="00390598">
        <w:rPr>
          <w:rFonts w:ascii="Arial" w:hAnsi="Arial" w:cs="Arial"/>
          <w:sz w:val="20"/>
          <w:szCs w:val="20"/>
        </w:rPr>
        <w:t xml:space="preserve"> hút, đãi ngộ và phát triển nguồ</w:t>
      </w:r>
      <w:r w:rsidRPr="00FA714D">
        <w:rPr>
          <w:rFonts w:ascii="Arial" w:hAnsi="Arial" w:cs="Arial"/>
          <w:sz w:val="20"/>
          <w:szCs w:val="20"/>
        </w:rPr>
        <w:t>n nhân lực chất lượng cao và có phẩm chất tốt trong hoạt động quản lý, giám sát TTCK.</w:t>
      </w:r>
    </w:p>
    <w:p w:rsidR="00031A88" w:rsidRDefault="00D86E80" w:rsidP="00031A88">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Tăng cường hợp tác, trao đổi thông tin về các</w:t>
      </w:r>
      <w:r w:rsidR="006F543B">
        <w:rPr>
          <w:rFonts w:ascii="Arial" w:hAnsi="Arial" w:cs="Arial"/>
          <w:sz w:val="20"/>
          <w:szCs w:val="20"/>
        </w:rPr>
        <w:t xml:space="preserve"> chương trình đào tạo với các tổ</w:t>
      </w:r>
      <w:r w:rsidRPr="00FA714D">
        <w:rPr>
          <w:rFonts w:ascii="Arial" w:hAnsi="Arial" w:cs="Arial"/>
          <w:sz w:val="20"/>
          <w:szCs w:val="20"/>
        </w:rPr>
        <w:t xml:space="preserve"> chức tài chính quốc tế, tăng cường th</w:t>
      </w:r>
      <w:r w:rsidR="00BE6A07">
        <w:rPr>
          <w:rFonts w:ascii="Arial" w:hAnsi="Arial" w:cs="Arial"/>
          <w:sz w:val="20"/>
          <w:szCs w:val="20"/>
        </w:rPr>
        <w:t>am gia vào hoạt động và sáng kiế</w:t>
      </w:r>
      <w:r w:rsidRPr="00FA714D">
        <w:rPr>
          <w:rFonts w:ascii="Arial" w:hAnsi="Arial" w:cs="Arial"/>
          <w:sz w:val="20"/>
          <w:szCs w:val="20"/>
        </w:rPr>
        <w:t xml:space="preserve">n của Tổ chức quốc tế các ủy ban chứng khoán (IOSCO), ủy ban </w:t>
      </w:r>
      <w:r w:rsidR="00402E4D">
        <w:rPr>
          <w:rFonts w:ascii="Arial" w:hAnsi="Arial" w:cs="Arial"/>
          <w:sz w:val="20"/>
          <w:szCs w:val="20"/>
        </w:rPr>
        <w:t>Chứng khoán</w:t>
      </w:r>
      <w:r w:rsidRPr="00FA714D">
        <w:rPr>
          <w:rFonts w:ascii="Arial" w:hAnsi="Arial" w:cs="Arial"/>
          <w:sz w:val="20"/>
          <w:szCs w:val="20"/>
        </w:rPr>
        <w:t xml:space="preserve"> các nước, các định chế trong và ngoài nước về tài chính - chứng khoán.</w:t>
      </w:r>
      <w:bookmarkStart w:id="64" w:name="bookmark63"/>
      <w:bookmarkEnd w:id="64"/>
    </w:p>
    <w:p w:rsidR="00560C54" w:rsidRPr="00FA714D" w:rsidRDefault="00031A88" w:rsidP="00031A8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Đào tạo và nâng cao chất lượng người hành nghề chứng khoán:</w:t>
      </w:r>
    </w:p>
    <w:p w:rsidR="00560C54" w:rsidRPr="00FA714D" w:rsidRDefault="00047C57" w:rsidP="00FA714D">
      <w:pPr>
        <w:pStyle w:val="Vnbnnidung0"/>
        <w:spacing w:after="120" w:line="240" w:lineRule="auto"/>
        <w:ind w:firstLine="720"/>
        <w:jc w:val="both"/>
        <w:rPr>
          <w:rFonts w:ascii="Arial" w:hAnsi="Arial" w:cs="Arial"/>
          <w:sz w:val="20"/>
          <w:szCs w:val="20"/>
        </w:rPr>
      </w:pPr>
      <w:r>
        <w:rPr>
          <w:rFonts w:ascii="Arial" w:hAnsi="Arial" w:cs="Arial"/>
          <w:sz w:val="20"/>
          <w:szCs w:val="20"/>
        </w:rPr>
        <w:t>+ Tăng cường các chương trình đ</w:t>
      </w:r>
      <w:r w:rsidR="00D86E80" w:rsidRPr="00FA714D">
        <w:rPr>
          <w:rFonts w:ascii="Arial" w:hAnsi="Arial" w:cs="Arial"/>
          <w:sz w:val="20"/>
          <w:szCs w:val="20"/>
        </w:rPr>
        <w:t>ào tạo người hành nghề chứng khoán theo hướng hài hòa với các nước trong khu vực ASEAN và trên thế giới.</w:t>
      </w:r>
    </w:p>
    <w:p w:rsidR="00031A88" w:rsidRDefault="00D86E80" w:rsidP="00031A88">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 xml:space="preserve">+ </w:t>
      </w:r>
      <w:proofErr w:type="spellStart"/>
      <w:r w:rsidR="00031A88">
        <w:rPr>
          <w:rFonts w:ascii="Arial" w:hAnsi="Arial" w:cs="Arial"/>
          <w:sz w:val="20"/>
          <w:szCs w:val="20"/>
          <w:lang w:val="en-US"/>
        </w:rPr>
        <w:t>Ủy</w:t>
      </w:r>
      <w:proofErr w:type="spellEnd"/>
      <w:r w:rsidRPr="00FA714D">
        <w:rPr>
          <w:rFonts w:ascii="Arial" w:hAnsi="Arial" w:cs="Arial"/>
          <w:sz w:val="20"/>
          <w:szCs w:val="20"/>
        </w:rPr>
        <w:t xml:space="preserve"> ban Chứng khoán Nhà nước tiếp tục phối hợp với các hiệp hội nghề nghiệp tăng cường quản lý, giám sát đối với người hành nghề chứng khoán; áp dụng các nguyên tắc và chuẩn mực về đạo đức nghề nghiệp đối với người quản lý công ty chứng khoán, công ty quản lý quỹ đầu tư chứng khoán và người hành nghề; tiến tới từng bước chuyển giao hoạt động thi, cấp chứng chỉ hành nghề cho các hiệp hội nghề nghiệp trên cơ sở đáp ứng các yêu cầu về năng lực của từng hiệp hội.</w:t>
      </w:r>
      <w:bookmarkStart w:id="65" w:name="bookmark64"/>
      <w:bookmarkEnd w:id="65"/>
    </w:p>
    <w:p w:rsidR="00031A88" w:rsidRDefault="00031A88" w:rsidP="00031A8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Nâng cao chất lượng nhà đầu tư cá nhân gắn với đào tạo, phổ cập kiến thức và thông tin tuyên truyền: xây dựng chiến lược đào tạo tổng thể cho nhà đầu tư, xác định mục tiêu, đối tượng và lộ trình phù hợp theo từng giai đoạn phát triển của TTCK.</w:t>
      </w:r>
      <w:bookmarkStart w:id="66" w:name="bookmark65"/>
      <w:bookmarkEnd w:id="66"/>
    </w:p>
    <w:p w:rsidR="00031A88" w:rsidRDefault="00031A88" w:rsidP="00031A8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D86E80" w:rsidRPr="00FA714D">
        <w:rPr>
          <w:rFonts w:ascii="Arial" w:hAnsi="Arial" w:cs="Arial"/>
          <w:sz w:val="20"/>
          <w:szCs w:val="20"/>
        </w:rPr>
        <w:t xml:space="preserve">Phát triển Trung tâm Nghiên cứu khoa học và Đào tạo chứng khoán thành đơn vị hàng đầu trong lĩnh vực nghiên cứu, đào tạo về chứng khoán; đẩy mạnh hợp tác với các trường đại học, các cơ sở nghiên cứu trong và ngoài nước trong hoạt động nghiên cứu, đào tạo; đa dạng hoá nội dung và hình thức đào tạo đối với người hành nghề chứng </w:t>
      </w:r>
      <w:r>
        <w:rPr>
          <w:rFonts w:ascii="Arial" w:hAnsi="Arial" w:cs="Arial"/>
          <w:sz w:val="20"/>
          <w:szCs w:val="20"/>
        </w:rPr>
        <w:t>khoán và nhà đầu tư thông qua đẩ</w:t>
      </w:r>
      <w:r w:rsidR="00D86E80" w:rsidRPr="00FA714D">
        <w:rPr>
          <w:rFonts w:ascii="Arial" w:hAnsi="Arial" w:cs="Arial"/>
          <w:sz w:val="20"/>
          <w:szCs w:val="20"/>
        </w:rPr>
        <w:t>y mạnh việc số hóa các chương trình và tài liệu đào tạo.</w:t>
      </w:r>
      <w:bookmarkStart w:id="67" w:name="bookmark68"/>
      <w:bookmarkStart w:id="68" w:name="bookmark66"/>
      <w:bookmarkStart w:id="69" w:name="bookmark67"/>
      <w:bookmarkStart w:id="70" w:name="bookmark69"/>
      <w:bookmarkEnd w:id="67"/>
    </w:p>
    <w:p w:rsidR="00560C54" w:rsidRPr="00031A88" w:rsidRDefault="00031A88" w:rsidP="00031A88">
      <w:pPr>
        <w:pStyle w:val="Vnbnnidung0"/>
        <w:spacing w:after="120" w:line="240" w:lineRule="auto"/>
        <w:ind w:firstLine="720"/>
        <w:jc w:val="both"/>
        <w:rPr>
          <w:rFonts w:ascii="Arial" w:hAnsi="Arial" w:cs="Arial"/>
          <w:b/>
          <w:sz w:val="20"/>
          <w:szCs w:val="20"/>
        </w:rPr>
      </w:pPr>
      <w:r>
        <w:rPr>
          <w:rFonts w:ascii="Arial" w:hAnsi="Arial" w:cs="Arial"/>
          <w:b/>
          <w:sz w:val="20"/>
          <w:szCs w:val="20"/>
          <w:lang w:val="en-US"/>
        </w:rPr>
        <w:t>5</w:t>
      </w:r>
      <w:r w:rsidRPr="00031A88">
        <w:rPr>
          <w:rFonts w:ascii="Arial" w:hAnsi="Arial" w:cs="Arial"/>
          <w:b/>
          <w:sz w:val="20"/>
          <w:szCs w:val="20"/>
          <w:lang w:val="en-US"/>
        </w:rPr>
        <w:t xml:space="preserve">. </w:t>
      </w:r>
      <w:r w:rsidR="00D86E80" w:rsidRPr="00031A88">
        <w:rPr>
          <w:rFonts w:ascii="Arial" w:hAnsi="Arial" w:cs="Arial"/>
          <w:b/>
          <w:sz w:val="20"/>
          <w:szCs w:val="20"/>
        </w:rPr>
        <w:t xml:space="preserve">Kinh phí và </w:t>
      </w:r>
      <w:proofErr w:type="spellStart"/>
      <w:r>
        <w:rPr>
          <w:rFonts w:ascii="Arial" w:hAnsi="Arial" w:cs="Arial"/>
          <w:b/>
          <w:sz w:val="20"/>
          <w:szCs w:val="20"/>
          <w:lang w:val="en-US"/>
        </w:rPr>
        <w:t>cơ</w:t>
      </w:r>
      <w:proofErr w:type="spellEnd"/>
      <w:r>
        <w:rPr>
          <w:rFonts w:ascii="Arial" w:hAnsi="Arial" w:cs="Arial"/>
          <w:b/>
          <w:sz w:val="20"/>
          <w:szCs w:val="20"/>
          <w:lang w:val="en-US"/>
        </w:rPr>
        <w:t xml:space="preserve"> </w:t>
      </w:r>
      <w:proofErr w:type="spellStart"/>
      <w:r>
        <w:rPr>
          <w:rFonts w:ascii="Arial" w:hAnsi="Arial" w:cs="Arial"/>
          <w:b/>
          <w:sz w:val="20"/>
          <w:szCs w:val="20"/>
          <w:lang w:val="en-US"/>
        </w:rPr>
        <w:t>sở</w:t>
      </w:r>
      <w:proofErr w:type="spellEnd"/>
      <w:r w:rsidR="00D86E80" w:rsidRPr="00031A88">
        <w:rPr>
          <w:rFonts w:ascii="Arial" w:hAnsi="Arial" w:cs="Arial"/>
          <w:b/>
          <w:sz w:val="20"/>
          <w:szCs w:val="20"/>
        </w:rPr>
        <w:t xml:space="preserve"> vật chất kỹ thuật cho TTCK</w:t>
      </w:r>
      <w:bookmarkEnd w:id="68"/>
      <w:bookmarkEnd w:id="69"/>
      <w:bookmarkEnd w:id="70"/>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Tăng cường nguồn lực hoạt động; đổi mới, ứng dụng, phát triển công nghệ thông tin hiện đại cho cơ quan quản lý nhà nước, Sở giao dịch chứng khoán Việt Nam và các công ty con, Tổng công ty lưu ký và bù trừ chứng khoán Việt Nam trong công tác quản lý, giám sát TTCK theo quy định pháp luật.</w:t>
      </w:r>
    </w:p>
    <w:p w:rsidR="00947709" w:rsidRDefault="00D86E80" w:rsidP="00947709">
      <w:pPr>
        <w:pStyle w:val="Vnbnnidung0"/>
        <w:spacing w:after="120" w:line="240" w:lineRule="auto"/>
        <w:ind w:firstLine="720"/>
        <w:jc w:val="both"/>
        <w:rPr>
          <w:rFonts w:ascii="Arial" w:hAnsi="Arial" w:cs="Arial"/>
          <w:sz w:val="20"/>
          <w:szCs w:val="20"/>
        </w:rPr>
      </w:pPr>
      <w:r w:rsidRPr="00FA714D">
        <w:rPr>
          <w:rFonts w:ascii="Arial" w:hAnsi="Arial" w:cs="Arial"/>
          <w:b/>
          <w:bCs/>
          <w:sz w:val="20"/>
          <w:szCs w:val="20"/>
        </w:rPr>
        <w:t xml:space="preserve">Điều 2. </w:t>
      </w:r>
      <w:r w:rsidRPr="00FA714D">
        <w:rPr>
          <w:rFonts w:ascii="Arial" w:hAnsi="Arial" w:cs="Arial"/>
          <w:sz w:val="20"/>
          <w:szCs w:val="20"/>
        </w:rPr>
        <w:t>Trách nhiệm tổ chức, thực hiện Chiến lược</w:t>
      </w:r>
      <w:bookmarkStart w:id="71" w:name="bookmark70"/>
      <w:bookmarkEnd w:id="71"/>
    </w:p>
    <w:p w:rsidR="00947709" w:rsidRDefault="00947709" w:rsidP="0094770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D86E80" w:rsidRPr="00FA714D">
        <w:rPr>
          <w:rFonts w:ascii="Arial" w:hAnsi="Arial" w:cs="Arial"/>
          <w:sz w:val="20"/>
          <w:szCs w:val="20"/>
        </w:rPr>
        <w:t>Bộ Tài chính có trách nhiệm:</w:t>
      </w:r>
      <w:bookmarkStart w:id="72" w:name="bookmark71"/>
      <w:bookmarkEnd w:id="72"/>
    </w:p>
    <w:p w:rsidR="00947709" w:rsidRDefault="00947709" w:rsidP="0094770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D86E80" w:rsidRPr="00FA714D">
        <w:rPr>
          <w:rFonts w:ascii="Arial" w:hAnsi="Arial" w:cs="Arial"/>
          <w:sz w:val="20"/>
          <w:szCs w:val="20"/>
        </w:rPr>
        <w:t xml:space="preserve">Chủ trì, tổ chức triển khai thực hiện Chiến lược; xây </w:t>
      </w:r>
      <w:proofErr w:type="spellStart"/>
      <w:r>
        <w:rPr>
          <w:rFonts w:ascii="Arial" w:hAnsi="Arial" w:cs="Arial"/>
          <w:sz w:val="20"/>
          <w:szCs w:val="20"/>
          <w:lang w:val="en-US"/>
        </w:rPr>
        <w:t>dựng</w:t>
      </w:r>
      <w:proofErr w:type="spellEnd"/>
      <w:r w:rsidR="00D86E80" w:rsidRPr="00FA714D">
        <w:rPr>
          <w:rFonts w:ascii="Arial" w:hAnsi="Arial" w:cs="Arial"/>
          <w:sz w:val="20"/>
          <w:szCs w:val="20"/>
        </w:rPr>
        <w:t xml:space="preserve"> kế hoạch, lộ trình và chỉ đạo, giám sát thực hiện Chiến lược; kịp thời báo cáo Thủ tướng Chính phủ xem xét điều chỉnh, bổ sung Chiến lược để đáp ứng yêu cầu thực tiễn.</w:t>
      </w:r>
      <w:bookmarkStart w:id="73" w:name="bookmark72"/>
      <w:bookmarkEnd w:id="73"/>
    </w:p>
    <w:p w:rsidR="00947709" w:rsidRDefault="00947709" w:rsidP="0094770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D86E80" w:rsidRPr="00FA714D">
        <w:rPr>
          <w:rFonts w:ascii="Arial" w:hAnsi="Arial" w:cs="Arial"/>
          <w:sz w:val="20"/>
          <w:szCs w:val="20"/>
        </w:rPr>
        <w:t>Chủ trì, phối hợp với các bộ, ngành liên quan kiểm tra việc thực hiện Chiến lược phát triển TTCK đến năm 2030 và tổ chức đánh giá việc thực hiện Chiến lược.</w:t>
      </w:r>
      <w:bookmarkStart w:id="74" w:name="bookmark73"/>
      <w:bookmarkEnd w:id="74"/>
    </w:p>
    <w:p w:rsidR="00947709" w:rsidRDefault="00947709" w:rsidP="0094770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D86E80" w:rsidRPr="00FA714D">
        <w:rPr>
          <w:rFonts w:ascii="Arial" w:hAnsi="Arial" w:cs="Arial"/>
          <w:sz w:val="20"/>
          <w:szCs w:val="20"/>
        </w:rPr>
        <w:t>Chủ trì, phối hợp với Bộ K</w:t>
      </w:r>
      <w:r>
        <w:rPr>
          <w:rFonts w:ascii="Arial" w:hAnsi="Arial" w:cs="Arial"/>
          <w:sz w:val="20"/>
          <w:szCs w:val="20"/>
          <w:lang w:val="en-US"/>
        </w:rPr>
        <w:t>ế</w:t>
      </w:r>
      <w:r w:rsidR="00D86E80" w:rsidRPr="00FA714D">
        <w:rPr>
          <w:rFonts w:ascii="Arial" w:hAnsi="Arial" w:cs="Arial"/>
          <w:sz w:val="20"/>
          <w:szCs w:val="20"/>
        </w:rPr>
        <w:t xml:space="preserve"> hoạch và Đầu tư và các bộ, ngành liên quan cân </w:t>
      </w:r>
      <w:proofErr w:type="spellStart"/>
      <w:r>
        <w:rPr>
          <w:rFonts w:ascii="Arial" w:hAnsi="Arial" w:cs="Arial"/>
          <w:sz w:val="20"/>
          <w:szCs w:val="20"/>
          <w:lang w:val="en-US"/>
        </w:rPr>
        <w:t>đối</w:t>
      </w:r>
      <w:proofErr w:type="spellEnd"/>
      <w:r w:rsidR="00D86E80" w:rsidRPr="00FA714D">
        <w:rPr>
          <w:rFonts w:ascii="Arial" w:hAnsi="Arial" w:cs="Arial"/>
          <w:sz w:val="20"/>
          <w:szCs w:val="20"/>
        </w:rPr>
        <w:t>, bố trí ngân sách nhà nước hằng năm theo quy định của Luật Ngân sách nhà nước và các văn bản quy phạm pháp luật có liên quan đ</w:t>
      </w:r>
      <w:r>
        <w:rPr>
          <w:rFonts w:ascii="Arial" w:hAnsi="Arial" w:cs="Arial"/>
          <w:sz w:val="20"/>
          <w:szCs w:val="20"/>
          <w:lang w:val="en-US"/>
        </w:rPr>
        <w:t>ể</w:t>
      </w:r>
      <w:r w:rsidR="00D86E80" w:rsidRPr="00FA714D">
        <w:rPr>
          <w:rFonts w:ascii="Arial" w:hAnsi="Arial" w:cs="Arial"/>
          <w:sz w:val="20"/>
          <w:szCs w:val="20"/>
        </w:rPr>
        <w:t xml:space="preserve"> thực hiện Chiến lược.</w:t>
      </w:r>
      <w:bookmarkStart w:id="75" w:name="bookmark74"/>
      <w:bookmarkEnd w:id="75"/>
    </w:p>
    <w:p w:rsidR="00560C54" w:rsidRPr="00FA714D" w:rsidRDefault="00947709" w:rsidP="00947709">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00D86E80" w:rsidRPr="00FA714D">
        <w:rPr>
          <w:rFonts w:ascii="Arial" w:hAnsi="Arial" w:cs="Arial"/>
          <w:sz w:val="20"/>
          <w:szCs w:val="20"/>
        </w:rPr>
        <w:t xml:space="preserve">Các bộ, cơ quan ngang bộ, cơ quan thuộc Chính phủ và </w:t>
      </w:r>
      <w:proofErr w:type="spellStart"/>
      <w:r>
        <w:rPr>
          <w:rFonts w:ascii="Arial" w:hAnsi="Arial" w:cs="Arial"/>
          <w:sz w:val="20"/>
          <w:szCs w:val="20"/>
          <w:lang w:val="en-US"/>
        </w:rPr>
        <w:t>Ủy</w:t>
      </w:r>
      <w:proofErr w:type="spellEnd"/>
      <w:r w:rsidR="00D86E80" w:rsidRPr="00FA714D">
        <w:rPr>
          <w:rFonts w:ascii="Arial" w:hAnsi="Arial" w:cs="Arial"/>
          <w:sz w:val="20"/>
          <w:szCs w:val="20"/>
        </w:rPr>
        <w:t xml:space="preserve"> ban nhân dân các tỉnh, thành phố trực thuộc Trung ương phối hợp với Bộ Tài chính và cơ quan liên quan căn cứ chức năng, nhiệm vụ quản lý nhà nước theo quy định của pháp </w:t>
      </w:r>
      <w:r>
        <w:rPr>
          <w:rFonts w:ascii="Arial" w:hAnsi="Arial" w:cs="Arial"/>
          <w:sz w:val="20"/>
          <w:szCs w:val="20"/>
        </w:rPr>
        <w:t>luật có trách nhiệm chỉ đạo, tha</w:t>
      </w:r>
      <w:r w:rsidR="00D86E80" w:rsidRPr="00FA714D">
        <w:rPr>
          <w:rFonts w:ascii="Arial" w:hAnsi="Arial" w:cs="Arial"/>
          <w:sz w:val="20"/>
          <w:szCs w:val="20"/>
        </w:rPr>
        <w:t>m gia thực hiện các nội dung có liên quan của Chiến lược này.</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b/>
          <w:bCs/>
          <w:sz w:val="20"/>
          <w:szCs w:val="20"/>
        </w:rPr>
        <w:t xml:space="preserve">Điều 3. </w:t>
      </w:r>
      <w:r w:rsidRPr="00FA714D">
        <w:rPr>
          <w:rFonts w:ascii="Arial" w:hAnsi="Arial" w:cs="Arial"/>
          <w:sz w:val="20"/>
          <w:szCs w:val="20"/>
        </w:rPr>
        <w:t>Hiệu lực thi hành</w:t>
      </w:r>
    </w:p>
    <w:p w:rsidR="00560C54" w:rsidRPr="00FA714D" w:rsidRDefault="00D86E80" w:rsidP="00FA714D">
      <w:pPr>
        <w:pStyle w:val="Vnbnnidung0"/>
        <w:spacing w:after="120" w:line="240" w:lineRule="auto"/>
        <w:ind w:firstLine="720"/>
        <w:jc w:val="both"/>
        <w:rPr>
          <w:rFonts w:ascii="Arial" w:hAnsi="Arial" w:cs="Arial"/>
          <w:sz w:val="20"/>
          <w:szCs w:val="20"/>
        </w:rPr>
      </w:pPr>
      <w:r w:rsidRPr="00FA714D">
        <w:rPr>
          <w:rFonts w:ascii="Arial" w:hAnsi="Arial" w:cs="Arial"/>
          <w:sz w:val="20"/>
          <w:szCs w:val="20"/>
        </w:rPr>
        <w:t>Quyết định này có hiệu lực thi hành kể từ ngày ký ban hành.</w:t>
      </w:r>
    </w:p>
    <w:p w:rsidR="00560C54" w:rsidRDefault="00D86E80" w:rsidP="00A84000">
      <w:pPr>
        <w:pStyle w:val="Vnbnnidung0"/>
        <w:spacing w:after="0" w:line="240" w:lineRule="auto"/>
        <w:ind w:firstLine="720"/>
        <w:jc w:val="both"/>
        <w:rPr>
          <w:rFonts w:ascii="Arial" w:hAnsi="Arial" w:cs="Arial"/>
          <w:sz w:val="20"/>
          <w:szCs w:val="20"/>
        </w:rPr>
      </w:pPr>
      <w:r w:rsidRPr="00FA714D">
        <w:rPr>
          <w:rFonts w:ascii="Arial" w:hAnsi="Arial" w:cs="Arial"/>
          <w:b/>
          <w:bCs/>
          <w:sz w:val="20"/>
          <w:szCs w:val="20"/>
        </w:rPr>
        <w:t xml:space="preserve">Điều 4. </w:t>
      </w:r>
      <w:r w:rsidRPr="00FA714D">
        <w:rPr>
          <w:rFonts w:ascii="Arial" w:hAnsi="Arial" w:cs="Arial"/>
          <w:sz w:val="20"/>
          <w:szCs w:val="20"/>
        </w:rPr>
        <w:t xml:space="preserve">Các Bộ trưởng, Thủ trưởng cơ quan ngang Bộ, Thủ trưởng cơ quan thuộc Chính phủ, Chủ tịch </w:t>
      </w:r>
      <w:proofErr w:type="spellStart"/>
      <w:r w:rsidR="00DC26F0">
        <w:rPr>
          <w:rFonts w:ascii="Arial" w:hAnsi="Arial" w:cs="Arial"/>
          <w:sz w:val="20"/>
          <w:szCs w:val="20"/>
          <w:lang w:val="en-US"/>
        </w:rPr>
        <w:t>Ủy</w:t>
      </w:r>
      <w:proofErr w:type="spellEnd"/>
      <w:r w:rsidRPr="00FA714D">
        <w:rPr>
          <w:rFonts w:ascii="Arial" w:hAnsi="Arial" w:cs="Arial"/>
          <w:sz w:val="20"/>
          <w:szCs w:val="20"/>
        </w:rPr>
        <w:t xml:space="preserve"> ban nhân dân các tỉnh, thành phố trực thuộc trung ương và Thủ trưởng các cơ quan có liên quan chịu trách nhiệm thi hành Quyết định này./.</w:t>
      </w:r>
    </w:p>
    <w:p w:rsidR="00DC26F0" w:rsidRDefault="00DC26F0" w:rsidP="00A84000">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327154" w:rsidRPr="00597990" w:rsidTr="00327154">
        <w:tc>
          <w:tcPr>
            <w:tcW w:w="2500" w:type="pct"/>
            <w:shd w:val="clear" w:color="auto" w:fill="auto"/>
          </w:tcPr>
          <w:p w:rsidR="00327154" w:rsidRPr="00FA714D" w:rsidRDefault="00327154" w:rsidP="00327154">
            <w:pPr>
              <w:pStyle w:val="Vnbnnidung0"/>
              <w:spacing w:after="0" w:line="240" w:lineRule="auto"/>
              <w:ind w:firstLine="0"/>
              <w:rPr>
                <w:rFonts w:ascii="Arial" w:hAnsi="Arial" w:cs="Arial"/>
                <w:sz w:val="20"/>
                <w:szCs w:val="20"/>
              </w:rPr>
            </w:pPr>
            <w:r w:rsidRPr="00FA714D">
              <w:rPr>
                <w:rFonts w:ascii="Arial" w:hAnsi="Arial" w:cs="Arial"/>
                <w:b/>
                <w:bCs/>
                <w:i/>
                <w:iCs/>
                <w:sz w:val="20"/>
                <w:szCs w:val="20"/>
              </w:rPr>
              <w:t>Nơi nhận:</w:t>
            </w:r>
          </w:p>
          <w:p w:rsidR="00327154" w:rsidRPr="00FA714D" w:rsidRDefault="00327154" w:rsidP="00327154">
            <w:pPr>
              <w:pStyle w:val="Vnbnnidung20"/>
              <w:tabs>
                <w:tab w:val="left" w:pos="261"/>
              </w:tabs>
              <w:rPr>
                <w:rFonts w:ascii="Arial" w:hAnsi="Arial" w:cs="Arial"/>
                <w:sz w:val="20"/>
                <w:szCs w:val="20"/>
              </w:rPr>
            </w:pPr>
            <w:bookmarkStart w:id="76" w:name="bookmark75"/>
            <w:bookmarkEnd w:id="76"/>
            <w:r>
              <w:rPr>
                <w:rFonts w:ascii="Arial" w:hAnsi="Arial" w:cs="Arial"/>
                <w:sz w:val="20"/>
                <w:szCs w:val="20"/>
                <w:lang w:val="en-US"/>
              </w:rPr>
              <w:t xml:space="preserve">- </w:t>
            </w:r>
            <w:r w:rsidRPr="00FA714D">
              <w:rPr>
                <w:rFonts w:ascii="Arial" w:hAnsi="Arial" w:cs="Arial"/>
                <w:sz w:val="20"/>
                <w:szCs w:val="20"/>
              </w:rPr>
              <w:t>Ban Bí thư Trung ương Đảng;</w:t>
            </w:r>
          </w:p>
          <w:p w:rsidR="00327154" w:rsidRPr="00FA714D" w:rsidRDefault="00327154" w:rsidP="00327154">
            <w:pPr>
              <w:pStyle w:val="Vnbnnidung20"/>
              <w:tabs>
                <w:tab w:val="left" w:pos="261"/>
              </w:tabs>
              <w:rPr>
                <w:rFonts w:ascii="Arial" w:hAnsi="Arial" w:cs="Arial"/>
                <w:sz w:val="20"/>
                <w:szCs w:val="20"/>
              </w:rPr>
            </w:pPr>
            <w:bookmarkStart w:id="77" w:name="bookmark76"/>
            <w:bookmarkEnd w:id="77"/>
            <w:r>
              <w:rPr>
                <w:rFonts w:ascii="Arial" w:hAnsi="Arial" w:cs="Arial"/>
                <w:sz w:val="20"/>
                <w:szCs w:val="20"/>
                <w:lang w:val="en-US"/>
              </w:rPr>
              <w:t xml:space="preserve">- </w:t>
            </w:r>
            <w:r w:rsidRPr="00FA714D">
              <w:rPr>
                <w:rFonts w:ascii="Arial" w:hAnsi="Arial" w:cs="Arial"/>
                <w:sz w:val="20"/>
                <w:szCs w:val="20"/>
              </w:rPr>
              <w:t>Thủ tướng, các Phó Thủ tướng Chính phủ;</w:t>
            </w:r>
          </w:p>
          <w:p w:rsidR="00327154" w:rsidRPr="00FA714D" w:rsidRDefault="00327154" w:rsidP="00327154">
            <w:pPr>
              <w:pStyle w:val="Vnbnnidung20"/>
              <w:tabs>
                <w:tab w:val="left" w:pos="261"/>
              </w:tabs>
              <w:rPr>
                <w:rFonts w:ascii="Arial" w:hAnsi="Arial" w:cs="Arial"/>
                <w:sz w:val="20"/>
                <w:szCs w:val="20"/>
              </w:rPr>
            </w:pPr>
            <w:bookmarkStart w:id="78" w:name="bookmark77"/>
            <w:bookmarkEnd w:id="78"/>
            <w:r>
              <w:rPr>
                <w:rFonts w:ascii="Arial" w:hAnsi="Arial" w:cs="Arial"/>
                <w:sz w:val="20"/>
                <w:szCs w:val="20"/>
                <w:lang w:val="en-US"/>
              </w:rPr>
              <w:t xml:space="preserve">- </w:t>
            </w:r>
            <w:r w:rsidRPr="00FA714D">
              <w:rPr>
                <w:rFonts w:ascii="Arial" w:hAnsi="Arial" w:cs="Arial"/>
                <w:sz w:val="20"/>
                <w:szCs w:val="20"/>
              </w:rPr>
              <w:t>Các bộ, cơ quan ngang bộ, cơ quan thuộc Chính phủ;</w:t>
            </w:r>
          </w:p>
          <w:p w:rsidR="00327154" w:rsidRPr="00FA714D" w:rsidRDefault="00327154" w:rsidP="00327154">
            <w:pPr>
              <w:pStyle w:val="Vnbnnidung20"/>
              <w:tabs>
                <w:tab w:val="left" w:pos="261"/>
              </w:tabs>
              <w:rPr>
                <w:rFonts w:ascii="Arial" w:hAnsi="Arial" w:cs="Arial"/>
                <w:sz w:val="20"/>
                <w:szCs w:val="20"/>
              </w:rPr>
            </w:pPr>
            <w:bookmarkStart w:id="79" w:name="bookmark78"/>
            <w:bookmarkEnd w:id="79"/>
            <w:r>
              <w:rPr>
                <w:rFonts w:ascii="Arial" w:hAnsi="Arial" w:cs="Arial"/>
                <w:sz w:val="20"/>
                <w:szCs w:val="20"/>
                <w:lang w:val="en-US"/>
              </w:rPr>
              <w:t xml:space="preserve">- </w:t>
            </w:r>
            <w:r w:rsidRPr="00FA714D">
              <w:rPr>
                <w:rFonts w:ascii="Arial" w:hAnsi="Arial" w:cs="Arial"/>
                <w:sz w:val="20"/>
                <w:szCs w:val="20"/>
              </w:rPr>
              <w:t>HĐND, UBND các tỉnh, thành phố trực thuộc trung ương</w:t>
            </w:r>
          </w:p>
          <w:p w:rsidR="00327154" w:rsidRDefault="00327154" w:rsidP="00327154">
            <w:pPr>
              <w:pStyle w:val="Vnbnnidung20"/>
              <w:tabs>
                <w:tab w:val="left" w:pos="261"/>
              </w:tabs>
              <w:rPr>
                <w:rFonts w:ascii="Arial" w:hAnsi="Arial" w:cs="Arial"/>
                <w:sz w:val="20"/>
                <w:szCs w:val="20"/>
              </w:rPr>
            </w:pPr>
            <w:bookmarkStart w:id="80" w:name="bookmark79"/>
            <w:bookmarkEnd w:id="80"/>
            <w:r>
              <w:rPr>
                <w:rFonts w:ascii="Arial" w:hAnsi="Arial" w:cs="Arial"/>
                <w:sz w:val="20"/>
                <w:szCs w:val="20"/>
                <w:lang w:val="en-US"/>
              </w:rPr>
              <w:t xml:space="preserve">- </w:t>
            </w:r>
            <w:r>
              <w:rPr>
                <w:rFonts w:ascii="Arial" w:hAnsi="Arial" w:cs="Arial"/>
                <w:sz w:val="20"/>
                <w:szCs w:val="20"/>
              </w:rPr>
              <w:t>Vă</w:t>
            </w:r>
            <w:r w:rsidRPr="00FA714D">
              <w:rPr>
                <w:rFonts w:ascii="Arial" w:hAnsi="Arial" w:cs="Arial"/>
                <w:sz w:val="20"/>
                <w:szCs w:val="20"/>
              </w:rPr>
              <w:t xml:space="preserve">n phòng </w:t>
            </w:r>
            <w:r>
              <w:rPr>
                <w:rFonts w:ascii="Arial" w:hAnsi="Arial" w:cs="Arial"/>
                <w:sz w:val="20"/>
                <w:szCs w:val="20"/>
              </w:rPr>
              <w:t>Trung ương và các Ban của Đảng;</w:t>
            </w:r>
          </w:p>
          <w:p w:rsidR="00327154" w:rsidRPr="00FA714D" w:rsidRDefault="00327154" w:rsidP="00327154">
            <w:pPr>
              <w:pStyle w:val="Vnbnnidung20"/>
              <w:tabs>
                <w:tab w:val="left" w:pos="261"/>
              </w:tabs>
              <w:rPr>
                <w:rFonts w:ascii="Arial" w:hAnsi="Arial" w:cs="Arial"/>
                <w:sz w:val="20"/>
                <w:szCs w:val="20"/>
              </w:rPr>
            </w:pPr>
            <w:r w:rsidRPr="00FA714D">
              <w:rPr>
                <w:rFonts w:ascii="Arial" w:hAnsi="Arial" w:cs="Arial"/>
                <w:sz w:val="20"/>
                <w:szCs w:val="20"/>
              </w:rPr>
              <w:t>-</w:t>
            </w:r>
            <w:r>
              <w:rPr>
                <w:rFonts w:ascii="Arial" w:hAnsi="Arial" w:cs="Arial"/>
                <w:sz w:val="20"/>
                <w:szCs w:val="20"/>
                <w:lang w:val="en-US"/>
              </w:rPr>
              <w:t xml:space="preserve"> </w:t>
            </w:r>
            <w:r w:rsidRPr="00FA714D">
              <w:rPr>
                <w:rFonts w:ascii="Arial" w:hAnsi="Arial" w:cs="Arial"/>
                <w:sz w:val="20"/>
                <w:szCs w:val="20"/>
              </w:rPr>
              <w:t>Văn phòng Tổng Bí thư;</w:t>
            </w:r>
          </w:p>
          <w:p w:rsidR="00327154" w:rsidRPr="00FA714D" w:rsidRDefault="00327154" w:rsidP="00327154">
            <w:pPr>
              <w:pStyle w:val="Vnbnnidung20"/>
              <w:tabs>
                <w:tab w:val="left" w:pos="261"/>
              </w:tabs>
              <w:rPr>
                <w:rFonts w:ascii="Arial" w:hAnsi="Arial" w:cs="Arial"/>
                <w:sz w:val="20"/>
                <w:szCs w:val="20"/>
              </w:rPr>
            </w:pPr>
            <w:bookmarkStart w:id="81" w:name="bookmark80"/>
            <w:bookmarkEnd w:id="81"/>
            <w:r>
              <w:rPr>
                <w:rFonts w:ascii="Arial" w:hAnsi="Arial" w:cs="Arial"/>
                <w:sz w:val="20"/>
                <w:szCs w:val="20"/>
                <w:lang w:val="en-US"/>
              </w:rPr>
              <w:t xml:space="preserve">- </w:t>
            </w:r>
            <w:r w:rsidRPr="00FA714D">
              <w:rPr>
                <w:rFonts w:ascii="Arial" w:hAnsi="Arial" w:cs="Arial"/>
                <w:sz w:val="20"/>
                <w:szCs w:val="20"/>
              </w:rPr>
              <w:t>Văn phòng Chủ tịch nước;</w:t>
            </w:r>
          </w:p>
          <w:p w:rsidR="00327154" w:rsidRPr="00FA714D" w:rsidRDefault="00327154" w:rsidP="00327154">
            <w:pPr>
              <w:pStyle w:val="Vnbnnidung20"/>
              <w:tabs>
                <w:tab w:val="left" w:pos="261"/>
              </w:tabs>
              <w:rPr>
                <w:rFonts w:ascii="Arial" w:hAnsi="Arial" w:cs="Arial"/>
                <w:sz w:val="20"/>
                <w:szCs w:val="20"/>
              </w:rPr>
            </w:pPr>
            <w:bookmarkStart w:id="82" w:name="bookmark81"/>
            <w:bookmarkEnd w:id="82"/>
            <w:r>
              <w:rPr>
                <w:rFonts w:ascii="Arial" w:hAnsi="Arial" w:cs="Arial"/>
                <w:sz w:val="20"/>
                <w:szCs w:val="20"/>
                <w:lang w:val="en-US"/>
              </w:rPr>
              <w:t xml:space="preserve">- </w:t>
            </w:r>
            <w:r w:rsidRPr="00FA714D">
              <w:rPr>
                <w:rFonts w:ascii="Arial" w:hAnsi="Arial" w:cs="Arial"/>
                <w:sz w:val="20"/>
                <w:szCs w:val="20"/>
              </w:rPr>
              <w:t xml:space="preserve">Hội đồng Dân tộc và các </w:t>
            </w:r>
            <w:proofErr w:type="spellStart"/>
            <w:r>
              <w:rPr>
                <w:rFonts w:ascii="Arial" w:hAnsi="Arial" w:cs="Arial"/>
                <w:sz w:val="20"/>
                <w:szCs w:val="20"/>
                <w:lang w:val="en-US"/>
              </w:rPr>
              <w:t>Ủy</w:t>
            </w:r>
            <w:proofErr w:type="spellEnd"/>
            <w:r w:rsidRPr="00FA714D">
              <w:rPr>
                <w:rFonts w:ascii="Arial" w:hAnsi="Arial" w:cs="Arial"/>
                <w:sz w:val="20"/>
                <w:szCs w:val="20"/>
              </w:rPr>
              <w:t xml:space="preserve"> ban của Quốc hội;</w:t>
            </w:r>
          </w:p>
          <w:p w:rsidR="00327154" w:rsidRPr="00FA714D" w:rsidRDefault="00327154" w:rsidP="00327154">
            <w:pPr>
              <w:pStyle w:val="Vnbnnidung20"/>
              <w:tabs>
                <w:tab w:val="left" w:pos="261"/>
              </w:tabs>
              <w:rPr>
                <w:rFonts w:ascii="Arial" w:hAnsi="Arial" w:cs="Arial"/>
                <w:sz w:val="20"/>
                <w:szCs w:val="20"/>
              </w:rPr>
            </w:pPr>
            <w:bookmarkStart w:id="83" w:name="bookmark82"/>
            <w:bookmarkEnd w:id="83"/>
            <w:r>
              <w:rPr>
                <w:rFonts w:ascii="Arial" w:hAnsi="Arial" w:cs="Arial"/>
                <w:sz w:val="20"/>
                <w:szCs w:val="20"/>
                <w:lang w:val="en-US"/>
              </w:rPr>
              <w:t xml:space="preserve">- </w:t>
            </w:r>
            <w:r w:rsidRPr="00FA714D">
              <w:rPr>
                <w:rFonts w:ascii="Arial" w:hAnsi="Arial" w:cs="Arial"/>
                <w:sz w:val="20"/>
                <w:szCs w:val="20"/>
              </w:rPr>
              <w:t>Văn phòng Quốc hội;</w:t>
            </w:r>
          </w:p>
          <w:p w:rsidR="00327154" w:rsidRDefault="00327154" w:rsidP="00327154">
            <w:pPr>
              <w:pStyle w:val="Vnbnnidung20"/>
              <w:tabs>
                <w:tab w:val="left" w:pos="261"/>
              </w:tabs>
              <w:rPr>
                <w:rFonts w:ascii="Arial" w:hAnsi="Arial" w:cs="Arial"/>
                <w:sz w:val="20"/>
                <w:szCs w:val="20"/>
              </w:rPr>
            </w:pPr>
            <w:bookmarkStart w:id="84" w:name="bookmark83"/>
            <w:bookmarkEnd w:id="84"/>
            <w:r>
              <w:rPr>
                <w:rFonts w:ascii="Arial" w:hAnsi="Arial" w:cs="Arial"/>
                <w:sz w:val="20"/>
                <w:szCs w:val="20"/>
                <w:lang w:val="en-US"/>
              </w:rPr>
              <w:t xml:space="preserve">- </w:t>
            </w:r>
            <w:r w:rsidRPr="00FA714D">
              <w:rPr>
                <w:rFonts w:ascii="Arial" w:hAnsi="Arial" w:cs="Arial"/>
                <w:sz w:val="20"/>
                <w:szCs w:val="20"/>
              </w:rPr>
              <w:t>Tòa án nhân dân tối cao;</w:t>
            </w:r>
          </w:p>
          <w:p w:rsidR="00327154" w:rsidRDefault="00327154" w:rsidP="00327154">
            <w:pPr>
              <w:pStyle w:val="Vnbnnidung20"/>
              <w:tabs>
                <w:tab w:val="left" w:pos="261"/>
              </w:tabs>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Viện</w:t>
            </w:r>
            <w:proofErr w:type="spellEnd"/>
            <w:r>
              <w:rPr>
                <w:rFonts w:ascii="Arial" w:hAnsi="Arial" w:cs="Arial"/>
                <w:sz w:val="20"/>
                <w:szCs w:val="20"/>
                <w:lang w:val="en-US"/>
              </w:rPr>
              <w:t xml:space="preserve"> </w:t>
            </w:r>
            <w:proofErr w:type="spellStart"/>
            <w:r>
              <w:rPr>
                <w:rFonts w:ascii="Arial" w:hAnsi="Arial" w:cs="Arial"/>
                <w:sz w:val="20"/>
                <w:szCs w:val="20"/>
                <w:lang w:val="en-US"/>
              </w:rPr>
              <w:t>kiểm</w:t>
            </w:r>
            <w:proofErr w:type="spellEnd"/>
            <w:r>
              <w:rPr>
                <w:rFonts w:ascii="Arial" w:hAnsi="Arial" w:cs="Arial"/>
                <w:sz w:val="20"/>
                <w:szCs w:val="20"/>
                <w:lang w:val="en-US"/>
              </w:rPr>
              <w:t xml:space="preserve"> </w:t>
            </w:r>
            <w:proofErr w:type="spellStart"/>
            <w:r>
              <w:rPr>
                <w:rFonts w:ascii="Arial" w:hAnsi="Arial" w:cs="Arial"/>
                <w:sz w:val="20"/>
                <w:szCs w:val="20"/>
                <w:lang w:val="en-US"/>
              </w:rPr>
              <w:t>sát</w:t>
            </w:r>
            <w:proofErr w:type="spellEnd"/>
            <w:r>
              <w:rPr>
                <w:rFonts w:ascii="Arial" w:hAnsi="Arial" w:cs="Arial"/>
                <w:sz w:val="20"/>
                <w:szCs w:val="20"/>
                <w:lang w:val="en-US"/>
              </w:rPr>
              <w:t xml:space="preserve"> </w:t>
            </w:r>
            <w:proofErr w:type="spellStart"/>
            <w:r>
              <w:rPr>
                <w:rFonts w:ascii="Arial" w:hAnsi="Arial" w:cs="Arial"/>
                <w:sz w:val="20"/>
                <w:szCs w:val="20"/>
                <w:lang w:val="en-US"/>
              </w:rPr>
              <w:t>nhân</w:t>
            </w:r>
            <w:proofErr w:type="spellEnd"/>
            <w:r>
              <w:rPr>
                <w:rFonts w:ascii="Arial" w:hAnsi="Arial" w:cs="Arial"/>
                <w:sz w:val="20"/>
                <w:szCs w:val="20"/>
                <w:lang w:val="en-US"/>
              </w:rPr>
              <w:t xml:space="preserve"> </w:t>
            </w:r>
            <w:proofErr w:type="spellStart"/>
            <w:r>
              <w:rPr>
                <w:rFonts w:ascii="Arial" w:hAnsi="Arial" w:cs="Arial"/>
                <w:sz w:val="20"/>
                <w:szCs w:val="20"/>
                <w:lang w:val="en-US"/>
              </w:rPr>
              <w:t>dân</w:t>
            </w:r>
            <w:proofErr w:type="spellEnd"/>
            <w:r>
              <w:rPr>
                <w:rFonts w:ascii="Arial" w:hAnsi="Arial" w:cs="Arial"/>
                <w:sz w:val="20"/>
                <w:szCs w:val="20"/>
                <w:lang w:val="en-US"/>
              </w:rPr>
              <w:t xml:space="preserve"> </w:t>
            </w:r>
            <w:proofErr w:type="spellStart"/>
            <w:r>
              <w:rPr>
                <w:rFonts w:ascii="Arial" w:hAnsi="Arial" w:cs="Arial"/>
                <w:sz w:val="20"/>
                <w:szCs w:val="20"/>
                <w:lang w:val="en-US"/>
              </w:rPr>
              <w:t>tối</w:t>
            </w:r>
            <w:proofErr w:type="spellEnd"/>
            <w:r>
              <w:rPr>
                <w:rFonts w:ascii="Arial" w:hAnsi="Arial" w:cs="Arial"/>
                <w:sz w:val="20"/>
                <w:szCs w:val="20"/>
                <w:lang w:val="en-US"/>
              </w:rPr>
              <w:t xml:space="preserve"> </w:t>
            </w:r>
            <w:proofErr w:type="spellStart"/>
            <w:r>
              <w:rPr>
                <w:rFonts w:ascii="Arial" w:hAnsi="Arial" w:cs="Arial"/>
                <w:sz w:val="20"/>
                <w:szCs w:val="20"/>
                <w:lang w:val="en-US"/>
              </w:rPr>
              <w:t>cao</w:t>
            </w:r>
            <w:proofErr w:type="spellEnd"/>
            <w:r>
              <w:rPr>
                <w:rFonts w:ascii="Arial" w:hAnsi="Arial" w:cs="Arial"/>
                <w:sz w:val="20"/>
                <w:szCs w:val="20"/>
                <w:lang w:val="en-US"/>
              </w:rPr>
              <w:t>;</w:t>
            </w:r>
          </w:p>
          <w:p w:rsidR="00327154" w:rsidRDefault="00327154" w:rsidP="00327154">
            <w:pPr>
              <w:pStyle w:val="Vnbnnidung20"/>
              <w:tabs>
                <w:tab w:val="left" w:pos="261"/>
              </w:tabs>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Kiểm</w:t>
            </w:r>
            <w:proofErr w:type="spellEnd"/>
            <w:r>
              <w:rPr>
                <w:rFonts w:ascii="Arial" w:hAnsi="Arial" w:cs="Arial"/>
                <w:sz w:val="20"/>
                <w:szCs w:val="20"/>
                <w:lang w:val="en-US"/>
              </w:rPr>
              <w:t xml:space="preserve"> </w:t>
            </w:r>
            <w:proofErr w:type="spellStart"/>
            <w:r>
              <w:rPr>
                <w:rFonts w:ascii="Arial" w:hAnsi="Arial" w:cs="Arial"/>
                <w:sz w:val="20"/>
                <w:szCs w:val="20"/>
                <w:lang w:val="en-US"/>
              </w:rPr>
              <w:t>toán</w:t>
            </w:r>
            <w:proofErr w:type="spellEnd"/>
            <w:r>
              <w:rPr>
                <w:rFonts w:ascii="Arial" w:hAnsi="Arial" w:cs="Arial"/>
                <w:sz w:val="20"/>
                <w:szCs w:val="20"/>
                <w:lang w:val="en-US"/>
              </w:rPr>
              <w:t xml:space="preserve"> </w:t>
            </w:r>
            <w:proofErr w:type="spellStart"/>
            <w:r>
              <w:rPr>
                <w:rFonts w:ascii="Arial" w:hAnsi="Arial" w:cs="Arial"/>
                <w:sz w:val="20"/>
                <w:szCs w:val="20"/>
                <w:lang w:val="en-US"/>
              </w:rPr>
              <w:t>nhà</w:t>
            </w:r>
            <w:proofErr w:type="spellEnd"/>
            <w:r>
              <w:rPr>
                <w:rFonts w:ascii="Arial" w:hAnsi="Arial" w:cs="Arial"/>
                <w:sz w:val="20"/>
                <w:szCs w:val="20"/>
                <w:lang w:val="en-US"/>
              </w:rPr>
              <w:t xml:space="preserve"> </w:t>
            </w:r>
            <w:proofErr w:type="spellStart"/>
            <w:r>
              <w:rPr>
                <w:rFonts w:ascii="Arial" w:hAnsi="Arial" w:cs="Arial"/>
                <w:sz w:val="20"/>
                <w:szCs w:val="20"/>
                <w:lang w:val="en-US"/>
              </w:rPr>
              <w:t>nước</w:t>
            </w:r>
            <w:proofErr w:type="spellEnd"/>
            <w:r>
              <w:rPr>
                <w:rFonts w:ascii="Arial" w:hAnsi="Arial" w:cs="Arial"/>
                <w:sz w:val="20"/>
                <w:szCs w:val="20"/>
                <w:lang w:val="en-US"/>
              </w:rPr>
              <w:t>;</w:t>
            </w:r>
          </w:p>
          <w:p w:rsidR="00327154" w:rsidRPr="00B54FBC" w:rsidRDefault="00327154" w:rsidP="00327154">
            <w:pPr>
              <w:pStyle w:val="Vnbnnidung20"/>
              <w:tabs>
                <w:tab w:val="left" w:pos="261"/>
              </w:tabs>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Ủy</w:t>
            </w:r>
            <w:proofErr w:type="spellEnd"/>
            <w:r>
              <w:rPr>
                <w:rFonts w:ascii="Arial" w:hAnsi="Arial" w:cs="Arial"/>
                <w:sz w:val="20"/>
                <w:szCs w:val="20"/>
                <w:lang w:val="en-US"/>
              </w:rPr>
              <w:t xml:space="preserve"> ban </w:t>
            </w:r>
            <w:proofErr w:type="spellStart"/>
            <w:r>
              <w:rPr>
                <w:rFonts w:ascii="Arial" w:hAnsi="Arial" w:cs="Arial"/>
                <w:sz w:val="20"/>
                <w:szCs w:val="20"/>
                <w:lang w:val="en-US"/>
              </w:rPr>
              <w:t>Giám</w:t>
            </w:r>
            <w:proofErr w:type="spellEnd"/>
            <w:r>
              <w:rPr>
                <w:rFonts w:ascii="Arial" w:hAnsi="Arial" w:cs="Arial"/>
                <w:sz w:val="20"/>
                <w:szCs w:val="20"/>
                <w:lang w:val="en-US"/>
              </w:rPr>
              <w:t xml:space="preserve"> </w:t>
            </w:r>
            <w:proofErr w:type="spellStart"/>
            <w:r>
              <w:rPr>
                <w:rFonts w:ascii="Arial" w:hAnsi="Arial" w:cs="Arial"/>
                <w:sz w:val="20"/>
                <w:szCs w:val="20"/>
                <w:lang w:val="en-US"/>
              </w:rPr>
              <w:t>sát</w:t>
            </w:r>
            <w:proofErr w:type="spellEnd"/>
            <w:r>
              <w:rPr>
                <w:rFonts w:ascii="Arial" w:hAnsi="Arial" w:cs="Arial"/>
                <w:sz w:val="20"/>
                <w:szCs w:val="20"/>
                <w:lang w:val="en-US"/>
              </w:rPr>
              <w:t xml:space="preserve"> </w:t>
            </w:r>
            <w:proofErr w:type="spellStart"/>
            <w:r>
              <w:rPr>
                <w:rFonts w:ascii="Arial" w:hAnsi="Arial" w:cs="Arial"/>
                <w:sz w:val="20"/>
                <w:szCs w:val="20"/>
                <w:lang w:val="en-US"/>
              </w:rPr>
              <w:t>Tài</w:t>
            </w:r>
            <w:proofErr w:type="spellEnd"/>
            <w:r>
              <w:rPr>
                <w:rFonts w:ascii="Arial" w:hAnsi="Arial" w:cs="Arial"/>
                <w:sz w:val="20"/>
                <w:szCs w:val="20"/>
                <w:lang w:val="en-US"/>
              </w:rPr>
              <w:t xml:space="preserve"> </w:t>
            </w:r>
            <w:proofErr w:type="spellStart"/>
            <w:r>
              <w:rPr>
                <w:rFonts w:ascii="Arial" w:hAnsi="Arial" w:cs="Arial"/>
                <w:sz w:val="20"/>
                <w:szCs w:val="20"/>
                <w:lang w:val="en-US"/>
              </w:rPr>
              <w:t>chính</w:t>
            </w:r>
            <w:proofErr w:type="spellEnd"/>
            <w:r>
              <w:rPr>
                <w:rFonts w:ascii="Arial" w:hAnsi="Arial" w:cs="Arial"/>
                <w:sz w:val="20"/>
                <w:szCs w:val="20"/>
                <w:lang w:val="en-US"/>
              </w:rPr>
              <w:t xml:space="preserve"> </w:t>
            </w:r>
            <w:proofErr w:type="spellStart"/>
            <w:r>
              <w:rPr>
                <w:rFonts w:ascii="Arial" w:hAnsi="Arial" w:cs="Arial"/>
                <w:sz w:val="20"/>
                <w:szCs w:val="20"/>
                <w:lang w:val="en-US"/>
              </w:rPr>
              <w:t>Quốc</w:t>
            </w:r>
            <w:proofErr w:type="spellEnd"/>
            <w:r>
              <w:rPr>
                <w:rFonts w:ascii="Arial" w:hAnsi="Arial" w:cs="Arial"/>
                <w:sz w:val="20"/>
                <w:szCs w:val="20"/>
                <w:lang w:val="en-US"/>
              </w:rPr>
              <w:t xml:space="preserve"> </w:t>
            </w:r>
            <w:proofErr w:type="spellStart"/>
            <w:r>
              <w:rPr>
                <w:rFonts w:ascii="Arial" w:hAnsi="Arial" w:cs="Arial"/>
                <w:sz w:val="20"/>
                <w:szCs w:val="20"/>
                <w:lang w:val="en-US"/>
              </w:rPr>
              <w:t>gia</w:t>
            </w:r>
            <w:proofErr w:type="spellEnd"/>
            <w:r>
              <w:rPr>
                <w:rFonts w:ascii="Arial" w:hAnsi="Arial" w:cs="Arial"/>
                <w:sz w:val="20"/>
                <w:szCs w:val="20"/>
                <w:lang w:val="en-US"/>
              </w:rPr>
              <w:t>;</w:t>
            </w:r>
          </w:p>
          <w:p w:rsidR="00327154" w:rsidRPr="00FA714D" w:rsidRDefault="00327154" w:rsidP="00327154">
            <w:pPr>
              <w:pStyle w:val="Vnbnnidung20"/>
              <w:tabs>
                <w:tab w:val="left" w:pos="258"/>
              </w:tabs>
              <w:rPr>
                <w:rFonts w:ascii="Arial" w:hAnsi="Arial" w:cs="Arial"/>
                <w:sz w:val="20"/>
                <w:szCs w:val="20"/>
              </w:rPr>
            </w:pPr>
            <w:bookmarkStart w:id="85" w:name="bookmark84"/>
            <w:bookmarkEnd w:id="85"/>
            <w:r>
              <w:rPr>
                <w:rFonts w:ascii="Arial" w:hAnsi="Arial" w:cs="Arial"/>
                <w:sz w:val="20"/>
                <w:szCs w:val="20"/>
              </w:rPr>
              <w:t xml:space="preserve">- </w:t>
            </w:r>
            <w:r w:rsidRPr="00FA714D">
              <w:rPr>
                <w:rFonts w:ascii="Arial" w:hAnsi="Arial" w:cs="Arial"/>
                <w:sz w:val="20"/>
                <w:szCs w:val="20"/>
              </w:rPr>
              <w:t>Ngân hàng Chính sách xã hội;</w:t>
            </w:r>
          </w:p>
          <w:p w:rsidR="00327154" w:rsidRPr="00FA714D" w:rsidRDefault="00327154" w:rsidP="00327154">
            <w:pPr>
              <w:pStyle w:val="Vnbnnidung20"/>
              <w:tabs>
                <w:tab w:val="left" w:pos="258"/>
              </w:tabs>
              <w:rPr>
                <w:rFonts w:ascii="Arial" w:hAnsi="Arial" w:cs="Arial"/>
                <w:sz w:val="20"/>
                <w:szCs w:val="20"/>
              </w:rPr>
            </w:pPr>
            <w:bookmarkStart w:id="86" w:name="bookmark85"/>
            <w:bookmarkEnd w:id="86"/>
            <w:r>
              <w:rPr>
                <w:rFonts w:ascii="Arial" w:hAnsi="Arial" w:cs="Arial"/>
                <w:sz w:val="20"/>
                <w:szCs w:val="20"/>
                <w:lang w:val="en-US"/>
              </w:rPr>
              <w:t xml:space="preserve">- </w:t>
            </w:r>
            <w:r w:rsidRPr="00FA714D">
              <w:rPr>
                <w:rFonts w:ascii="Arial" w:hAnsi="Arial" w:cs="Arial"/>
                <w:sz w:val="20"/>
                <w:szCs w:val="20"/>
              </w:rPr>
              <w:t>Ngân hàng Phát triển Việt Nam;</w:t>
            </w:r>
          </w:p>
          <w:p w:rsidR="00327154" w:rsidRPr="00FA714D" w:rsidRDefault="00327154" w:rsidP="00327154">
            <w:pPr>
              <w:pStyle w:val="Vnbnnidung20"/>
              <w:tabs>
                <w:tab w:val="left" w:pos="258"/>
              </w:tabs>
              <w:rPr>
                <w:rFonts w:ascii="Arial" w:hAnsi="Arial" w:cs="Arial"/>
                <w:sz w:val="20"/>
                <w:szCs w:val="20"/>
              </w:rPr>
            </w:pPr>
            <w:bookmarkStart w:id="87" w:name="bookmark86"/>
            <w:bookmarkEnd w:id="87"/>
            <w:r>
              <w:rPr>
                <w:rFonts w:ascii="Arial" w:hAnsi="Arial" w:cs="Arial"/>
                <w:sz w:val="20"/>
                <w:szCs w:val="20"/>
                <w:lang w:val="en-US"/>
              </w:rPr>
              <w:t xml:space="preserve">- </w:t>
            </w:r>
            <w:proofErr w:type="spellStart"/>
            <w:r>
              <w:rPr>
                <w:rFonts w:ascii="Arial" w:hAnsi="Arial" w:cs="Arial"/>
                <w:sz w:val="20"/>
                <w:szCs w:val="20"/>
                <w:lang w:val="en-US"/>
              </w:rPr>
              <w:t>Ủy</w:t>
            </w:r>
            <w:proofErr w:type="spellEnd"/>
            <w:r w:rsidRPr="00FA714D">
              <w:rPr>
                <w:rFonts w:ascii="Arial" w:hAnsi="Arial" w:cs="Arial"/>
                <w:sz w:val="20"/>
                <w:szCs w:val="20"/>
              </w:rPr>
              <w:t xml:space="preserve"> ban trung ương Mặt trận Tổ quốc Việt Nam;</w:t>
            </w:r>
          </w:p>
          <w:p w:rsidR="00327154" w:rsidRPr="00FA714D" w:rsidRDefault="00327154" w:rsidP="00327154">
            <w:pPr>
              <w:pStyle w:val="Vnbnnidung20"/>
              <w:tabs>
                <w:tab w:val="left" w:pos="258"/>
              </w:tabs>
              <w:rPr>
                <w:rFonts w:ascii="Arial" w:hAnsi="Arial" w:cs="Arial"/>
                <w:sz w:val="20"/>
                <w:szCs w:val="20"/>
              </w:rPr>
            </w:pPr>
            <w:bookmarkStart w:id="88" w:name="bookmark87"/>
            <w:bookmarkEnd w:id="88"/>
            <w:r>
              <w:rPr>
                <w:rFonts w:ascii="Arial" w:hAnsi="Arial" w:cs="Arial"/>
                <w:sz w:val="20"/>
                <w:szCs w:val="20"/>
                <w:lang w:val="en-US"/>
              </w:rPr>
              <w:t xml:space="preserve">- </w:t>
            </w:r>
            <w:r w:rsidRPr="00FA714D">
              <w:rPr>
                <w:rFonts w:ascii="Arial" w:hAnsi="Arial" w:cs="Arial"/>
                <w:sz w:val="20"/>
                <w:szCs w:val="20"/>
              </w:rPr>
              <w:t>Cơ quan trung ương của các đoàn thể;</w:t>
            </w:r>
          </w:p>
          <w:p w:rsidR="00327154" w:rsidRPr="006B0468" w:rsidRDefault="00327154" w:rsidP="00327154">
            <w:pPr>
              <w:pStyle w:val="Vnbnnidung20"/>
              <w:tabs>
                <w:tab w:val="left" w:pos="261"/>
              </w:tabs>
              <w:rPr>
                <w:rFonts w:ascii="Arial" w:hAnsi="Arial" w:cs="Arial"/>
                <w:sz w:val="20"/>
                <w:szCs w:val="20"/>
                <w:lang w:val="en-US"/>
              </w:rPr>
            </w:pPr>
            <w:bookmarkStart w:id="89" w:name="bookmark88"/>
            <w:bookmarkEnd w:id="89"/>
            <w:r>
              <w:rPr>
                <w:rFonts w:ascii="Arial" w:hAnsi="Arial" w:cs="Arial"/>
                <w:sz w:val="20"/>
                <w:szCs w:val="20"/>
                <w:lang w:val="en-US"/>
              </w:rPr>
              <w:t xml:space="preserve">- </w:t>
            </w:r>
            <w:r w:rsidRPr="00FA714D">
              <w:rPr>
                <w:rFonts w:ascii="Arial" w:hAnsi="Arial" w:cs="Arial"/>
                <w:sz w:val="20"/>
                <w:szCs w:val="20"/>
              </w:rPr>
              <w:t xml:space="preserve">VPCP: BTCN, các </w:t>
            </w:r>
            <w:r>
              <w:rPr>
                <w:rFonts w:ascii="Arial" w:hAnsi="Arial" w:cs="Arial"/>
                <w:sz w:val="20"/>
                <w:szCs w:val="20"/>
              </w:rPr>
              <w:t>PCN, Trợ lý TTg, TGĐ cổng TTĐT,</w:t>
            </w:r>
            <w:r>
              <w:rPr>
                <w:rFonts w:ascii="Arial" w:hAnsi="Arial" w:cs="Arial"/>
                <w:sz w:val="20"/>
                <w:szCs w:val="20"/>
                <w:lang w:val="en-US"/>
              </w:rPr>
              <w:t xml:space="preserve"> </w:t>
            </w:r>
            <w:proofErr w:type="spellStart"/>
            <w:r>
              <w:rPr>
                <w:rFonts w:ascii="Arial" w:hAnsi="Arial" w:cs="Arial"/>
                <w:sz w:val="20"/>
                <w:szCs w:val="20"/>
                <w:lang w:val="en-US"/>
              </w:rPr>
              <w:t>các</w:t>
            </w:r>
            <w:proofErr w:type="spellEnd"/>
            <w:r>
              <w:rPr>
                <w:rFonts w:ascii="Arial" w:hAnsi="Arial" w:cs="Arial"/>
                <w:sz w:val="20"/>
                <w:szCs w:val="20"/>
                <w:lang w:val="en-US"/>
              </w:rPr>
              <w:t xml:space="preserve"> </w:t>
            </w:r>
            <w:proofErr w:type="spellStart"/>
            <w:r>
              <w:rPr>
                <w:rFonts w:ascii="Arial" w:hAnsi="Arial" w:cs="Arial"/>
                <w:sz w:val="20"/>
                <w:szCs w:val="20"/>
                <w:lang w:val="en-US"/>
              </w:rPr>
              <w:t>Vụ</w:t>
            </w:r>
            <w:proofErr w:type="spellEnd"/>
            <w:r>
              <w:rPr>
                <w:rFonts w:ascii="Arial" w:hAnsi="Arial" w:cs="Arial"/>
                <w:sz w:val="20"/>
                <w:szCs w:val="20"/>
                <w:lang w:val="en-US"/>
              </w:rPr>
              <w:t xml:space="preserve">, </w:t>
            </w:r>
            <w:proofErr w:type="spellStart"/>
            <w:r>
              <w:rPr>
                <w:rFonts w:ascii="Arial" w:hAnsi="Arial" w:cs="Arial"/>
                <w:sz w:val="20"/>
                <w:szCs w:val="20"/>
                <w:lang w:val="en-US"/>
              </w:rPr>
              <w:t>Cục</w:t>
            </w:r>
            <w:proofErr w:type="spellEnd"/>
            <w:r>
              <w:rPr>
                <w:rFonts w:ascii="Arial" w:hAnsi="Arial" w:cs="Arial"/>
                <w:sz w:val="20"/>
                <w:szCs w:val="20"/>
                <w:lang w:val="en-US"/>
              </w:rPr>
              <w:t xml:space="preserve">, </w:t>
            </w:r>
            <w:proofErr w:type="spellStart"/>
            <w:r>
              <w:rPr>
                <w:rFonts w:ascii="Arial" w:hAnsi="Arial" w:cs="Arial"/>
                <w:sz w:val="20"/>
                <w:szCs w:val="20"/>
                <w:lang w:val="en-US"/>
              </w:rPr>
              <w:t>đơn</w:t>
            </w:r>
            <w:proofErr w:type="spellEnd"/>
            <w:r>
              <w:rPr>
                <w:rFonts w:ascii="Arial" w:hAnsi="Arial" w:cs="Arial"/>
                <w:sz w:val="20"/>
                <w:szCs w:val="20"/>
                <w:lang w:val="en-US"/>
              </w:rPr>
              <w:t xml:space="preserve"> </w:t>
            </w:r>
            <w:proofErr w:type="spellStart"/>
            <w:r>
              <w:rPr>
                <w:rFonts w:ascii="Arial" w:hAnsi="Arial" w:cs="Arial"/>
                <w:sz w:val="20"/>
                <w:szCs w:val="20"/>
                <w:lang w:val="en-US"/>
              </w:rPr>
              <w:t>vị</w:t>
            </w:r>
            <w:proofErr w:type="spellEnd"/>
            <w:r>
              <w:rPr>
                <w:rFonts w:ascii="Arial" w:hAnsi="Arial" w:cs="Arial"/>
                <w:sz w:val="20"/>
                <w:szCs w:val="20"/>
                <w:lang w:val="en-US"/>
              </w:rPr>
              <w:t xml:space="preserve"> </w:t>
            </w:r>
            <w:proofErr w:type="spellStart"/>
            <w:r>
              <w:rPr>
                <w:rFonts w:ascii="Arial" w:hAnsi="Arial" w:cs="Arial"/>
                <w:sz w:val="20"/>
                <w:szCs w:val="20"/>
                <w:lang w:val="en-US"/>
              </w:rPr>
              <w:t>trực</w:t>
            </w:r>
            <w:proofErr w:type="spellEnd"/>
            <w:r>
              <w:rPr>
                <w:rFonts w:ascii="Arial" w:hAnsi="Arial" w:cs="Arial"/>
                <w:sz w:val="20"/>
                <w:szCs w:val="20"/>
                <w:lang w:val="en-US"/>
              </w:rPr>
              <w:t xml:space="preserve"> </w:t>
            </w:r>
            <w:proofErr w:type="spellStart"/>
            <w:r>
              <w:rPr>
                <w:rFonts w:ascii="Arial" w:hAnsi="Arial" w:cs="Arial"/>
                <w:sz w:val="20"/>
                <w:szCs w:val="20"/>
                <w:lang w:val="en-US"/>
              </w:rPr>
              <w:t>thuộc</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báo</w:t>
            </w:r>
            <w:proofErr w:type="spellEnd"/>
            <w:r>
              <w:rPr>
                <w:rFonts w:ascii="Arial" w:hAnsi="Arial" w:cs="Arial"/>
                <w:sz w:val="20"/>
                <w:szCs w:val="20"/>
                <w:lang w:val="en-US"/>
              </w:rPr>
              <w:t>;</w:t>
            </w:r>
          </w:p>
          <w:p w:rsidR="00327154" w:rsidRPr="00597990" w:rsidRDefault="00327154" w:rsidP="00327154">
            <w:pPr>
              <w:pStyle w:val="Vnbnnidung20"/>
              <w:tabs>
                <w:tab w:val="left" w:pos="258"/>
              </w:tabs>
              <w:rPr>
                <w:rFonts w:ascii="Arial" w:hAnsi="Arial" w:cs="Arial"/>
                <w:sz w:val="20"/>
                <w:szCs w:val="20"/>
              </w:rPr>
            </w:pPr>
            <w:r>
              <w:rPr>
                <w:rFonts w:ascii="Arial" w:hAnsi="Arial" w:cs="Arial"/>
                <w:sz w:val="20"/>
                <w:szCs w:val="20"/>
              </w:rPr>
              <w:t>- Lưu: VT, KTTH (2b</w:t>
            </w:r>
            <w:r>
              <w:rPr>
                <w:rFonts w:ascii="Arial" w:hAnsi="Arial" w:cs="Arial"/>
                <w:sz w:val="20"/>
                <w:szCs w:val="20"/>
                <w:lang w:val="en-US"/>
              </w:rPr>
              <w:t>)</w:t>
            </w:r>
          </w:p>
        </w:tc>
        <w:tc>
          <w:tcPr>
            <w:tcW w:w="2500" w:type="pct"/>
            <w:shd w:val="clear" w:color="auto" w:fill="auto"/>
          </w:tcPr>
          <w:p w:rsidR="00327154" w:rsidRDefault="00327154" w:rsidP="00327154">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w:t>
            </w:r>
            <w:proofErr w:type="spellStart"/>
            <w:r>
              <w:rPr>
                <w:rFonts w:ascii="Arial" w:hAnsi="Arial" w:cs="Arial"/>
                <w:b/>
                <w:sz w:val="20"/>
                <w:szCs w:val="20"/>
                <w:lang w:val="en-US"/>
              </w:rPr>
              <w:t>THỦ</w:t>
            </w:r>
            <w:proofErr w:type="spellEnd"/>
            <w:r>
              <w:rPr>
                <w:rFonts w:ascii="Arial" w:hAnsi="Arial" w:cs="Arial"/>
                <w:b/>
                <w:sz w:val="20"/>
                <w:szCs w:val="20"/>
                <w:lang w:val="en-US"/>
              </w:rPr>
              <w:t xml:space="preserve"> </w:t>
            </w:r>
            <w:proofErr w:type="spellStart"/>
            <w:r>
              <w:rPr>
                <w:rFonts w:ascii="Arial" w:hAnsi="Arial" w:cs="Arial"/>
                <w:b/>
                <w:sz w:val="20"/>
                <w:szCs w:val="20"/>
                <w:lang w:val="en-US"/>
              </w:rPr>
              <w:t>TƯỚNG</w:t>
            </w:r>
            <w:proofErr w:type="spellEnd"/>
          </w:p>
          <w:p w:rsidR="00327154" w:rsidRDefault="00327154" w:rsidP="00327154">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PHÓ</w:t>
            </w:r>
            <w:proofErr w:type="spellEnd"/>
            <w:r>
              <w:rPr>
                <w:rFonts w:ascii="Arial" w:hAnsi="Arial" w:cs="Arial"/>
                <w:b/>
                <w:sz w:val="20"/>
                <w:szCs w:val="20"/>
                <w:lang w:val="en-US"/>
              </w:rPr>
              <w:t xml:space="preserve"> </w:t>
            </w:r>
            <w:proofErr w:type="spellStart"/>
            <w:r>
              <w:rPr>
                <w:rFonts w:ascii="Arial" w:hAnsi="Arial" w:cs="Arial"/>
                <w:b/>
                <w:sz w:val="20"/>
                <w:szCs w:val="20"/>
                <w:lang w:val="en-US"/>
              </w:rPr>
              <w:t>THỦ</w:t>
            </w:r>
            <w:proofErr w:type="spellEnd"/>
            <w:r>
              <w:rPr>
                <w:rFonts w:ascii="Arial" w:hAnsi="Arial" w:cs="Arial"/>
                <w:b/>
                <w:sz w:val="20"/>
                <w:szCs w:val="20"/>
                <w:lang w:val="en-US"/>
              </w:rPr>
              <w:t xml:space="preserve"> </w:t>
            </w:r>
            <w:proofErr w:type="spellStart"/>
            <w:r>
              <w:rPr>
                <w:rFonts w:ascii="Arial" w:hAnsi="Arial" w:cs="Arial"/>
                <w:b/>
                <w:sz w:val="20"/>
                <w:szCs w:val="20"/>
                <w:lang w:val="en-US"/>
              </w:rPr>
              <w:t>TƯỚNG</w:t>
            </w:r>
            <w:proofErr w:type="spellEnd"/>
          </w:p>
          <w:p w:rsidR="00327154" w:rsidRDefault="00327154" w:rsidP="00327154">
            <w:pPr>
              <w:pStyle w:val="Vnbnnidung0"/>
              <w:spacing w:after="0" w:line="240" w:lineRule="auto"/>
              <w:ind w:firstLine="0"/>
              <w:jc w:val="center"/>
              <w:rPr>
                <w:rFonts w:ascii="Arial" w:hAnsi="Arial" w:cs="Arial"/>
                <w:b/>
                <w:sz w:val="20"/>
                <w:szCs w:val="20"/>
                <w:lang w:val="en-US"/>
              </w:rPr>
            </w:pPr>
          </w:p>
          <w:p w:rsidR="00327154" w:rsidRDefault="00327154" w:rsidP="00327154">
            <w:pPr>
              <w:pStyle w:val="Vnbnnidung0"/>
              <w:spacing w:after="0" w:line="240" w:lineRule="auto"/>
              <w:ind w:firstLine="0"/>
              <w:jc w:val="center"/>
              <w:rPr>
                <w:rFonts w:ascii="Arial" w:hAnsi="Arial" w:cs="Arial"/>
                <w:b/>
                <w:sz w:val="20"/>
                <w:szCs w:val="20"/>
                <w:lang w:val="en-US"/>
              </w:rPr>
            </w:pPr>
          </w:p>
          <w:p w:rsidR="00327154" w:rsidRDefault="00327154" w:rsidP="00327154">
            <w:pPr>
              <w:pStyle w:val="Vnbnnidung0"/>
              <w:spacing w:after="0" w:line="240" w:lineRule="auto"/>
              <w:ind w:firstLine="0"/>
              <w:jc w:val="center"/>
              <w:rPr>
                <w:rFonts w:ascii="Arial" w:hAnsi="Arial" w:cs="Arial"/>
                <w:b/>
                <w:sz w:val="20"/>
                <w:szCs w:val="20"/>
                <w:lang w:val="en-US"/>
              </w:rPr>
            </w:pPr>
          </w:p>
          <w:p w:rsidR="00327154" w:rsidRDefault="00327154" w:rsidP="00327154">
            <w:pPr>
              <w:pStyle w:val="Vnbnnidung0"/>
              <w:spacing w:after="0" w:line="240" w:lineRule="auto"/>
              <w:ind w:firstLine="0"/>
              <w:jc w:val="center"/>
              <w:rPr>
                <w:rFonts w:ascii="Arial" w:hAnsi="Arial" w:cs="Arial"/>
                <w:b/>
                <w:sz w:val="20"/>
                <w:szCs w:val="20"/>
                <w:lang w:val="en-US"/>
              </w:rPr>
            </w:pPr>
          </w:p>
          <w:p w:rsidR="00327154" w:rsidRDefault="00327154" w:rsidP="00327154">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Lê</w:t>
            </w:r>
            <w:proofErr w:type="spellEnd"/>
            <w:r>
              <w:rPr>
                <w:rFonts w:ascii="Arial" w:hAnsi="Arial" w:cs="Arial"/>
                <w:b/>
                <w:sz w:val="20"/>
                <w:szCs w:val="20"/>
                <w:lang w:val="en-US"/>
              </w:rPr>
              <w:t xml:space="preserve"> Minh </w:t>
            </w:r>
            <w:proofErr w:type="spellStart"/>
            <w:r>
              <w:rPr>
                <w:rFonts w:ascii="Arial" w:hAnsi="Arial" w:cs="Arial"/>
                <w:b/>
                <w:sz w:val="20"/>
                <w:szCs w:val="20"/>
                <w:lang w:val="en-US"/>
              </w:rPr>
              <w:t>Khái</w:t>
            </w:r>
            <w:proofErr w:type="spellEnd"/>
          </w:p>
          <w:p w:rsidR="00327154" w:rsidRPr="00327154" w:rsidRDefault="00327154" w:rsidP="00327154">
            <w:pPr>
              <w:pStyle w:val="Vnbnnidung0"/>
              <w:spacing w:after="0" w:line="240" w:lineRule="auto"/>
              <w:ind w:firstLine="0"/>
              <w:jc w:val="center"/>
              <w:rPr>
                <w:rFonts w:ascii="Arial" w:hAnsi="Arial" w:cs="Arial"/>
                <w:b/>
                <w:sz w:val="20"/>
                <w:szCs w:val="20"/>
                <w:lang w:val="en-US"/>
              </w:rPr>
            </w:pPr>
          </w:p>
          <w:p w:rsidR="00327154" w:rsidRPr="00597990" w:rsidRDefault="00327154" w:rsidP="00327154">
            <w:pPr>
              <w:pStyle w:val="Vnbnnidung0"/>
              <w:spacing w:after="0" w:line="240" w:lineRule="auto"/>
              <w:ind w:firstLine="0"/>
              <w:jc w:val="center"/>
              <w:rPr>
                <w:rFonts w:ascii="Arial" w:hAnsi="Arial" w:cs="Arial"/>
                <w:sz w:val="20"/>
                <w:szCs w:val="20"/>
              </w:rPr>
            </w:pPr>
          </w:p>
        </w:tc>
      </w:tr>
    </w:tbl>
    <w:p w:rsidR="00327154" w:rsidRDefault="00327154" w:rsidP="00A84000">
      <w:pPr>
        <w:pStyle w:val="Vnbnnidung0"/>
        <w:spacing w:after="0" w:line="240" w:lineRule="auto"/>
        <w:ind w:firstLine="720"/>
        <w:jc w:val="both"/>
        <w:rPr>
          <w:rFonts w:ascii="Arial" w:hAnsi="Arial" w:cs="Arial"/>
          <w:sz w:val="20"/>
          <w:szCs w:val="20"/>
        </w:rPr>
      </w:pPr>
    </w:p>
    <w:p w:rsidR="00560C54" w:rsidRPr="006B0468" w:rsidRDefault="00560C54" w:rsidP="00B54FBC">
      <w:pPr>
        <w:pStyle w:val="Vnbnnidung20"/>
        <w:tabs>
          <w:tab w:val="left" w:pos="261"/>
        </w:tabs>
        <w:spacing w:after="120"/>
        <w:jc w:val="both"/>
        <w:rPr>
          <w:rFonts w:ascii="Arial" w:hAnsi="Arial" w:cs="Arial"/>
          <w:sz w:val="20"/>
          <w:szCs w:val="20"/>
          <w:lang w:val="en-US"/>
        </w:rPr>
      </w:pPr>
    </w:p>
    <w:sectPr w:rsidR="00560C54" w:rsidRPr="006B0468" w:rsidSect="004038A1">
      <w:headerReference w:type="default" r:id="rId7"/>
      <w:headerReference w:type="first" r:id="rId8"/>
      <w:pgSz w:w="11900" w:h="16840" w:code="9"/>
      <w:pgMar w:top="1440" w:right="1440" w:bottom="1440"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2C8" w:rsidRDefault="00B922C8">
      <w:r>
        <w:separator/>
      </w:r>
    </w:p>
  </w:endnote>
  <w:endnote w:type="continuationSeparator" w:id="0">
    <w:p w:rsidR="00B922C8" w:rsidRDefault="00B9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2C8" w:rsidRDefault="00B922C8"/>
  </w:footnote>
  <w:footnote w:type="continuationSeparator" w:id="0">
    <w:p w:rsidR="00B922C8" w:rsidRDefault="00B922C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80" w:rsidRDefault="00D86E8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80" w:rsidRDefault="00D86E8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73"/>
    <w:multiLevelType w:val="multilevel"/>
    <w:tmpl w:val="D43A6F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0337D2"/>
    <w:multiLevelType w:val="multilevel"/>
    <w:tmpl w:val="87762D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A969F8"/>
    <w:multiLevelType w:val="multilevel"/>
    <w:tmpl w:val="1890A9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D204C6"/>
    <w:multiLevelType w:val="multilevel"/>
    <w:tmpl w:val="8BD4EF1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491D4D"/>
    <w:multiLevelType w:val="multilevel"/>
    <w:tmpl w:val="8C68D8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492278"/>
    <w:multiLevelType w:val="multilevel"/>
    <w:tmpl w:val="05888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D34874"/>
    <w:multiLevelType w:val="multilevel"/>
    <w:tmpl w:val="A10E0C8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FA0F5C"/>
    <w:multiLevelType w:val="multilevel"/>
    <w:tmpl w:val="C5A851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54"/>
    <w:rsid w:val="00025DA3"/>
    <w:rsid w:val="00031A88"/>
    <w:rsid w:val="00041699"/>
    <w:rsid w:val="00047C57"/>
    <w:rsid w:val="00097060"/>
    <w:rsid w:val="00101DAE"/>
    <w:rsid w:val="001F2C7B"/>
    <w:rsid w:val="001F5CBE"/>
    <w:rsid w:val="00256C94"/>
    <w:rsid w:val="002B35EC"/>
    <w:rsid w:val="002D0CAD"/>
    <w:rsid w:val="002D47AB"/>
    <w:rsid w:val="002D6F15"/>
    <w:rsid w:val="00327154"/>
    <w:rsid w:val="00380394"/>
    <w:rsid w:val="00390598"/>
    <w:rsid w:val="003D332E"/>
    <w:rsid w:val="00402E4D"/>
    <w:rsid w:val="004038A1"/>
    <w:rsid w:val="004459DF"/>
    <w:rsid w:val="004B1C19"/>
    <w:rsid w:val="00502811"/>
    <w:rsid w:val="005155EF"/>
    <w:rsid w:val="005161D1"/>
    <w:rsid w:val="00553592"/>
    <w:rsid w:val="00560C54"/>
    <w:rsid w:val="005624A4"/>
    <w:rsid w:val="005716BA"/>
    <w:rsid w:val="006B0468"/>
    <w:rsid w:val="006F543B"/>
    <w:rsid w:val="0071791F"/>
    <w:rsid w:val="00730F6B"/>
    <w:rsid w:val="00761CEC"/>
    <w:rsid w:val="007641D9"/>
    <w:rsid w:val="00775236"/>
    <w:rsid w:val="007868C0"/>
    <w:rsid w:val="00830CA2"/>
    <w:rsid w:val="00856A36"/>
    <w:rsid w:val="00947709"/>
    <w:rsid w:val="00982219"/>
    <w:rsid w:val="009B2237"/>
    <w:rsid w:val="00A14452"/>
    <w:rsid w:val="00A84000"/>
    <w:rsid w:val="00AD6955"/>
    <w:rsid w:val="00B1620A"/>
    <w:rsid w:val="00B30D73"/>
    <w:rsid w:val="00B549C9"/>
    <w:rsid w:val="00B54FBC"/>
    <w:rsid w:val="00B70DB6"/>
    <w:rsid w:val="00B922C8"/>
    <w:rsid w:val="00B94F44"/>
    <w:rsid w:val="00BE014C"/>
    <w:rsid w:val="00BE6A07"/>
    <w:rsid w:val="00BE7BE8"/>
    <w:rsid w:val="00CC06F6"/>
    <w:rsid w:val="00D86E80"/>
    <w:rsid w:val="00D87082"/>
    <w:rsid w:val="00D87F79"/>
    <w:rsid w:val="00D90A3A"/>
    <w:rsid w:val="00DC26F0"/>
    <w:rsid w:val="00DF26D5"/>
    <w:rsid w:val="00E70AF1"/>
    <w:rsid w:val="00E85AD9"/>
    <w:rsid w:val="00E87BE5"/>
    <w:rsid w:val="00EA2C68"/>
    <w:rsid w:val="00EB40AC"/>
    <w:rsid w:val="00EB538C"/>
    <w:rsid w:val="00EC39EB"/>
    <w:rsid w:val="00F93008"/>
    <w:rsid w:val="00FA714D"/>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23779-2408-46D5-9105-E03FDD56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30">
    <w:name w:val="Văn bản nội dung (3)"/>
    <w:basedOn w:val="Normal"/>
    <w:link w:val="Vnbnnidung3"/>
    <w:pPr>
      <w:spacing w:after="820"/>
      <w:ind w:hanging="150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100" w:line="262"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100"/>
      <w:ind w:firstLine="70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A714D"/>
    <w:pPr>
      <w:tabs>
        <w:tab w:val="center" w:pos="4680"/>
        <w:tab w:val="right" w:pos="9360"/>
      </w:tabs>
    </w:pPr>
  </w:style>
  <w:style w:type="character" w:customStyle="1" w:styleId="HeaderChar">
    <w:name w:val="Header Char"/>
    <w:basedOn w:val="DefaultParagraphFont"/>
    <w:link w:val="Header"/>
    <w:uiPriority w:val="99"/>
    <w:rsid w:val="00FA714D"/>
    <w:rPr>
      <w:color w:val="000000"/>
    </w:rPr>
  </w:style>
  <w:style w:type="paragraph" w:styleId="Footer">
    <w:name w:val="footer"/>
    <w:basedOn w:val="Normal"/>
    <w:link w:val="FooterChar"/>
    <w:unhideWhenUsed/>
    <w:rsid w:val="00FA714D"/>
    <w:pPr>
      <w:tabs>
        <w:tab w:val="center" w:pos="4680"/>
        <w:tab w:val="right" w:pos="9360"/>
      </w:tabs>
    </w:pPr>
  </w:style>
  <w:style w:type="character" w:customStyle="1" w:styleId="FooterChar">
    <w:name w:val="Footer Char"/>
    <w:basedOn w:val="DefaultParagraphFont"/>
    <w:link w:val="Footer"/>
    <w:uiPriority w:val="99"/>
    <w:rsid w:val="00FA714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4491</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NGUYỄN XUÂN HUY</cp:lastModifiedBy>
  <cp:revision>6</cp:revision>
  <dcterms:created xsi:type="dcterms:W3CDTF">2023-12-29T07:50:00Z</dcterms:created>
  <dcterms:modified xsi:type="dcterms:W3CDTF">2024-01-02T01:52:00Z</dcterms:modified>
</cp:coreProperties>
</file>