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62A3F" w:rsidRPr="00166775" w14:paraId="58F9D6F6" w14:textId="77777777" w:rsidTr="00245E9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EF7A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2850CB0" w14:textId="171314C6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color w:val="000000"/>
                <w:sz w:val="20"/>
                <w:szCs w:val="20"/>
              </w:rPr>
              <w:t>Số: 132/2026/NĐ-CP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8F08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1230109B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i/>
                <w:sz w:val="20"/>
                <w:szCs w:val="20"/>
              </w:rPr>
              <w:t>Hà Nội, ngày 06 tháng 4 năm 2026</w:t>
            </w:r>
          </w:p>
        </w:tc>
      </w:tr>
    </w:tbl>
    <w:p w14:paraId="394386DF" w14:textId="77777777" w:rsidR="00562A3F" w:rsidRPr="00166775" w:rsidRDefault="00562A3F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BF7C03D" w14:textId="5210BC0E" w:rsidR="0001079D" w:rsidRPr="00166775" w:rsidRDefault="0001079D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96B54E" w14:textId="77777777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NGH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</w:t>
      </w:r>
    </w:p>
    <w:p w14:paraId="02B666AD" w14:textId="77777777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m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t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Ngh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41/2018/NĐ-CP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ngày 12 tháng 3 năm 2018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Chính ph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m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toán, ki</w:t>
      </w:r>
      <w:r w:rsidRPr="00166775">
        <w:rPr>
          <w:rFonts w:ascii="Arial" w:hAnsi="Arial" w:cs="Arial"/>
          <w:b/>
          <w:sz w:val="20"/>
          <w:szCs w:val="20"/>
        </w:rPr>
        <w:t>ể</w:t>
      </w:r>
      <w:r w:rsidRPr="00166775">
        <w:rPr>
          <w:rFonts w:ascii="Arial" w:hAnsi="Arial" w:cs="Arial"/>
          <w:b/>
          <w:sz w:val="20"/>
          <w:szCs w:val="20"/>
        </w:rPr>
        <w:t>m toán đ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c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</w:t>
      </w:r>
    </w:p>
    <w:p w14:paraId="389EB78F" w14:textId="77777777" w:rsidR="00562A3F" w:rsidRPr="00166775" w:rsidRDefault="00562A3F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A8DBFB5" w14:textId="670B53E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T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ch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>c 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B0059D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15/2012/QH13;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 xml:space="preserve">u </w:t>
      </w:r>
      <w:r w:rsidRPr="00166775">
        <w:rPr>
          <w:rFonts w:ascii="Arial" w:hAnsi="Arial" w:cs="Arial"/>
          <w:i/>
          <w:sz w:val="20"/>
          <w:szCs w:val="20"/>
        </w:rPr>
        <w:t>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67/2020/QH14;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7782C0A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88/2015/QH13;</w:t>
      </w:r>
    </w:p>
    <w:p w14:paraId="6E26A28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Ch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>ng khoán,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i</w:t>
      </w:r>
      <w:r w:rsidRPr="00166775">
        <w:rPr>
          <w:rFonts w:ascii="Arial" w:hAnsi="Arial" w:cs="Arial"/>
          <w:i/>
          <w:sz w:val="20"/>
          <w:szCs w:val="20"/>
        </w:rPr>
        <w:t>ể</w:t>
      </w:r>
      <w:r w:rsidRPr="00166775">
        <w:rPr>
          <w:rFonts w:ascii="Arial" w:hAnsi="Arial" w:cs="Arial"/>
          <w:i/>
          <w:sz w:val="20"/>
          <w:szCs w:val="20"/>
        </w:rPr>
        <w:t>m toán đ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c l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Ngân sách nhà nư</w:t>
      </w:r>
      <w:r w:rsidRPr="00166775">
        <w:rPr>
          <w:rFonts w:ascii="Arial" w:hAnsi="Arial" w:cs="Arial"/>
          <w:i/>
          <w:sz w:val="20"/>
          <w:szCs w:val="20"/>
        </w:rPr>
        <w:t>ớ</w:t>
      </w:r>
      <w:r w:rsidRPr="00166775">
        <w:rPr>
          <w:rFonts w:ascii="Arial" w:hAnsi="Arial" w:cs="Arial"/>
          <w:i/>
          <w:sz w:val="20"/>
          <w:szCs w:val="20"/>
        </w:rPr>
        <w:t>c,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Qu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lý,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d</w:t>
      </w:r>
      <w:r w:rsidRPr="00166775">
        <w:rPr>
          <w:rFonts w:ascii="Arial" w:hAnsi="Arial" w:cs="Arial"/>
          <w:i/>
          <w:sz w:val="20"/>
          <w:szCs w:val="20"/>
        </w:rPr>
        <w:t>ụ</w:t>
      </w:r>
      <w:r w:rsidRPr="00166775">
        <w:rPr>
          <w:rFonts w:ascii="Arial" w:hAnsi="Arial" w:cs="Arial"/>
          <w:i/>
          <w:sz w:val="20"/>
          <w:szCs w:val="20"/>
        </w:rPr>
        <w:t>ng tài s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công,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Qu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lý thu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>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Thu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thu nh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 cá nhân,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D</w:t>
      </w:r>
      <w:r w:rsidRPr="00166775">
        <w:rPr>
          <w:rFonts w:ascii="Arial" w:hAnsi="Arial" w:cs="Arial"/>
          <w:i/>
          <w:sz w:val="20"/>
          <w:szCs w:val="20"/>
        </w:rPr>
        <w:t>ự</w:t>
      </w:r>
      <w:r w:rsidRPr="00166775">
        <w:rPr>
          <w:rFonts w:ascii="Arial" w:hAnsi="Arial" w:cs="Arial"/>
          <w:i/>
          <w:sz w:val="20"/>
          <w:szCs w:val="20"/>
        </w:rPr>
        <w:t xml:space="preserve"> tr</w:t>
      </w:r>
      <w:r w:rsidRPr="00166775">
        <w:rPr>
          <w:rFonts w:ascii="Arial" w:hAnsi="Arial" w:cs="Arial"/>
          <w:i/>
          <w:sz w:val="20"/>
          <w:szCs w:val="20"/>
        </w:rPr>
        <w:t>ữ</w:t>
      </w:r>
      <w:r w:rsidRPr="00166775">
        <w:rPr>
          <w:rFonts w:ascii="Arial" w:hAnsi="Arial" w:cs="Arial"/>
          <w:i/>
          <w:sz w:val="20"/>
          <w:szCs w:val="20"/>
        </w:rPr>
        <w:t xml:space="preserve"> qu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c gia,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5B372F9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Phòng, ch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ng r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ti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n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14/2022/QH15;</w:t>
      </w:r>
    </w:p>
    <w:p w14:paraId="6F28FC5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Phòng, ch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ng kh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ng b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28/2013/QH13;</w:t>
      </w:r>
    </w:p>
    <w:p w14:paraId="1265323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Theo đ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 xml:space="preserve">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B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 xml:space="preserve"> trư</w:t>
      </w:r>
      <w:r w:rsidRPr="00166775">
        <w:rPr>
          <w:rFonts w:ascii="Arial" w:hAnsi="Arial" w:cs="Arial"/>
          <w:i/>
          <w:sz w:val="20"/>
          <w:szCs w:val="20"/>
        </w:rPr>
        <w:t>ở</w:t>
      </w:r>
      <w:r w:rsidRPr="00166775">
        <w:rPr>
          <w:rFonts w:ascii="Arial" w:hAnsi="Arial" w:cs="Arial"/>
          <w:i/>
          <w:sz w:val="20"/>
          <w:szCs w:val="20"/>
        </w:rPr>
        <w:t>ng B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 xml:space="preserve"> Tài chính;</w:t>
      </w:r>
    </w:p>
    <w:p w14:paraId="4F44C3E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ban hành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41/2018/NĐ-CP ngày 12 tháng 3 năm 2018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quy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t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trong lĩnh</w:t>
      </w:r>
      <w:r w:rsidRPr="00166775">
        <w:rPr>
          <w:rFonts w:ascii="Arial" w:hAnsi="Arial" w:cs="Arial"/>
          <w:i/>
          <w:sz w:val="20"/>
          <w:szCs w:val="20"/>
        </w:rPr>
        <w:t xml:space="preserve"> v</w:t>
      </w:r>
      <w:r w:rsidRPr="00166775">
        <w:rPr>
          <w:rFonts w:ascii="Arial" w:hAnsi="Arial" w:cs="Arial"/>
          <w:i/>
          <w:sz w:val="20"/>
          <w:szCs w:val="20"/>
        </w:rPr>
        <w:t>ự</w:t>
      </w:r>
      <w:r w:rsidRPr="00166775">
        <w:rPr>
          <w:rFonts w:ascii="Arial" w:hAnsi="Arial" w:cs="Arial"/>
          <w:i/>
          <w:sz w:val="20"/>
          <w:szCs w:val="20"/>
        </w:rPr>
        <w:t>c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toán, ki</w:t>
      </w:r>
      <w:r w:rsidRPr="00166775">
        <w:rPr>
          <w:rFonts w:ascii="Arial" w:hAnsi="Arial" w:cs="Arial"/>
          <w:i/>
          <w:sz w:val="20"/>
          <w:szCs w:val="20"/>
        </w:rPr>
        <w:t>ể</w:t>
      </w:r>
      <w:r w:rsidRPr="00166775">
        <w:rPr>
          <w:rFonts w:ascii="Arial" w:hAnsi="Arial" w:cs="Arial"/>
          <w:i/>
          <w:sz w:val="20"/>
          <w:szCs w:val="20"/>
        </w:rPr>
        <w:t>m toán đ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c l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p.</w:t>
      </w:r>
    </w:p>
    <w:p w14:paraId="1C1C0674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1.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3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</w:t>
      </w:r>
    </w:p>
    <w:p w14:paraId="7A3056F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“3.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tính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như sau:</w:t>
      </w:r>
    </w:p>
    <w:p w14:paraId="2B8474B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thì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tính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m;</w:t>
      </w:r>
    </w:p>
    <w:p w14:paraId="137E01B9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đang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thì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tính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phát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m;</w:t>
      </w:r>
    </w:p>
    <w:p w14:paraId="6414D1F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này,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tính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là:</w:t>
      </w:r>
    </w:p>
    <w:p w14:paraId="0DC921E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xong quy trình nghi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p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, yêu c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u công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toán;</w:t>
      </w:r>
    </w:p>
    <w:p w14:paraId="7826042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đúng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</w:t>
      </w:r>
      <w:r w:rsidRPr="00166775">
        <w:rPr>
          <w:rFonts w:ascii="Arial" w:hAnsi="Arial" w:cs="Arial"/>
          <w:sz w:val="20"/>
          <w:szCs w:val="20"/>
        </w:rPr>
        <w:t xml:space="preserve">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toán.</w:t>
      </w:r>
    </w:p>
    <w:p w14:paraId="6579AA8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xem xét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hay đang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n, ngoài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căn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 trên đây, cơ quan,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căn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vào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và tình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 xml:space="preserve">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>ng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xác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hay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đang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n.”.</w:t>
      </w:r>
    </w:p>
    <w:p w14:paraId="078FC19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2.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các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2,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3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</w:t>
      </w:r>
    </w:p>
    <w:p w14:paraId="3103128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“2.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Chương II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là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tr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t>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7;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8;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9;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10;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11;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15;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16;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17;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19;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1,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3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21;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22;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26;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35a là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cá nhân.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có cùng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thì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g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cá nhân.</w:t>
      </w:r>
    </w:p>
    <w:p w14:paraId="5DE9A55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các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danh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Chương IV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là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cá nhân. Trong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</w:t>
      </w:r>
      <w:r w:rsidRPr="00166775">
        <w:rPr>
          <w:rFonts w:ascii="Arial" w:hAnsi="Arial" w:cs="Arial"/>
          <w:sz w:val="20"/>
          <w:szCs w:val="20"/>
        </w:rPr>
        <w:t>ổ</w:t>
      </w:r>
      <w:bookmarkStart w:id="1" w:name="_GoBack"/>
      <w:bookmarkEnd w:id="1"/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g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cá nhân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danh đó.”.</w:t>
      </w:r>
    </w:p>
    <w:p w14:paraId="677A046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lastRenderedPageBreak/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3.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M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>c 8 và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35a Chương II</w:t>
      </w:r>
    </w:p>
    <w:p w14:paraId="4F08BE69" w14:textId="77777777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“M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>c 8</w:t>
      </w:r>
    </w:p>
    <w:p w14:paraId="77DB7872" w14:textId="00022F22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HÀNH VI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V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 xml:space="preserve">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R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TI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N;</w:t>
      </w:r>
      <w:r w:rsid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KH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NG B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</w:t>
      </w:r>
      <w:r w:rsidRPr="00166775">
        <w:rPr>
          <w:rFonts w:ascii="Arial" w:hAnsi="Arial" w:cs="Arial"/>
          <w:b/>
          <w:sz w:val="20"/>
          <w:szCs w:val="20"/>
        </w:rPr>
        <w:t xml:space="preserve">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PH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BI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>N VŨ KHÍ 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Y DI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HÀNG LO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T TRONG KINH DOANH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D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CH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39A8B5C9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35a.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hành vi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v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 xml:space="preserve">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r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ti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kh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ng b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bi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>n vũ khí 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y di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hàng lo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trong kinh doanh d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ch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b/>
          <w:sz w:val="20"/>
          <w:szCs w:val="20"/>
        </w:rPr>
        <w:t>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1852A9F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đánh giá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ro;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</w:t>
      </w:r>
    </w:p>
    <w:p w14:paraId="364F9A0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26D435C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</w:t>
      </w:r>
      <w:r w:rsidRPr="00166775">
        <w:rPr>
          <w:rFonts w:ascii="Arial" w:hAnsi="Arial" w:cs="Arial"/>
          <w:sz w:val="20"/>
          <w:szCs w:val="20"/>
        </w:rPr>
        <w:t xml:space="preserve"> không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 không xác minh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 xác minh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62051E9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danh sách đen;</w:t>
      </w:r>
    </w:p>
    <w:p w14:paraId="10F3351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đánh giá,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đánh giá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nh </w:t>
      </w:r>
      <w:r w:rsidRPr="00166775">
        <w:rPr>
          <w:rFonts w:ascii="Arial" w:hAnsi="Arial" w:cs="Arial"/>
          <w:sz w:val="20"/>
          <w:szCs w:val="20"/>
        </w:rPr>
        <w:t>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5D482D8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báo cáo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đánh giá,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3506CDFC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i </w:t>
      </w:r>
      <w:r w:rsidRPr="00166775">
        <w:rPr>
          <w:rFonts w:ascii="Arial" w:hAnsi="Arial" w:cs="Arial"/>
          <w:sz w:val="20"/>
          <w:szCs w:val="20"/>
        </w:rPr>
        <w:t>hành vi không xây d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ban hành quy trình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ro, không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xây d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ng quy trình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ro,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</w:t>
      </w:r>
      <w:r w:rsidRPr="00166775">
        <w:rPr>
          <w:rFonts w:ascii="Arial" w:hAnsi="Arial" w:cs="Arial"/>
          <w:sz w:val="20"/>
          <w:szCs w:val="20"/>
        </w:rPr>
        <w:t>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61191CC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 xml:space="preserve">t; </w:t>
      </w:r>
      <w:r w:rsidRPr="00166775">
        <w:rPr>
          <w:rFonts w:ascii="Arial" w:hAnsi="Arial" w:cs="Arial"/>
          <w:sz w:val="20"/>
          <w:szCs w:val="20"/>
        </w:rPr>
        <w:t>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>,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và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o đ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m bí m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</w:t>
      </w:r>
    </w:p>
    <w:p w14:paraId="1B70FAA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584C604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trong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 xml:space="preserve">c </w:t>
      </w:r>
      <w:r w:rsidRPr="00166775">
        <w:rPr>
          <w:rFonts w:ascii="Arial" w:hAnsi="Arial" w:cs="Arial"/>
          <w:sz w:val="20"/>
          <w:szCs w:val="20"/>
        </w:rPr>
        <w:t>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soát,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toán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0517A4C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phân công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đăng ký phân công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m, cán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trách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ng tài </w:t>
      </w:r>
      <w:r w:rsidRPr="00166775">
        <w:rPr>
          <w:rFonts w:ascii="Arial" w:hAnsi="Arial" w:cs="Arial"/>
          <w:sz w:val="20"/>
          <w:szCs w:val="20"/>
        </w:rPr>
        <w:t>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7718ECE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đào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o, b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i dư</w:t>
      </w:r>
      <w:r w:rsidRPr="00166775">
        <w:rPr>
          <w:rFonts w:ascii="Arial" w:hAnsi="Arial" w:cs="Arial"/>
          <w:sz w:val="20"/>
          <w:szCs w:val="20"/>
        </w:rPr>
        <w:t>ỡ</w:t>
      </w:r>
      <w:r w:rsidRPr="00166775">
        <w:rPr>
          <w:rFonts w:ascii="Arial" w:hAnsi="Arial" w:cs="Arial"/>
          <w:sz w:val="20"/>
          <w:szCs w:val="20"/>
        </w:rPr>
        <w:t>ng, tuy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n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124499B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ban hành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ban hành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6CC9751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079EDAD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k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p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743F178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Không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không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y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cáo;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không đúng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i 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376FF5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tuân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o m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 liê</w:t>
      </w:r>
      <w:r w:rsidRPr="00166775">
        <w:rPr>
          <w:rFonts w:ascii="Arial" w:hAnsi="Arial" w:cs="Arial"/>
          <w:sz w:val="20"/>
          <w:szCs w:val="20"/>
        </w:rPr>
        <w:t>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các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ph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i báo cáo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772FAB4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khách hàng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c ngoài là cá nhân có 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chính tr</w:t>
      </w:r>
      <w:r w:rsidRPr="00166775">
        <w:rPr>
          <w:rFonts w:ascii="Arial" w:hAnsi="Arial" w:cs="Arial"/>
          <w:sz w:val="20"/>
          <w:szCs w:val="20"/>
        </w:rPr>
        <w:t>ị</w:t>
      </w:r>
    </w:p>
    <w:p w14:paraId="7ACA1BA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các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khách hàng là cá nhân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c ngoài có 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chính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3694C33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4.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giám s</w:t>
      </w:r>
      <w:r w:rsidRPr="00166775">
        <w:rPr>
          <w:rFonts w:ascii="Arial" w:hAnsi="Arial" w:cs="Arial"/>
          <w:sz w:val="20"/>
          <w:szCs w:val="20"/>
        </w:rPr>
        <w:t>át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</w:t>
      </w:r>
    </w:p>
    <w:p w14:paraId="0413040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giám sát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688F6174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5.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n,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</w:t>
      </w:r>
      <w:r w:rsidRPr="00166775">
        <w:rPr>
          <w:rFonts w:ascii="Arial" w:hAnsi="Arial" w:cs="Arial"/>
          <w:sz w:val="20"/>
          <w:szCs w:val="20"/>
        </w:rPr>
        <w:t>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, báo cáo hành vi nghi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</w:t>
      </w:r>
    </w:p>
    <w:p w14:paraId="5F9A8D3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8.000.000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12.000.000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472823F0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yêu c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u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tính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 xml:space="preserve">y </w:t>
      </w:r>
      <w:r w:rsidRPr="00166775">
        <w:rPr>
          <w:rFonts w:ascii="Arial" w:hAnsi="Arial" w:cs="Arial"/>
          <w:sz w:val="20"/>
          <w:szCs w:val="20"/>
        </w:rPr>
        <w:t>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, chính xác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thông tin báo cáo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th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ba tr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lên trong năm tài chính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69F7876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G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i báo c</w:t>
      </w:r>
      <w:r w:rsidRPr="00166775">
        <w:rPr>
          <w:rFonts w:ascii="Arial" w:hAnsi="Arial" w:cs="Arial"/>
          <w:sz w:val="20"/>
          <w:szCs w:val="20"/>
        </w:rPr>
        <w:t>áo không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y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thông tin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58134740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</w:t>
      </w:r>
      <w:r w:rsidRPr="00166775">
        <w:rPr>
          <w:rFonts w:ascii="Arial" w:hAnsi="Arial" w:cs="Arial"/>
          <w:sz w:val="20"/>
          <w:szCs w:val="20"/>
        </w:rPr>
        <w:t xml:space="preserve">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76A1363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i báo cáo;</w:t>
      </w:r>
    </w:p>
    <w:p w14:paraId="21AADA1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27E727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khi có nghi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khách hàng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a khách </w:t>
      </w:r>
      <w:r w:rsidRPr="00166775">
        <w:rPr>
          <w:rFonts w:ascii="Arial" w:hAnsi="Arial" w:cs="Arial"/>
          <w:sz w:val="20"/>
          <w:szCs w:val="20"/>
        </w:rPr>
        <w:t>hàng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khách hàng n</w:t>
      </w:r>
      <w:r w:rsidRPr="00166775">
        <w:rPr>
          <w:rFonts w:ascii="Arial" w:hAnsi="Arial" w:cs="Arial"/>
          <w:sz w:val="20"/>
          <w:szCs w:val="20"/>
        </w:rPr>
        <w:t>ằ</w:t>
      </w:r>
      <w:r w:rsidRPr="00166775">
        <w:rPr>
          <w:rFonts w:ascii="Arial" w:hAnsi="Arial" w:cs="Arial"/>
          <w:sz w:val="20"/>
          <w:szCs w:val="20"/>
        </w:rPr>
        <w:t>m trong danh sách đen, danh sách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</w:t>
      </w:r>
      <w:r w:rsidRPr="00166775">
        <w:rPr>
          <w:rFonts w:ascii="Arial" w:hAnsi="Arial" w:cs="Arial"/>
          <w:sz w:val="20"/>
          <w:szCs w:val="20"/>
        </w:rPr>
        <w:t>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37F9F03C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6.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các hành vi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trong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</w:p>
    <w:p w14:paraId="0A81FFB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tr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thông tin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công tác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;</w:t>
      </w:r>
    </w:p>
    <w:p w14:paraId="383B1799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trái phép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t, séc, công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khác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công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và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thanh toán cho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4E050A7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326E844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tham gia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o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n,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giúp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hành vi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54D5F2A8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p, duy trì quan h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kinh doanh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ngân hàng v</w:t>
      </w:r>
      <w:r w:rsidRPr="00166775">
        <w:rPr>
          <w:rFonts w:ascii="Arial" w:hAnsi="Arial" w:cs="Arial"/>
          <w:sz w:val="20"/>
          <w:szCs w:val="20"/>
        </w:rPr>
        <w:t>ỏ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ọ</w:t>
      </w:r>
      <w:r w:rsidRPr="00166775">
        <w:rPr>
          <w:rFonts w:ascii="Arial" w:hAnsi="Arial" w:cs="Arial"/>
          <w:sz w:val="20"/>
          <w:szCs w:val="20"/>
        </w:rPr>
        <w:t>c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2ECB06D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t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giác hành vi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3DD1A6C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ng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>ng lưu thông, phong t</w:t>
      </w:r>
      <w:r w:rsidRPr="00166775">
        <w:rPr>
          <w:rFonts w:ascii="Arial" w:hAnsi="Arial" w:cs="Arial"/>
          <w:sz w:val="20"/>
          <w:szCs w:val="20"/>
        </w:rPr>
        <w:t>ỏ</w:t>
      </w:r>
      <w:r w:rsidRPr="00166775">
        <w:rPr>
          <w:rFonts w:ascii="Arial" w:hAnsi="Arial" w:cs="Arial"/>
          <w:sz w:val="20"/>
          <w:szCs w:val="20"/>
        </w:rPr>
        <w:t>a, niêm phong,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gi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>,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s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</w:t>
      </w:r>
      <w:r w:rsidRPr="00166775">
        <w:rPr>
          <w:rFonts w:ascii="Arial" w:hAnsi="Arial" w:cs="Arial"/>
          <w:sz w:val="20"/>
          <w:szCs w:val="20"/>
        </w:rPr>
        <w:t xml:space="preserve">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xâm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ích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c,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ích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pháp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cơ quan,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2EF880E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p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gián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p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s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n, ngu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 tài chính, ngu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kinh t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,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tài chín</w:t>
      </w:r>
      <w:r w:rsidRPr="00166775">
        <w:rPr>
          <w:rFonts w:ascii="Arial" w:hAnsi="Arial" w:cs="Arial"/>
          <w:sz w:val="20"/>
          <w:szCs w:val="20"/>
        </w:rPr>
        <w:t>h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khác cho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.</w:t>
      </w:r>
    </w:p>
    <w:p w14:paraId="0E76F35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7.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có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n;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;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trong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chưa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thì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340/2025/NĐ-CP ngày 25 tháng 12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và ngân hàng.”.</w:t>
      </w:r>
    </w:p>
    <w:p w14:paraId="04632CE0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4.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Chương IV</w:t>
      </w:r>
    </w:p>
    <w:p w14:paraId="6BBD4B0A" w14:textId="77777777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“Chương IV</w:t>
      </w:r>
    </w:p>
    <w:p w14:paraId="57F4AB47" w14:textId="77777777" w:rsidR="0001079D" w:rsidRPr="00166775" w:rsidRDefault="001654C2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 BIÊN B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N,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M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605BAB5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69.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 biên b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37C82B2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biên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n </w:t>
      </w:r>
      <w:r w:rsidRPr="00166775">
        <w:rPr>
          <w:rFonts w:ascii="Arial" w:hAnsi="Arial" w:cs="Arial"/>
          <w:sz w:val="20"/>
          <w:szCs w:val="20"/>
        </w:rPr>
        <w:t>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g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m:</w:t>
      </w:r>
    </w:p>
    <w:p w14:paraId="152D34A4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249428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Công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viên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và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lư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ng Quân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nhân dân, Công an nhân dân đang thi hành công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, </w:t>
      </w:r>
      <w:r w:rsidRPr="00166775">
        <w:rPr>
          <w:rFonts w:ascii="Arial" w:hAnsi="Arial" w:cs="Arial"/>
          <w:sz w:val="20"/>
          <w:szCs w:val="20"/>
        </w:rPr>
        <w:t>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cơ quan,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4F89414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70.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th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trư</w:t>
      </w:r>
      <w:r w:rsidRPr="00166775">
        <w:rPr>
          <w:rFonts w:ascii="Arial" w:hAnsi="Arial" w:cs="Arial"/>
          <w:b/>
          <w:sz w:val="20"/>
          <w:szCs w:val="20"/>
        </w:rPr>
        <w:t>ở</w:t>
      </w:r>
      <w:r w:rsidRPr="00166775">
        <w:rPr>
          <w:rFonts w:ascii="Arial" w:hAnsi="Arial" w:cs="Arial"/>
          <w:b/>
          <w:sz w:val="20"/>
          <w:szCs w:val="20"/>
        </w:rPr>
        <w:t>ng cơ quan th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n nhi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m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qu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lý nhà nư</w:t>
      </w:r>
      <w:r w:rsidRPr="00166775">
        <w:rPr>
          <w:rFonts w:ascii="Arial" w:hAnsi="Arial" w:cs="Arial"/>
          <w:b/>
          <w:sz w:val="20"/>
          <w:szCs w:val="20"/>
        </w:rPr>
        <w:t>ớ</w:t>
      </w:r>
      <w:r w:rsidRPr="00166775">
        <w:rPr>
          <w:rFonts w:ascii="Arial" w:hAnsi="Arial" w:cs="Arial"/>
          <w:b/>
          <w:sz w:val="20"/>
          <w:szCs w:val="20"/>
        </w:rPr>
        <w:t>c theo chuyên ngành,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và m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t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ch</w:t>
      </w:r>
      <w:r w:rsidRPr="00166775">
        <w:rPr>
          <w:rFonts w:ascii="Arial" w:hAnsi="Arial" w:cs="Arial"/>
          <w:b/>
          <w:sz w:val="20"/>
          <w:szCs w:val="20"/>
        </w:rPr>
        <w:t>ứ</w:t>
      </w:r>
      <w:r w:rsidRPr="00166775">
        <w:rPr>
          <w:rFonts w:ascii="Arial" w:hAnsi="Arial" w:cs="Arial"/>
          <w:b/>
          <w:sz w:val="20"/>
          <w:szCs w:val="20"/>
        </w:rPr>
        <w:t>c danh khác</w:t>
      </w:r>
    </w:p>
    <w:p w14:paraId="5F9A28A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 xml:space="preserve">1. Giám </w:t>
      </w:r>
      <w:r w:rsidRPr="00166775">
        <w:rPr>
          <w:rFonts w:ascii="Arial" w:hAnsi="Arial" w:cs="Arial"/>
          <w:sz w:val="20"/>
          <w:szCs w:val="20"/>
        </w:rPr>
        <w:t>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Tài chính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38162958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453CE1EC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4BB3E31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F1CBB3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 xml:space="preserve">y </w:t>
      </w:r>
      <w:r w:rsidRPr="00166775">
        <w:rPr>
          <w:rFonts w:ascii="Arial" w:hAnsi="Arial" w:cs="Arial"/>
          <w:sz w:val="20"/>
          <w:szCs w:val="20"/>
        </w:rPr>
        <w:t>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1C46BAC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6077DB3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lý, giám sát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toán -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Tài chính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</w:t>
      </w:r>
      <w:r w:rsidRPr="00166775">
        <w:rPr>
          <w:rFonts w:ascii="Arial" w:hAnsi="Arial" w:cs="Arial"/>
          <w:sz w:val="20"/>
          <w:szCs w:val="20"/>
        </w:rPr>
        <w:t xml:space="preserve">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71221AB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44686FE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759976A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1B6B174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</w:t>
      </w:r>
      <w:r w:rsidRPr="00166775">
        <w:rPr>
          <w:rFonts w:ascii="Arial" w:hAnsi="Arial" w:cs="Arial"/>
          <w:sz w:val="20"/>
          <w:szCs w:val="20"/>
        </w:rPr>
        <w:t>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7667DFD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A043DE4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tra do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nhà</w:t>
      </w:r>
      <w:r w:rsidRPr="00166775">
        <w:rPr>
          <w:rFonts w:ascii="Arial" w:hAnsi="Arial" w:cs="Arial"/>
          <w:sz w:val="20"/>
          <w:szCs w:val="20"/>
        </w:rPr>
        <w:t xml:space="preserve">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này.</w:t>
      </w:r>
    </w:p>
    <w:p w14:paraId="5FC6F93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tra do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2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này.</w:t>
      </w:r>
    </w:p>
    <w:p w14:paraId="6F53A55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70a.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b/>
          <w:sz w:val="20"/>
          <w:szCs w:val="20"/>
        </w:rPr>
        <w:t>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Thanh tra Ngân hàng Nhà nư</w:t>
      </w:r>
      <w:r w:rsidRPr="00166775">
        <w:rPr>
          <w:rFonts w:ascii="Arial" w:hAnsi="Arial" w:cs="Arial"/>
          <w:b/>
          <w:sz w:val="20"/>
          <w:szCs w:val="20"/>
        </w:rPr>
        <w:t>ớ</w:t>
      </w:r>
      <w:r w:rsidRPr="00166775">
        <w:rPr>
          <w:rFonts w:ascii="Arial" w:hAnsi="Arial" w:cs="Arial"/>
          <w:b/>
          <w:sz w:val="20"/>
          <w:szCs w:val="20"/>
        </w:rPr>
        <w:t>c Vi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Nam</w:t>
      </w:r>
    </w:p>
    <w:p w14:paraId="76FA1BA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Thanh tra viên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74046A1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8665DF3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3A2F27A4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t, phư</w:t>
      </w:r>
      <w:r w:rsidRPr="00166775">
        <w:rPr>
          <w:rFonts w:ascii="Arial" w:hAnsi="Arial" w:cs="Arial"/>
          <w:sz w:val="20"/>
          <w:szCs w:val="20"/>
        </w:rPr>
        <w:t>ơng ti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không vư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t quá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b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này.</w:t>
      </w:r>
    </w:p>
    <w:p w14:paraId="3E109BC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thanh tra do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khu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1E356CB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</w:t>
      </w:r>
      <w:r w:rsidRPr="00166775">
        <w:rPr>
          <w:rFonts w:ascii="Arial" w:hAnsi="Arial" w:cs="Arial"/>
          <w:sz w:val="20"/>
          <w:szCs w:val="20"/>
        </w:rPr>
        <w:t>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0298D4F8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3C2EE6D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t, phương ti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6E59A6A8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05B7DDC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khu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</w:t>
      </w:r>
      <w:r w:rsidRPr="00166775">
        <w:rPr>
          <w:rFonts w:ascii="Arial" w:hAnsi="Arial" w:cs="Arial"/>
          <w:sz w:val="20"/>
          <w:szCs w:val="20"/>
        </w:rPr>
        <w:t>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50F81A1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590DD4E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02AD5D0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FD7082C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</w:t>
      </w:r>
      <w:r w:rsidRPr="00166775">
        <w:rPr>
          <w:rFonts w:ascii="Arial" w:hAnsi="Arial" w:cs="Arial"/>
          <w:sz w:val="20"/>
          <w:szCs w:val="20"/>
        </w:rPr>
        <w:t>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07615B0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3CEDDA4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4.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Nam;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thanh tra do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</w:t>
      </w:r>
      <w:r w:rsidRPr="00166775">
        <w:rPr>
          <w:rFonts w:ascii="Arial" w:hAnsi="Arial" w:cs="Arial"/>
          <w:sz w:val="20"/>
          <w:szCs w:val="20"/>
        </w:rPr>
        <w:t xml:space="preserve">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n:</w:t>
      </w:r>
    </w:p>
    <w:p w14:paraId="0BDAF118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5FD46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1C642D1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A23862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4FDD7C99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7F01E6E6" w14:textId="03AB8DA1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71.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Ch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t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ch </w:t>
      </w:r>
      <w:r w:rsidR="00166775">
        <w:rPr>
          <w:rFonts w:ascii="Arial" w:hAnsi="Arial" w:cs="Arial"/>
          <w:b/>
          <w:sz w:val="20"/>
          <w:szCs w:val="20"/>
        </w:rPr>
        <w:t>Ủy ban</w:t>
      </w:r>
      <w:r w:rsidRPr="00166775">
        <w:rPr>
          <w:rFonts w:ascii="Arial" w:hAnsi="Arial" w:cs="Arial"/>
          <w:b/>
          <w:sz w:val="20"/>
          <w:szCs w:val="20"/>
        </w:rPr>
        <w:t xml:space="preserve"> nhân dân các c</w:t>
      </w:r>
      <w:r w:rsidRPr="00166775">
        <w:rPr>
          <w:rFonts w:ascii="Arial" w:hAnsi="Arial" w:cs="Arial"/>
          <w:b/>
          <w:sz w:val="20"/>
          <w:szCs w:val="20"/>
        </w:rPr>
        <w:t>ấ</w:t>
      </w:r>
      <w:r w:rsidRPr="00166775">
        <w:rPr>
          <w:rFonts w:ascii="Arial" w:hAnsi="Arial" w:cs="Arial"/>
          <w:b/>
          <w:sz w:val="20"/>
          <w:szCs w:val="20"/>
        </w:rPr>
        <w:t>p</w:t>
      </w:r>
    </w:p>
    <w:p w14:paraId="07040649" w14:textId="2A955291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xã, phư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ng,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khu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4071D465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EDF12B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6849ED9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772C941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t>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043944B1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240CFF29" w14:textId="732DA299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t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>nh, thành ph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trung ươn</w:t>
      </w:r>
      <w:r w:rsidRPr="00166775">
        <w:rPr>
          <w:rFonts w:ascii="Arial" w:hAnsi="Arial" w:cs="Arial"/>
          <w:sz w:val="20"/>
          <w:szCs w:val="20"/>
        </w:rPr>
        <w:t>g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21A59EF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D01FC0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705F0787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08B0ACC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7CE0DC9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597BF46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71a.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lý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trên môi trư</w:t>
      </w:r>
      <w:r w:rsidRPr="00166775">
        <w:rPr>
          <w:rFonts w:ascii="Arial" w:hAnsi="Arial" w:cs="Arial"/>
          <w:b/>
          <w:sz w:val="20"/>
          <w:szCs w:val="20"/>
        </w:rPr>
        <w:t>ờ</w:t>
      </w:r>
      <w:r w:rsidRPr="00166775">
        <w:rPr>
          <w:rFonts w:ascii="Arial" w:hAnsi="Arial" w:cs="Arial"/>
          <w:b/>
          <w:sz w:val="20"/>
          <w:szCs w:val="20"/>
        </w:rPr>
        <w:t>ng đi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n t</w:t>
      </w:r>
      <w:r w:rsidRPr="00166775">
        <w:rPr>
          <w:rFonts w:ascii="Arial" w:hAnsi="Arial" w:cs="Arial"/>
          <w:b/>
          <w:sz w:val="20"/>
          <w:szCs w:val="20"/>
        </w:rPr>
        <w:t>ử</w:t>
      </w:r>
    </w:p>
    <w:p w14:paraId="035B37EF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theo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trên môi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đi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18a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và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28a,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28b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chi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và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n pháp thi </w:t>
      </w:r>
      <w:r w:rsidRPr="00166775">
        <w:rPr>
          <w:rFonts w:ascii="Arial" w:hAnsi="Arial" w:cs="Arial"/>
          <w:sz w:val="20"/>
          <w:szCs w:val="20"/>
        </w:rPr>
        <w:t>hành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b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68/2025/NĐ-CP ngày 18 tháng 3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và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190/2025/NĐ-CP ngày 01 tháng 7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.”.</w:t>
      </w:r>
    </w:p>
    <w:p w14:paraId="5D7D879E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5. 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u l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thi hành</w:t>
      </w:r>
    </w:p>
    <w:p w14:paraId="33C8904A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có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hi hành k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ngày 21 tháng 5 năm 2026.</w:t>
      </w:r>
    </w:p>
    <w:p w14:paraId="30544332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các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quy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d</w:t>
      </w:r>
      <w:r w:rsidRPr="00166775">
        <w:rPr>
          <w:rFonts w:ascii="Arial" w:hAnsi="Arial" w:cs="Arial"/>
          <w:sz w:val="20"/>
          <w:szCs w:val="20"/>
        </w:rPr>
        <w:t>ẫ</w:t>
      </w:r>
      <w:r w:rsidRPr="00166775">
        <w:rPr>
          <w:rFonts w:ascii="Arial" w:hAnsi="Arial" w:cs="Arial"/>
          <w:sz w:val="20"/>
          <w:szCs w:val="20"/>
        </w:rPr>
        <w:t>n chi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u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thay th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ằ</w:t>
      </w:r>
      <w:r w:rsidRPr="00166775">
        <w:rPr>
          <w:rFonts w:ascii="Arial" w:hAnsi="Arial" w:cs="Arial"/>
          <w:sz w:val="20"/>
          <w:szCs w:val="20"/>
        </w:rPr>
        <w:t>ng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thì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theo các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thay th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đó.</w:t>
      </w:r>
    </w:p>
    <w:p w14:paraId="2BA2A69D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6. Tr</w:t>
      </w:r>
      <w:r w:rsidRPr="00166775">
        <w:rPr>
          <w:rFonts w:ascii="Arial" w:hAnsi="Arial" w:cs="Arial"/>
          <w:b/>
          <w:sz w:val="20"/>
          <w:szCs w:val="20"/>
        </w:rPr>
        <w:t>ách nhi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m thi hành</w:t>
      </w:r>
    </w:p>
    <w:p w14:paraId="19DE9986" w14:textId="77777777" w:rsidR="0001079D" w:rsidRPr="00166775" w:rsidRDefault="001654C2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Tài chính có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ng d</w:t>
      </w:r>
      <w:r w:rsidRPr="00166775">
        <w:rPr>
          <w:rFonts w:ascii="Arial" w:hAnsi="Arial" w:cs="Arial"/>
          <w:sz w:val="20"/>
          <w:szCs w:val="20"/>
        </w:rPr>
        <w:t>ẫ</w:t>
      </w:r>
      <w:r w:rsidRPr="00166775">
        <w:rPr>
          <w:rFonts w:ascii="Arial" w:hAnsi="Arial" w:cs="Arial"/>
          <w:sz w:val="20"/>
          <w:szCs w:val="20"/>
        </w:rPr>
        <w:t>n,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thi hành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BB45DE9" w14:textId="46B7FFAA" w:rsidR="0001079D" w:rsidRDefault="001654C2" w:rsidP="0016677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Các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,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các t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>nh, thành ph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c trung ương và </w:t>
      </w: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có liên quan ch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thi hành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411A3030" w14:textId="77777777" w:rsidR="00166775" w:rsidRDefault="00166775" w:rsidP="0016677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166775" w:rsidRPr="00A13C91" w14:paraId="0EF0CB31" w14:textId="77777777" w:rsidTr="00166775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9CAC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7A6A3E02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58D9D686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3807C000" w14:textId="036487BE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HĐND, UBND các tỉnh, thành phố trực thuộc </w:t>
            </w:r>
            <w:r w:rsidR="00C15F26" w:rsidRPr="00166775">
              <w:rPr>
                <w:rFonts w:ascii="Arial" w:hAnsi="Arial" w:cs="Arial"/>
                <w:sz w:val="20"/>
                <w:szCs w:val="20"/>
              </w:rPr>
              <w:t>tr</w:t>
            </w:r>
            <w:r w:rsidRPr="00166775">
              <w:rPr>
                <w:rFonts w:ascii="Arial" w:hAnsi="Arial" w:cs="Arial"/>
                <w:sz w:val="20"/>
                <w:szCs w:val="20"/>
              </w:rPr>
              <w:t>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D9A5E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4DF7BDDF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343BF6EB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775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14:paraId="7B7C6637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66775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E6A4BCE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7EEB198A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C3FBF24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5494933B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62E11F64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66775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717E1AD0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0DD79573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VPCP: BTCN, các PCN, Trợ lý TTg, TGĐ Cổng 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775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0D662EE2" w14:textId="4083A005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3F56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2A8798AA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833F47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10003AA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7563D7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8092CD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56D6D0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BBB8C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EF8841B" w14:textId="03444F71" w:rsidR="00166775" w:rsidRPr="00A13C91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</w:tbl>
    <w:p w14:paraId="5576C44C" w14:textId="538C2A4D" w:rsidR="0001079D" w:rsidRPr="00166775" w:rsidRDefault="0001079D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01079D" w:rsidRPr="00166775" w:rsidSect="0016677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E817E" w14:textId="77777777" w:rsidR="001654C2" w:rsidRDefault="001654C2">
      <w:pPr>
        <w:spacing w:after="0" w:line="240" w:lineRule="auto"/>
      </w:pPr>
      <w:r>
        <w:separator/>
      </w:r>
    </w:p>
  </w:endnote>
  <w:endnote w:type="continuationSeparator" w:id="0">
    <w:p w14:paraId="21ECDCAB" w14:textId="77777777" w:rsidR="001654C2" w:rsidRDefault="0016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6D7D" w14:textId="77777777" w:rsidR="001654C2" w:rsidRDefault="001654C2">
      <w:pPr>
        <w:spacing w:after="0" w:line="240" w:lineRule="auto"/>
      </w:pPr>
      <w:r>
        <w:separator/>
      </w:r>
    </w:p>
  </w:footnote>
  <w:footnote w:type="continuationSeparator" w:id="0">
    <w:p w14:paraId="40F1A8F0" w14:textId="77777777" w:rsidR="001654C2" w:rsidRDefault="00165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9D"/>
    <w:rsid w:val="0001079D"/>
    <w:rsid w:val="001654C2"/>
    <w:rsid w:val="00166775"/>
    <w:rsid w:val="00562A3F"/>
    <w:rsid w:val="00721C69"/>
    <w:rsid w:val="00725A6C"/>
    <w:rsid w:val="007653D9"/>
    <w:rsid w:val="00C15F26"/>
    <w:rsid w:val="00CA44C7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6FA5"/>
  <w15:docId w15:val="{53314A42-3BE5-4E30-BA13-E5F3FFDD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75"/>
  </w:style>
  <w:style w:type="paragraph" w:styleId="Footer">
    <w:name w:val="footer"/>
    <w:basedOn w:val="Normal"/>
    <w:link w:val="FooterChar"/>
    <w:uiPriority w:val="99"/>
    <w:unhideWhenUsed/>
    <w:rsid w:val="0016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2627</Words>
  <Characters>14975</Characters>
  <Application>Microsoft Office Word</Application>
  <DocSecurity>0</DocSecurity>
  <Lines>124</Lines>
  <Paragraphs>35</Paragraphs>
  <ScaleCrop>false</ScaleCrop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Nguyen Xuan Huy</cp:lastModifiedBy>
  <cp:revision>4</cp:revision>
  <dcterms:created xsi:type="dcterms:W3CDTF">2026-04-08T08:12:00Z</dcterms:created>
  <dcterms:modified xsi:type="dcterms:W3CDTF">2026-04-09T02:02:00Z</dcterms:modified>
</cp:coreProperties>
</file>