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42AAD" w:rsidRPr="0087435B" w:rsidTr="0087435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42AAD" w:rsidRPr="0087435B" w:rsidRDefault="00FC533A" w:rsidP="0087435B">
            <w:pPr>
              <w:jc w:val="center"/>
              <w:rPr>
                <w:rFonts w:ascii="Arial" w:hAnsi="Arial" w:cs="Arial"/>
                <w:sz w:val="20"/>
                <w:szCs w:val="20"/>
              </w:rPr>
            </w:pPr>
            <w:r w:rsidRPr="0087435B">
              <w:rPr>
                <w:rFonts w:ascii="Arial" w:hAnsi="Arial" w:cs="Arial"/>
                <w:b/>
                <w:bCs/>
                <w:sz w:val="20"/>
                <w:szCs w:val="20"/>
              </w:rPr>
              <w:t>BỘ TÀI CHÍNH</w:t>
            </w:r>
            <w:r w:rsidRPr="0087435B">
              <w:rPr>
                <w:rFonts w:ascii="Arial" w:hAnsi="Arial" w:cs="Arial"/>
                <w:b/>
                <w:bCs/>
                <w:sz w:val="20"/>
                <w:szCs w:val="20"/>
              </w:rPr>
              <w:br/>
            </w:r>
            <w:r w:rsidR="0087435B" w:rsidRPr="0087435B">
              <w:rPr>
                <w:rFonts w:ascii="Arial" w:hAnsi="Arial" w:cs="Arial"/>
                <w:bCs/>
                <w:sz w:val="20"/>
                <w:szCs w:val="20"/>
                <w:vertAlign w:val="superscript"/>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42AAD" w:rsidRPr="0087435B" w:rsidRDefault="00FC533A" w:rsidP="0087435B">
            <w:pPr>
              <w:jc w:val="center"/>
              <w:rPr>
                <w:rFonts w:ascii="Arial" w:hAnsi="Arial" w:cs="Arial"/>
                <w:sz w:val="20"/>
                <w:szCs w:val="20"/>
              </w:rPr>
            </w:pPr>
            <w:r w:rsidRPr="0087435B">
              <w:rPr>
                <w:rFonts w:ascii="Arial" w:hAnsi="Arial" w:cs="Arial"/>
                <w:b/>
                <w:bCs/>
                <w:sz w:val="20"/>
                <w:szCs w:val="20"/>
              </w:rPr>
              <w:t>CỘNG HÒA XÃ HỘI CHỦ NGHĨA VIỆT NAM</w:t>
            </w:r>
            <w:r w:rsidRPr="0087435B">
              <w:rPr>
                <w:rFonts w:ascii="Arial" w:hAnsi="Arial" w:cs="Arial"/>
                <w:b/>
                <w:bCs/>
                <w:sz w:val="20"/>
                <w:szCs w:val="20"/>
              </w:rPr>
              <w:br/>
              <w:t xml:space="preserve">Độc lập - Tự do - Hạnh phúc </w:t>
            </w:r>
            <w:r w:rsidRPr="0087435B">
              <w:rPr>
                <w:rFonts w:ascii="Arial" w:hAnsi="Arial" w:cs="Arial"/>
                <w:b/>
                <w:bCs/>
                <w:sz w:val="20"/>
                <w:szCs w:val="20"/>
              </w:rPr>
              <w:br/>
            </w:r>
            <w:r w:rsidR="0087435B" w:rsidRPr="0087435B">
              <w:rPr>
                <w:rFonts w:ascii="Arial" w:hAnsi="Arial" w:cs="Arial"/>
                <w:bCs/>
                <w:sz w:val="20"/>
                <w:szCs w:val="20"/>
                <w:vertAlign w:val="superscript"/>
              </w:rPr>
              <w:t>_______________________</w:t>
            </w:r>
          </w:p>
        </w:tc>
      </w:tr>
      <w:tr w:rsidR="00642AAD" w:rsidRPr="0087435B" w:rsidTr="0087435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642AAD" w:rsidRPr="0087435B" w:rsidRDefault="00FC533A" w:rsidP="0087435B">
            <w:pPr>
              <w:jc w:val="center"/>
              <w:rPr>
                <w:rFonts w:ascii="Arial" w:hAnsi="Arial" w:cs="Arial"/>
                <w:sz w:val="20"/>
                <w:szCs w:val="20"/>
              </w:rPr>
            </w:pPr>
            <w:r w:rsidRPr="0087435B">
              <w:rPr>
                <w:rFonts w:ascii="Arial" w:hAnsi="Arial" w:cs="Arial"/>
                <w:sz w:val="20"/>
                <w:szCs w:val="20"/>
              </w:rPr>
              <w:t>Số: 219/QĐ-BTC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642AAD" w:rsidRPr="0087435B" w:rsidRDefault="00FC533A" w:rsidP="0087435B">
            <w:pPr>
              <w:jc w:val="center"/>
              <w:rPr>
                <w:rFonts w:ascii="Arial" w:hAnsi="Arial" w:cs="Arial"/>
                <w:sz w:val="20"/>
                <w:szCs w:val="20"/>
              </w:rPr>
            </w:pPr>
            <w:r w:rsidRPr="0087435B">
              <w:rPr>
                <w:rFonts w:ascii="Arial" w:hAnsi="Arial" w:cs="Arial"/>
                <w:i/>
                <w:iCs/>
                <w:sz w:val="20"/>
                <w:szCs w:val="20"/>
              </w:rPr>
              <w:t>Hà Nội, ngày 01 tháng 02 năm 2024</w:t>
            </w:r>
          </w:p>
        </w:tc>
      </w:tr>
    </w:tbl>
    <w:p w:rsidR="00642AAD" w:rsidRDefault="00642AAD" w:rsidP="0087435B">
      <w:pPr>
        <w:jc w:val="center"/>
        <w:rPr>
          <w:rFonts w:ascii="Arial" w:hAnsi="Arial" w:cs="Arial"/>
          <w:sz w:val="20"/>
          <w:szCs w:val="20"/>
        </w:rPr>
      </w:pPr>
    </w:p>
    <w:p w:rsidR="0087435B" w:rsidRPr="0087435B" w:rsidRDefault="0087435B" w:rsidP="0087435B">
      <w:pPr>
        <w:jc w:val="center"/>
        <w:rPr>
          <w:rFonts w:ascii="Arial" w:hAnsi="Arial" w:cs="Arial"/>
          <w:sz w:val="20"/>
          <w:szCs w:val="20"/>
        </w:rPr>
      </w:pPr>
    </w:p>
    <w:p w:rsidR="00642AAD" w:rsidRPr="0087435B" w:rsidRDefault="00FC533A" w:rsidP="0087435B">
      <w:pPr>
        <w:jc w:val="center"/>
        <w:rPr>
          <w:rFonts w:ascii="Arial" w:hAnsi="Arial" w:cs="Arial"/>
          <w:sz w:val="20"/>
          <w:szCs w:val="20"/>
        </w:rPr>
      </w:pPr>
      <w:r w:rsidRPr="0087435B">
        <w:rPr>
          <w:rFonts w:ascii="Arial" w:hAnsi="Arial" w:cs="Arial"/>
          <w:b/>
          <w:bCs/>
          <w:sz w:val="20"/>
          <w:szCs w:val="20"/>
        </w:rPr>
        <w:t>QUYẾT ĐỊNH</w:t>
      </w:r>
    </w:p>
    <w:p w:rsidR="0039220C" w:rsidRDefault="0087435B" w:rsidP="0087435B">
      <w:pPr>
        <w:jc w:val="center"/>
        <w:rPr>
          <w:rFonts w:ascii="Arial" w:hAnsi="Arial" w:cs="Arial"/>
          <w:b/>
          <w:sz w:val="20"/>
          <w:szCs w:val="20"/>
        </w:rPr>
      </w:pPr>
      <w:r w:rsidRPr="0087435B">
        <w:rPr>
          <w:rFonts w:ascii="Arial" w:hAnsi="Arial" w:cs="Arial"/>
          <w:b/>
          <w:sz w:val="20"/>
          <w:szCs w:val="20"/>
        </w:rPr>
        <w:t>Công bố danh mục chế độ</w:t>
      </w:r>
      <w:r w:rsidR="0039220C">
        <w:rPr>
          <w:rFonts w:ascii="Arial" w:hAnsi="Arial" w:cs="Arial"/>
          <w:b/>
          <w:sz w:val="20"/>
          <w:szCs w:val="20"/>
        </w:rPr>
        <w:t xml:space="preserve"> báo cáo định kỳ trong lĩnh vực</w:t>
      </w:r>
    </w:p>
    <w:p w:rsidR="00642AAD" w:rsidRPr="0087435B" w:rsidRDefault="0087435B" w:rsidP="0087435B">
      <w:pPr>
        <w:jc w:val="center"/>
        <w:rPr>
          <w:rFonts w:ascii="Arial" w:hAnsi="Arial" w:cs="Arial"/>
          <w:b/>
          <w:sz w:val="20"/>
          <w:szCs w:val="20"/>
        </w:rPr>
      </w:pPr>
      <w:r w:rsidRPr="0087435B">
        <w:rPr>
          <w:rFonts w:ascii="Arial" w:hAnsi="Arial" w:cs="Arial"/>
          <w:b/>
          <w:sz w:val="20"/>
          <w:szCs w:val="20"/>
        </w:rPr>
        <w:t xml:space="preserve">kinh doanh bảo </w:t>
      </w:r>
      <w:r w:rsidR="0039220C">
        <w:rPr>
          <w:rFonts w:ascii="Arial" w:hAnsi="Arial" w:cs="Arial"/>
          <w:b/>
          <w:sz w:val="20"/>
          <w:szCs w:val="20"/>
        </w:rPr>
        <w:t>hiểm thuộc phạm vi quản lý của Bộ T</w:t>
      </w:r>
      <w:r w:rsidRPr="0087435B">
        <w:rPr>
          <w:rFonts w:ascii="Arial" w:hAnsi="Arial" w:cs="Arial"/>
          <w:b/>
          <w:sz w:val="20"/>
          <w:szCs w:val="20"/>
        </w:rPr>
        <w:t>ài chính</w:t>
      </w:r>
    </w:p>
    <w:p w:rsidR="0087435B" w:rsidRPr="0087435B" w:rsidRDefault="0087435B" w:rsidP="0087435B">
      <w:pPr>
        <w:jc w:val="center"/>
        <w:rPr>
          <w:rFonts w:ascii="Arial" w:hAnsi="Arial" w:cs="Arial"/>
          <w:sz w:val="20"/>
          <w:szCs w:val="20"/>
          <w:vertAlign w:val="superscript"/>
        </w:rPr>
      </w:pPr>
      <w:r w:rsidRPr="0087435B">
        <w:rPr>
          <w:rFonts w:ascii="Arial" w:hAnsi="Arial" w:cs="Arial"/>
          <w:sz w:val="20"/>
          <w:szCs w:val="20"/>
          <w:vertAlign w:val="superscript"/>
        </w:rPr>
        <w:t>__________</w:t>
      </w:r>
    </w:p>
    <w:p w:rsidR="00642AAD" w:rsidRDefault="00FC533A" w:rsidP="0087435B">
      <w:pPr>
        <w:jc w:val="center"/>
        <w:rPr>
          <w:rFonts w:ascii="Arial" w:hAnsi="Arial" w:cs="Arial"/>
          <w:b/>
          <w:bCs/>
          <w:sz w:val="20"/>
          <w:szCs w:val="20"/>
        </w:rPr>
      </w:pPr>
      <w:r w:rsidRPr="0087435B">
        <w:rPr>
          <w:rFonts w:ascii="Arial" w:hAnsi="Arial" w:cs="Arial"/>
          <w:b/>
          <w:bCs/>
          <w:sz w:val="20"/>
          <w:szCs w:val="20"/>
        </w:rPr>
        <w:t>BỘ TRƯỞNG BỘ TÀI CHÍNH</w:t>
      </w:r>
    </w:p>
    <w:p w:rsidR="0087435B" w:rsidRPr="0087435B" w:rsidRDefault="0087435B" w:rsidP="0087435B">
      <w:pPr>
        <w:jc w:val="center"/>
        <w:rPr>
          <w:rFonts w:ascii="Arial" w:hAnsi="Arial" w:cs="Arial"/>
          <w:sz w:val="20"/>
          <w:szCs w:val="20"/>
        </w:rPr>
      </w:pP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i/>
          <w:iCs/>
          <w:sz w:val="20"/>
          <w:szCs w:val="20"/>
        </w:rPr>
        <w:t>Căn cứ Nghị định số 09/2019/NĐ-CP ngày 24 tháng 01 năm 2019 của Chính phủ quy định về chế độ báo cáo của cơ quan hành chính nhà nước;</w:t>
      </w: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i/>
          <w:iCs/>
          <w:sz w:val="20"/>
          <w:szCs w:val="20"/>
        </w:rPr>
        <w:t>Căn cứ Thông tư số 16/2020/TT-BTC ngày 26 tháng 3 năm 2020 của Bộ trưởng Bộ Tài chính quy định về chế độ báo cáo thuộc phạm vi quản lý nhà nước của Bộ Tài chính;</w:t>
      </w: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i/>
          <w:iCs/>
          <w:sz w:val="20"/>
          <w:szCs w:val="20"/>
        </w:rPr>
        <w:t>Căn cứ Thông tư số 70/2022/TT-BTC ngày 16/11/2022 quy định về quản trị rủi ro, kiểm soát nội bộ và kiểm toán nội bộ của doanh nghi</w:t>
      </w:r>
      <w:bookmarkStart w:id="0" w:name="_GoBack"/>
      <w:bookmarkEnd w:id="0"/>
      <w:r w:rsidRPr="0087435B">
        <w:rPr>
          <w:rFonts w:ascii="Arial" w:hAnsi="Arial" w:cs="Arial"/>
          <w:i/>
          <w:iCs/>
          <w:sz w:val="20"/>
          <w:szCs w:val="20"/>
        </w:rPr>
        <w:t>ệp bảo hiểm, doanh nghiệp tái bảo hiểm, chi nhánh doanh nghiệp bảo hiểm phi nhân thọ nước ngoài, chi nhánh doanh nghiệp tái bảo hiểm nước ngoài;</w:t>
      </w:r>
    </w:p>
    <w:p w:rsidR="00642AAD" w:rsidRPr="0087435B" w:rsidRDefault="00FC533A" w:rsidP="004B0842">
      <w:pPr>
        <w:ind w:firstLine="720"/>
        <w:jc w:val="both"/>
        <w:rPr>
          <w:rFonts w:ascii="Arial" w:hAnsi="Arial" w:cs="Arial"/>
          <w:sz w:val="20"/>
          <w:szCs w:val="20"/>
        </w:rPr>
      </w:pPr>
      <w:r w:rsidRPr="0087435B">
        <w:rPr>
          <w:rFonts w:ascii="Arial" w:hAnsi="Arial" w:cs="Arial"/>
          <w:i/>
          <w:iCs/>
          <w:sz w:val="20"/>
          <w:szCs w:val="20"/>
        </w:rPr>
        <w:t>Theo đề nghị của Cục trưởng Cục Quản lý, giám sát bảo hiểm.</w:t>
      </w:r>
    </w:p>
    <w:p w:rsidR="004B0842" w:rsidRDefault="004B0842" w:rsidP="004B0842">
      <w:pPr>
        <w:ind w:firstLine="720"/>
        <w:jc w:val="both"/>
        <w:rPr>
          <w:rFonts w:ascii="Arial" w:hAnsi="Arial" w:cs="Arial"/>
          <w:b/>
          <w:bCs/>
          <w:sz w:val="20"/>
          <w:szCs w:val="20"/>
        </w:rPr>
      </w:pPr>
    </w:p>
    <w:p w:rsidR="00642AAD" w:rsidRDefault="00FC533A" w:rsidP="004B0842">
      <w:pPr>
        <w:jc w:val="center"/>
        <w:rPr>
          <w:rFonts w:ascii="Arial" w:hAnsi="Arial" w:cs="Arial"/>
          <w:b/>
          <w:bCs/>
          <w:sz w:val="20"/>
          <w:szCs w:val="20"/>
        </w:rPr>
      </w:pPr>
      <w:r w:rsidRPr="0087435B">
        <w:rPr>
          <w:rFonts w:ascii="Arial" w:hAnsi="Arial" w:cs="Arial"/>
          <w:b/>
          <w:bCs/>
          <w:sz w:val="20"/>
          <w:szCs w:val="20"/>
        </w:rPr>
        <w:t>QUYẾT ĐỊNH:</w:t>
      </w:r>
    </w:p>
    <w:p w:rsidR="004B0842" w:rsidRPr="0087435B" w:rsidRDefault="004B0842" w:rsidP="004B0842">
      <w:pPr>
        <w:jc w:val="center"/>
        <w:rPr>
          <w:rFonts w:ascii="Arial" w:hAnsi="Arial" w:cs="Arial"/>
          <w:sz w:val="20"/>
          <w:szCs w:val="20"/>
        </w:rPr>
      </w:pP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b/>
          <w:bCs/>
          <w:sz w:val="20"/>
          <w:szCs w:val="20"/>
        </w:rPr>
        <w:t>Điều 1.</w:t>
      </w:r>
      <w:r w:rsidRPr="0087435B">
        <w:rPr>
          <w:rFonts w:ascii="Arial" w:hAnsi="Arial" w:cs="Arial"/>
          <w:sz w:val="20"/>
          <w:szCs w:val="20"/>
        </w:rPr>
        <w:t xml:space="preserve"> Công bố kèm theo Quyết định này 01 chế độ báo cáo định kỳ mới trong lĩnh vực kinh doanh bảo hiểm thuộc phạm vi quản lý nhà nước của Bộ Tài chính.</w:t>
      </w: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b/>
          <w:bCs/>
          <w:sz w:val="20"/>
          <w:szCs w:val="20"/>
        </w:rPr>
        <w:t>Điều 2.</w:t>
      </w:r>
      <w:r w:rsidRPr="0087435B">
        <w:rPr>
          <w:rFonts w:ascii="Arial" w:hAnsi="Arial" w:cs="Arial"/>
          <w:sz w:val="20"/>
          <w:szCs w:val="20"/>
        </w:rPr>
        <w:t xml:space="preserve"> Quyết định này có hiệu lực thi hành kể từ ngày ký.</w:t>
      </w:r>
    </w:p>
    <w:p w:rsidR="00642AAD" w:rsidRPr="0087435B" w:rsidRDefault="00FC533A" w:rsidP="004B0842">
      <w:pPr>
        <w:ind w:firstLine="720"/>
        <w:jc w:val="both"/>
        <w:rPr>
          <w:rFonts w:ascii="Arial" w:hAnsi="Arial" w:cs="Arial"/>
          <w:sz w:val="20"/>
          <w:szCs w:val="20"/>
        </w:rPr>
      </w:pPr>
      <w:r w:rsidRPr="0087435B">
        <w:rPr>
          <w:rFonts w:ascii="Arial" w:hAnsi="Arial" w:cs="Arial"/>
          <w:b/>
          <w:bCs/>
          <w:sz w:val="20"/>
          <w:szCs w:val="20"/>
        </w:rPr>
        <w:t>Điều 3.</w:t>
      </w:r>
      <w:r w:rsidRPr="0087435B">
        <w:rPr>
          <w:rFonts w:ascii="Arial" w:hAnsi="Arial" w:cs="Arial"/>
          <w:sz w:val="20"/>
          <w:szCs w:val="20"/>
        </w:rPr>
        <w:t xml:space="preserve"> Chánh Văn phòng Bộ, Cục trưởng Cục Tin học và Thống kê tài chính, Cục trưởng Cục Quản lý, giám sát bảo hiểm, Thủ trưởng các cơ quan, đơn vị thuộc Bộ và tổ chức, cá nhân có liên quan chịu trách nhiệm thi hành Quyết định này./.</w:t>
      </w:r>
    </w:p>
    <w:p w:rsidR="00642AAD" w:rsidRPr="0087435B" w:rsidRDefault="00FC533A" w:rsidP="004B0842">
      <w:pPr>
        <w:ind w:firstLine="720"/>
        <w:jc w:val="both"/>
        <w:rPr>
          <w:rFonts w:ascii="Arial" w:hAnsi="Arial" w:cs="Arial"/>
          <w:sz w:val="20"/>
          <w:szCs w:val="20"/>
        </w:rPr>
      </w:pPr>
      <w:r w:rsidRPr="0087435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42AAD" w:rsidRPr="0087435B" w:rsidTr="004B084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42AAD" w:rsidRPr="0087435B" w:rsidRDefault="00FC533A" w:rsidP="004B0842">
            <w:pPr>
              <w:rPr>
                <w:rFonts w:ascii="Arial" w:hAnsi="Arial" w:cs="Arial"/>
                <w:sz w:val="20"/>
                <w:szCs w:val="20"/>
              </w:rPr>
            </w:pPr>
            <w:r w:rsidRPr="0087435B">
              <w:rPr>
                <w:rFonts w:ascii="Arial" w:hAnsi="Arial" w:cs="Arial"/>
                <w:b/>
                <w:bCs/>
                <w:i/>
                <w:iCs/>
                <w:sz w:val="20"/>
                <w:szCs w:val="20"/>
              </w:rPr>
              <w:t>Nơi nhận:</w:t>
            </w:r>
            <w:r w:rsidRPr="0087435B">
              <w:rPr>
                <w:rFonts w:ascii="Arial" w:hAnsi="Arial" w:cs="Arial"/>
                <w:b/>
                <w:bCs/>
                <w:i/>
                <w:iCs/>
                <w:sz w:val="20"/>
                <w:szCs w:val="20"/>
              </w:rPr>
              <w:br/>
            </w:r>
            <w:r w:rsidRPr="0087435B">
              <w:rPr>
                <w:rFonts w:ascii="Arial" w:hAnsi="Arial" w:cs="Arial"/>
                <w:sz w:val="20"/>
                <w:szCs w:val="20"/>
              </w:rPr>
              <w:t>- Như điều 3;</w:t>
            </w:r>
            <w:r w:rsidRPr="0087435B">
              <w:rPr>
                <w:rFonts w:ascii="Arial" w:hAnsi="Arial" w:cs="Arial"/>
                <w:sz w:val="20"/>
                <w:szCs w:val="20"/>
              </w:rPr>
              <w:br/>
              <w:t>- Bộ trưởng Hồ Đức Phớc (để b/c);</w:t>
            </w:r>
            <w:r w:rsidRPr="0087435B">
              <w:rPr>
                <w:rFonts w:ascii="Arial" w:hAnsi="Arial" w:cs="Arial"/>
                <w:sz w:val="20"/>
                <w:szCs w:val="20"/>
              </w:rPr>
              <w:br/>
              <w:t>- Văn phòng Chính phủ (Cục KSTTHC);</w:t>
            </w:r>
            <w:r w:rsidRPr="0087435B">
              <w:rPr>
                <w:rFonts w:ascii="Arial" w:hAnsi="Arial" w:cs="Arial"/>
                <w:sz w:val="20"/>
                <w:szCs w:val="20"/>
              </w:rPr>
              <w:br/>
              <w:t>- Hiệp hội Bảo hiểm Việt Nam;</w:t>
            </w:r>
            <w:r w:rsidRPr="0087435B">
              <w:rPr>
                <w:rFonts w:ascii="Arial" w:hAnsi="Arial" w:cs="Arial"/>
                <w:sz w:val="20"/>
                <w:szCs w:val="20"/>
              </w:rPr>
              <w:br/>
              <w:t xml:space="preserve">- Cổng thông tin điện tử Bộ Tài chính; </w:t>
            </w:r>
            <w:r w:rsidRPr="0087435B">
              <w:rPr>
                <w:rFonts w:ascii="Arial" w:hAnsi="Arial" w:cs="Arial"/>
                <w:sz w:val="20"/>
                <w:szCs w:val="20"/>
              </w:rPr>
              <w:br/>
              <w:t>- Lưu: VT, QLBH (03 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642AAD" w:rsidRPr="0087435B" w:rsidRDefault="00FC533A" w:rsidP="004B0842">
            <w:pPr>
              <w:jc w:val="center"/>
              <w:rPr>
                <w:rFonts w:ascii="Arial" w:hAnsi="Arial" w:cs="Arial"/>
                <w:sz w:val="20"/>
                <w:szCs w:val="20"/>
              </w:rPr>
            </w:pPr>
            <w:r w:rsidRPr="0087435B">
              <w:rPr>
                <w:rFonts w:ascii="Arial" w:hAnsi="Arial" w:cs="Arial"/>
                <w:b/>
                <w:bCs/>
                <w:sz w:val="20"/>
                <w:szCs w:val="20"/>
              </w:rPr>
              <w:t>KT. BỘ TRƯỞNG</w:t>
            </w:r>
            <w:r w:rsidRPr="0087435B">
              <w:rPr>
                <w:rFonts w:ascii="Arial" w:hAnsi="Arial" w:cs="Arial"/>
                <w:b/>
                <w:bCs/>
                <w:sz w:val="20"/>
                <w:szCs w:val="20"/>
              </w:rPr>
              <w:br/>
              <w:t>THỨ TRƯỞNG</w:t>
            </w:r>
            <w:r w:rsidRPr="0087435B">
              <w:rPr>
                <w:rFonts w:ascii="Arial" w:hAnsi="Arial" w:cs="Arial"/>
                <w:b/>
                <w:bCs/>
                <w:sz w:val="20"/>
                <w:szCs w:val="20"/>
              </w:rPr>
              <w:br/>
            </w:r>
            <w:r w:rsidRPr="0087435B">
              <w:rPr>
                <w:rFonts w:ascii="Arial" w:hAnsi="Arial" w:cs="Arial"/>
                <w:b/>
                <w:bCs/>
                <w:sz w:val="20"/>
                <w:szCs w:val="20"/>
              </w:rPr>
              <w:br/>
            </w:r>
            <w:r w:rsidRPr="0087435B">
              <w:rPr>
                <w:rFonts w:ascii="Arial" w:hAnsi="Arial" w:cs="Arial"/>
                <w:b/>
                <w:bCs/>
                <w:sz w:val="20"/>
                <w:szCs w:val="20"/>
              </w:rPr>
              <w:br/>
            </w:r>
            <w:r w:rsidRPr="0087435B">
              <w:rPr>
                <w:rFonts w:ascii="Arial" w:hAnsi="Arial" w:cs="Arial"/>
                <w:b/>
                <w:bCs/>
                <w:sz w:val="20"/>
                <w:szCs w:val="20"/>
              </w:rPr>
              <w:br/>
            </w:r>
            <w:r w:rsidRPr="0087435B">
              <w:rPr>
                <w:rFonts w:ascii="Arial" w:hAnsi="Arial" w:cs="Arial"/>
                <w:b/>
                <w:bCs/>
                <w:sz w:val="20"/>
                <w:szCs w:val="20"/>
              </w:rPr>
              <w:br/>
              <w:t>Lê Tấn Cận</w:t>
            </w:r>
          </w:p>
        </w:tc>
      </w:tr>
    </w:tbl>
    <w:p w:rsidR="00642AAD" w:rsidRPr="0087435B" w:rsidRDefault="00FC533A" w:rsidP="0087435B">
      <w:pPr>
        <w:spacing w:after="120"/>
        <w:ind w:firstLine="720"/>
        <w:jc w:val="both"/>
        <w:rPr>
          <w:rFonts w:ascii="Arial" w:hAnsi="Arial" w:cs="Arial"/>
          <w:sz w:val="20"/>
          <w:szCs w:val="20"/>
        </w:rPr>
      </w:pPr>
      <w:r w:rsidRPr="0087435B">
        <w:rPr>
          <w:rFonts w:ascii="Arial" w:hAnsi="Arial" w:cs="Arial"/>
          <w:sz w:val="20"/>
          <w:szCs w:val="20"/>
        </w:rPr>
        <w:t> </w:t>
      </w:r>
    </w:p>
    <w:p w:rsidR="004B0842" w:rsidRDefault="004B0842" w:rsidP="0087435B">
      <w:pPr>
        <w:spacing w:after="120"/>
        <w:ind w:firstLine="720"/>
        <w:jc w:val="both"/>
        <w:rPr>
          <w:rFonts w:ascii="Arial" w:hAnsi="Arial" w:cs="Arial"/>
          <w:b/>
          <w:bCs/>
          <w:sz w:val="20"/>
          <w:szCs w:val="20"/>
        </w:rPr>
        <w:sectPr w:rsidR="004B0842" w:rsidSect="0087435B">
          <w:pgSz w:w="11906" w:h="16838" w:code="9"/>
          <w:pgMar w:top="1440" w:right="1440" w:bottom="1440" w:left="1440" w:header="0" w:footer="0" w:gutter="0"/>
          <w:cols w:space="720"/>
          <w:docGrid w:linePitch="326"/>
        </w:sectPr>
      </w:pPr>
    </w:p>
    <w:p w:rsidR="004B0842" w:rsidRDefault="00FC533A" w:rsidP="004B0842">
      <w:pPr>
        <w:jc w:val="center"/>
        <w:rPr>
          <w:rFonts w:ascii="Arial" w:hAnsi="Arial" w:cs="Arial"/>
          <w:b/>
          <w:sz w:val="20"/>
          <w:szCs w:val="20"/>
        </w:rPr>
      </w:pPr>
      <w:r w:rsidRPr="004B0842">
        <w:rPr>
          <w:rFonts w:ascii="Arial" w:hAnsi="Arial" w:cs="Arial"/>
          <w:b/>
          <w:bCs/>
          <w:sz w:val="20"/>
          <w:szCs w:val="20"/>
        </w:rPr>
        <w:lastRenderedPageBreak/>
        <w:t>DANH MỤC</w:t>
      </w:r>
      <w:r w:rsidR="004B0842" w:rsidRPr="004B0842">
        <w:rPr>
          <w:rFonts w:ascii="Arial" w:hAnsi="Arial" w:cs="Arial"/>
          <w:b/>
          <w:sz w:val="20"/>
          <w:szCs w:val="20"/>
        </w:rPr>
        <w:t xml:space="preserve"> </w:t>
      </w:r>
      <w:r w:rsidRPr="004B0842">
        <w:rPr>
          <w:rFonts w:ascii="Arial" w:hAnsi="Arial" w:cs="Arial"/>
          <w:b/>
          <w:sz w:val="20"/>
          <w:szCs w:val="20"/>
        </w:rPr>
        <w:t xml:space="preserve">BÁO CÁO </w:t>
      </w:r>
      <w:r w:rsidR="004B0842">
        <w:rPr>
          <w:rFonts w:ascii="Arial" w:hAnsi="Arial" w:cs="Arial"/>
          <w:b/>
          <w:sz w:val="20"/>
          <w:szCs w:val="20"/>
        </w:rPr>
        <w:t>ĐỊNH KỲ THUỘC PHẠM VI CHỨC NĂNG</w:t>
      </w:r>
    </w:p>
    <w:p w:rsidR="004B0842" w:rsidRPr="004B0842" w:rsidRDefault="00FC533A" w:rsidP="004B0842">
      <w:pPr>
        <w:jc w:val="center"/>
        <w:rPr>
          <w:rFonts w:ascii="Arial" w:hAnsi="Arial" w:cs="Arial"/>
          <w:b/>
          <w:sz w:val="20"/>
          <w:szCs w:val="20"/>
        </w:rPr>
      </w:pPr>
      <w:r w:rsidRPr="004B0842">
        <w:rPr>
          <w:rFonts w:ascii="Arial" w:hAnsi="Arial" w:cs="Arial"/>
          <w:b/>
          <w:sz w:val="20"/>
          <w:szCs w:val="20"/>
        </w:rPr>
        <w:t>QU</w:t>
      </w:r>
      <w:r w:rsidR="004B0842" w:rsidRPr="004B0842">
        <w:rPr>
          <w:rFonts w:ascii="Arial" w:hAnsi="Arial" w:cs="Arial"/>
          <w:b/>
          <w:sz w:val="20"/>
          <w:szCs w:val="20"/>
        </w:rPr>
        <w:t>ẢN LÝ NHÀ NƯỚC CỦA BỘ TÀI CHÍNH</w:t>
      </w:r>
    </w:p>
    <w:p w:rsidR="00642AAD" w:rsidRDefault="00FC533A" w:rsidP="004B0842">
      <w:pPr>
        <w:jc w:val="center"/>
        <w:rPr>
          <w:rFonts w:ascii="Arial" w:hAnsi="Arial" w:cs="Arial"/>
          <w:i/>
          <w:iCs/>
          <w:sz w:val="20"/>
          <w:szCs w:val="20"/>
        </w:rPr>
      </w:pPr>
      <w:r w:rsidRPr="0087435B">
        <w:rPr>
          <w:rFonts w:ascii="Arial" w:hAnsi="Arial" w:cs="Arial"/>
          <w:i/>
          <w:iCs/>
          <w:sz w:val="20"/>
          <w:szCs w:val="20"/>
        </w:rPr>
        <w:t>(Kèm theo Quyết định số 219/QĐ-BTC ngày 01 tháng 02 năm 2024 của Bộ Tài chính)</w:t>
      </w:r>
    </w:p>
    <w:p w:rsidR="004B0842" w:rsidRPr="0087435B" w:rsidRDefault="004B0842" w:rsidP="004B0842">
      <w:pPr>
        <w:jc w:val="center"/>
        <w:rPr>
          <w:rFonts w:ascii="Arial" w:hAnsi="Arial" w:cs="Arial"/>
          <w:sz w:val="20"/>
          <w:szCs w:val="20"/>
        </w:rPr>
      </w:pP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b/>
          <w:bCs/>
          <w:sz w:val="20"/>
          <w:szCs w:val="20"/>
        </w:rPr>
        <w:t>Phần I: DANH MỤC BÁO CÁO ĐỊNH KỲ CÔNG BỐ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2070"/>
        <w:gridCol w:w="6187"/>
      </w:tblGrid>
      <w:tr w:rsidR="00642AAD" w:rsidRPr="0087435B" w:rsidTr="00F12AC1">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42AAD" w:rsidRPr="0087435B" w:rsidRDefault="00FC533A" w:rsidP="00F12AC1">
            <w:pPr>
              <w:jc w:val="center"/>
              <w:rPr>
                <w:rFonts w:ascii="Arial" w:hAnsi="Arial" w:cs="Arial"/>
                <w:sz w:val="20"/>
                <w:szCs w:val="20"/>
              </w:rPr>
            </w:pPr>
            <w:r w:rsidRPr="0087435B">
              <w:rPr>
                <w:rFonts w:ascii="Arial" w:hAnsi="Arial" w:cs="Arial"/>
                <w:b/>
                <w:bCs/>
                <w:sz w:val="20"/>
                <w:szCs w:val="20"/>
              </w:rPr>
              <w:t>STT</w:t>
            </w:r>
          </w:p>
        </w:tc>
        <w:tc>
          <w:tcPr>
            <w:tcW w:w="11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42AAD" w:rsidRPr="0087435B" w:rsidRDefault="00FC533A" w:rsidP="00F12AC1">
            <w:pPr>
              <w:jc w:val="center"/>
              <w:rPr>
                <w:rFonts w:ascii="Arial" w:hAnsi="Arial" w:cs="Arial"/>
                <w:sz w:val="20"/>
                <w:szCs w:val="20"/>
              </w:rPr>
            </w:pPr>
            <w:r w:rsidRPr="0087435B">
              <w:rPr>
                <w:rFonts w:ascii="Arial" w:hAnsi="Arial" w:cs="Arial"/>
                <w:b/>
                <w:bCs/>
                <w:sz w:val="20"/>
                <w:szCs w:val="20"/>
              </w:rPr>
              <w:t>Tên báo cáo</w:t>
            </w:r>
          </w:p>
        </w:tc>
        <w:tc>
          <w:tcPr>
            <w:tcW w:w="3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42AAD" w:rsidRPr="0087435B" w:rsidRDefault="00FC533A" w:rsidP="00F12AC1">
            <w:pPr>
              <w:jc w:val="center"/>
              <w:rPr>
                <w:rFonts w:ascii="Arial" w:hAnsi="Arial" w:cs="Arial"/>
                <w:sz w:val="20"/>
                <w:szCs w:val="20"/>
              </w:rPr>
            </w:pPr>
            <w:r w:rsidRPr="0087435B">
              <w:rPr>
                <w:rFonts w:ascii="Arial" w:hAnsi="Arial" w:cs="Arial"/>
                <w:b/>
                <w:bCs/>
                <w:sz w:val="20"/>
                <w:szCs w:val="20"/>
              </w:rPr>
              <w:t>Văn bản quy định chế độ báo cáo</w:t>
            </w:r>
          </w:p>
        </w:tc>
      </w:tr>
      <w:tr w:rsidR="00642AAD" w:rsidRPr="0087435B" w:rsidTr="00F12AC1">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42AAD" w:rsidRPr="0087435B" w:rsidRDefault="00FC533A" w:rsidP="00F12AC1">
            <w:pPr>
              <w:jc w:val="center"/>
              <w:rPr>
                <w:rFonts w:ascii="Arial" w:hAnsi="Arial" w:cs="Arial"/>
                <w:sz w:val="20"/>
                <w:szCs w:val="20"/>
              </w:rPr>
            </w:pPr>
            <w:r w:rsidRPr="0087435B">
              <w:rPr>
                <w:rFonts w:ascii="Arial" w:hAnsi="Arial" w:cs="Arial"/>
                <w:sz w:val="20"/>
                <w:szCs w:val="20"/>
              </w:rPr>
              <w:t>1</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42AAD" w:rsidRPr="0087435B" w:rsidRDefault="00FC533A" w:rsidP="00F12AC1">
            <w:pPr>
              <w:rPr>
                <w:rFonts w:ascii="Arial" w:hAnsi="Arial" w:cs="Arial"/>
                <w:sz w:val="20"/>
                <w:szCs w:val="20"/>
              </w:rPr>
            </w:pPr>
            <w:r w:rsidRPr="0087435B">
              <w:rPr>
                <w:rFonts w:ascii="Arial" w:hAnsi="Arial" w:cs="Arial"/>
                <w:sz w:val="20"/>
                <w:szCs w:val="20"/>
              </w:rPr>
              <w:t>Báo cáo quản trị rủi ro</w:t>
            </w:r>
          </w:p>
        </w:tc>
        <w:tc>
          <w:tcPr>
            <w:tcW w:w="3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42AAD" w:rsidRPr="0087435B" w:rsidRDefault="00FC533A" w:rsidP="00F12AC1">
            <w:pPr>
              <w:rPr>
                <w:rFonts w:ascii="Arial" w:hAnsi="Arial" w:cs="Arial"/>
                <w:sz w:val="20"/>
                <w:szCs w:val="20"/>
              </w:rPr>
            </w:pPr>
            <w:r w:rsidRPr="0087435B">
              <w:rPr>
                <w:rFonts w:ascii="Arial" w:hAnsi="Arial" w:cs="Arial"/>
                <w:sz w:val="20"/>
                <w:szCs w:val="20"/>
              </w:rPr>
              <w:t>Khoản 2 Điều 8 Thông tư số 70/2022/TT-BTC quy định về quản trị rủi ro, kiểm soát nội bộ và kiểm toán nội bộ của doanh nghiệp bảo hiểm, doanh nghiệp tái bảo hiểm, chi nhánh doanh nghiệp bảo hiểm phi nhân thọ nước ngoài, chi nhánh doanh nghiệp tái bảo hiểm nước ngoài.</w:t>
            </w:r>
          </w:p>
        </w:tc>
      </w:tr>
    </w:tbl>
    <w:p w:rsidR="00642AAD" w:rsidRPr="0087435B" w:rsidRDefault="00FC533A" w:rsidP="0087435B">
      <w:pPr>
        <w:spacing w:after="120"/>
        <w:ind w:firstLine="720"/>
        <w:jc w:val="both"/>
        <w:rPr>
          <w:rFonts w:ascii="Arial" w:hAnsi="Arial" w:cs="Arial"/>
          <w:sz w:val="20"/>
          <w:szCs w:val="20"/>
        </w:rPr>
      </w:pPr>
      <w:bookmarkStart w:id="1" w:name="bookmark1"/>
      <w:r w:rsidRPr="0087435B">
        <w:rPr>
          <w:rFonts w:ascii="Arial" w:hAnsi="Arial" w:cs="Arial"/>
          <w:b/>
          <w:bCs/>
          <w:sz w:val="20"/>
          <w:szCs w:val="20"/>
        </w:rPr>
        <w:t xml:space="preserve">Phần II: </w:t>
      </w:r>
      <w:bookmarkEnd w:id="1"/>
      <w:r w:rsidRPr="0087435B">
        <w:rPr>
          <w:rFonts w:ascii="Arial" w:hAnsi="Arial" w:cs="Arial"/>
          <w:b/>
          <w:bCs/>
          <w:sz w:val="20"/>
          <w:szCs w:val="20"/>
        </w:rPr>
        <w:t>CHI TIẾT NỘI DUNG CHẾ ĐỘ BÁO CÁO ĐỊNH KỲ</w:t>
      </w:r>
    </w:p>
    <w:p w:rsidR="00642AAD" w:rsidRPr="0087435B" w:rsidRDefault="00FC533A" w:rsidP="0087435B">
      <w:pPr>
        <w:spacing w:after="120"/>
        <w:ind w:firstLine="720"/>
        <w:jc w:val="both"/>
        <w:rPr>
          <w:rFonts w:ascii="Arial" w:hAnsi="Arial" w:cs="Arial"/>
          <w:sz w:val="20"/>
          <w:szCs w:val="20"/>
        </w:rPr>
      </w:pPr>
      <w:bookmarkStart w:id="2" w:name="bookmark2"/>
      <w:r w:rsidRPr="0087435B">
        <w:rPr>
          <w:rFonts w:ascii="Arial" w:hAnsi="Arial" w:cs="Arial"/>
          <w:b/>
          <w:bCs/>
          <w:sz w:val="20"/>
          <w:szCs w:val="20"/>
        </w:rPr>
        <w:t>1. Tên báo cáo: Báo cáo quản trị rủi ro</w:t>
      </w:r>
      <w:bookmarkEnd w:id="2"/>
    </w:p>
    <w:p w:rsidR="00642AAD" w:rsidRPr="0087435B" w:rsidRDefault="00FC533A" w:rsidP="0087435B">
      <w:pPr>
        <w:spacing w:after="120"/>
        <w:ind w:firstLine="720"/>
        <w:jc w:val="both"/>
        <w:rPr>
          <w:rFonts w:ascii="Arial" w:hAnsi="Arial" w:cs="Arial"/>
          <w:sz w:val="20"/>
          <w:szCs w:val="20"/>
        </w:rPr>
      </w:pPr>
      <w:r w:rsidRPr="0087435B">
        <w:rPr>
          <w:rFonts w:ascii="Arial" w:hAnsi="Arial" w:cs="Arial"/>
          <w:sz w:val="20"/>
          <w:szCs w:val="20"/>
        </w:rPr>
        <w:t>1.1. Đối tượng thực hiện báo cáo: Doanh nghiệp bảo hiểm</w:t>
      </w: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sz w:val="20"/>
          <w:szCs w:val="20"/>
        </w:rPr>
        <w:t>1.2. Cơ quan nhận báo cáo: Bộ Tài chính (Cục Quản lý, giám sát bảo hiểm)</w:t>
      </w:r>
    </w:p>
    <w:p w:rsidR="00642AAD" w:rsidRPr="0087435B" w:rsidRDefault="00FC533A" w:rsidP="0087435B">
      <w:pPr>
        <w:spacing w:after="120"/>
        <w:ind w:firstLine="720"/>
        <w:jc w:val="both"/>
        <w:rPr>
          <w:rFonts w:ascii="Arial" w:hAnsi="Arial" w:cs="Arial"/>
          <w:sz w:val="20"/>
          <w:szCs w:val="20"/>
        </w:rPr>
      </w:pPr>
      <w:r w:rsidRPr="0087435B">
        <w:rPr>
          <w:rFonts w:ascii="Arial" w:hAnsi="Arial" w:cs="Arial"/>
          <w:sz w:val="20"/>
          <w:szCs w:val="20"/>
        </w:rPr>
        <w:t>1.3. Tần suất thực hiện báo cáo: Hàng năm</w:t>
      </w:r>
    </w:p>
    <w:p w:rsidR="00FC533A" w:rsidRPr="0087435B" w:rsidRDefault="00FC533A" w:rsidP="0087435B">
      <w:pPr>
        <w:spacing w:after="120"/>
        <w:ind w:firstLine="720"/>
        <w:jc w:val="both"/>
        <w:rPr>
          <w:rFonts w:ascii="Arial" w:hAnsi="Arial" w:cs="Arial"/>
          <w:sz w:val="20"/>
          <w:szCs w:val="20"/>
        </w:rPr>
      </w:pPr>
      <w:r w:rsidRPr="0087435B">
        <w:rPr>
          <w:rFonts w:ascii="Arial" w:hAnsi="Arial" w:cs="Arial"/>
          <w:sz w:val="20"/>
          <w:szCs w:val="20"/>
        </w:rPr>
        <w:t>1.4. Văn bản quy định chế độ báo cáo: Khoản 2 Điều 8 Thông tư số 70/2022/TT-BTC quy định về quản trị rủi ro, kiểm soát nội bộ và kiểm toán nội bộ của doanh nghiệp bảo hiểm, doanh nghiệp tái bảo hiểm, chi nhánh doanh nghiệp bảo hiểm phi nhân thọ nước ngoài, chi nhánh doanh nghiệp tái bảo hiểm nước ngoài.</w:t>
      </w:r>
    </w:p>
    <w:sectPr w:rsidR="00FC533A" w:rsidRPr="0087435B" w:rsidSect="0087435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A1B" w:rsidRDefault="00F47A1B" w:rsidP="0087435B">
      <w:r>
        <w:separator/>
      </w:r>
    </w:p>
  </w:endnote>
  <w:endnote w:type="continuationSeparator" w:id="0">
    <w:p w:rsidR="00F47A1B" w:rsidRDefault="00F47A1B" w:rsidP="0087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A1B" w:rsidRDefault="00F47A1B" w:rsidP="0087435B">
      <w:r>
        <w:separator/>
      </w:r>
    </w:p>
  </w:footnote>
  <w:footnote w:type="continuationSeparator" w:id="0">
    <w:p w:rsidR="00F47A1B" w:rsidRDefault="00F47A1B" w:rsidP="00874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5B"/>
    <w:rsid w:val="00026E43"/>
    <w:rsid w:val="00261791"/>
    <w:rsid w:val="002C28FB"/>
    <w:rsid w:val="0039220C"/>
    <w:rsid w:val="004B0842"/>
    <w:rsid w:val="00642AAD"/>
    <w:rsid w:val="0087435B"/>
    <w:rsid w:val="00DE4075"/>
    <w:rsid w:val="00EB7DFF"/>
    <w:rsid w:val="00F12AC1"/>
    <w:rsid w:val="00F47A1B"/>
    <w:rsid w:val="00FC53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2AEACDF-5F4E-42FE-A08B-91E47A39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35B"/>
    <w:pPr>
      <w:tabs>
        <w:tab w:val="center" w:pos="4680"/>
        <w:tab w:val="right" w:pos="9360"/>
      </w:tabs>
    </w:pPr>
  </w:style>
  <w:style w:type="character" w:customStyle="1" w:styleId="HeaderChar">
    <w:name w:val="Header Char"/>
    <w:basedOn w:val="DefaultParagraphFont"/>
    <w:link w:val="Header"/>
    <w:uiPriority w:val="99"/>
    <w:rsid w:val="0087435B"/>
    <w:rPr>
      <w:sz w:val="24"/>
      <w:szCs w:val="24"/>
    </w:rPr>
  </w:style>
  <w:style w:type="paragraph" w:styleId="Footer">
    <w:name w:val="footer"/>
    <w:basedOn w:val="Normal"/>
    <w:link w:val="FooterChar"/>
    <w:uiPriority w:val="99"/>
    <w:unhideWhenUsed/>
    <w:rsid w:val="0087435B"/>
    <w:pPr>
      <w:tabs>
        <w:tab w:val="center" w:pos="4680"/>
        <w:tab w:val="right" w:pos="9360"/>
      </w:tabs>
    </w:pPr>
  </w:style>
  <w:style w:type="character" w:customStyle="1" w:styleId="FooterChar">
    <w:name w:val="Footer Char"/>
    <w:basedOn w:val="DefaultParagraphFont"/>
    <w:link w:val="Footer"/>
    <w:uiPriority w:val="99"/>
    <w:rsid w:val="00874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2024-02-21T03:52:00Z</dcterms:created>
  <dcterms:modified xsi:type="dcterms:W3CDTF">2024-02-21T03:52:00Z</dcterms:modified>
</cp:coreProperties>
</file>