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4" w:type="dxa"/>
        <w:jc w:val="center"/>
        <w:tblLayout w:type="fixed"/>
        <w:tblLook w:val="0000" w:firstRow="0" w:lastRow="0" w:firstColumn="0" w:lastColumn="0" w:noHBand="0" w:noVBand="0"/>
      </w:tblPr>
      <w:tblGrid>
        <w:gridCol w:w="2869"/>
        <w:gridCol w:w="6095"/>
      </w:tblGrid>
      <w:tr w:rsidR="008847ED" w:rsidRPr="00252225" w14:paraId="7F337155" w14:textId="77777777" w:rsidTr="00DA7D60">
        <w:trPr>
          <w:cantSplit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3A5DCEF" w14:textId="053D6892" w:rsidR="008847ED" w:rsidRPr="00252225" w:rsidRDefault="008847ED" w:rsidP="0025222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CHÍNH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PHỦ</w:t>
            </w:r>
          </w:p>
          <w:p w14:paraId="5D1972C5" w14:textId="6E7AAD93" w:rsidR="008847ED" w:rsidRPr="00252225" w:rsidRDefault="00E668DA" w:rsidP="0025222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  <w:t>________</w:t>
            </w:r>
          </w:p>
          <w:p w14:paraId="383D38B9" w14:textId="21A19CE8" w:rsidR="008847ED" w:rsidRPr="00252225" w:rsidRDefault="008847ED" w:rsidP="0025222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sz w:val="20"/>
                <w:szCs w:val="20"/>
                <w:lang w:val="nl-NL"/>
              </w:rPr>
              <w:t>Số:</w:t>
            </w:r>
            <w:r w:rsidR="00252225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8350FA" w:rsidRPr="00252225">
              <w:rPr>
                <w:rFonts w:ascii="Arial" w:hAnsi="Arial" w:cs="Arial"/>
                <w:sz w:val="20"/>
                <w:szCs w:val="20"/>
                <w:lang w:val="nl-NL"/>
              </w:rPr>
              <w:t>66</w:t>
            </w:r>
            <w:r w:rsidRPr="00252225">
              <w:rPr>
                <w:rFonts w:ascii="Arial" w:hAnsi="Arial" w:cs="Arial"/>
                <w:sz w:val="20"/>
                <w:szCs w:val="20"/>
                <w:lang w:val="nl-NL"/>
              </w:rPr>
              <w:t>/2022/NĐ-CP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FB5EBCC" w14:textId="1E4E5B5B" w:rsidR="008847ED" w:rsidRPr="00252225" w:rsidRDefault="008847ED" w:rsidP="0025222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CỘNG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HOÀ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XÃ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HỘI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CHỦ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NGHĨA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VIỆT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NAM</w:t>
            </w:r>
          </w:p>
          <w:p w14:paraId="2123BBBD" w14:textId="6C6B6EDF" w:rsidR="008847ED" w:rsidRPr="00252225" w:rsidRDefault="008847ED" w:rsidP="0025222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Độc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lập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Tự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do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Hạnh</w:t>
            </w:r>
            <w:r w:rsid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phúc</w:t>
            </w:r>
          </w:p>
          <w:p w14:paraId="4EC5ED41" w14:textId="5A13EFDF" w:rsidR="00E668DA" w:rsidRPr="00252225" w:rsidRDefault="00252225" w:rsidP="00252225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</w:pPr>
            <w:r w:rsidRPr="00252225">
              <w:rPr>
                <w:rFonts w:ascii="Arial" w:hAnsi="Arial" w:cs="Arial"/>
                <w:bCs/>
                <w:sz w:val="20"/>
                <w:szCs w:val="20"/>
                <w:vertAlign w:val="superscript"/>
                <w:lang w:val="nl-NL"/>
              </w:rPr>
              <w:t>________________________</w:t>
            </w:r>
          </w:p>
          <w:p w14:paraId="003B54DE" w14:textId="2C2E58E2" w:rsidR="008847ED" w:rsidRPr="00252225" w:rsidRDefault="008847ED" w:rsidP="00252225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  <w:lang w:val="nl-NL"/>
              </w:rPr>
            </w:pP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Hà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Nội,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ngày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="008350FA"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20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tháng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="00A15999"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9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năm</w:t>
            </w:r>
            <w:r w:rsid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2022</w:t>
            </w:r>
          </w:p>
        </w:tc>
      </w:tr>
    </w:tbl>
    <w:p w14:paraId="1F81FEE2" w14:textId="77777777" w:rsidR="001B61E6" w:rsidRPr="00252225" w:rsidRDefault="001B61E6" w:rsidP="00252225">
      <w:pPr>
        <w:adjustRightInd w:val="0"/>
        <w:snapToGrid w:val="0"/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22DC5C7F" w14:textId="77777777" w:rsidR="00E034DA" w:rsidRPr="00252225" w:rsidRDefault="00E034DA" w:rsidP="00252225"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</w:p>
    <w:p w14:paraId="00C27246" w14:textId="77E296E9" w:rsidR="008847ED" w:rsidRPr="00252225" w:rsidRDefault="008847ED" w:rsidP="00252225"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ĐỊNH</w:t>
      </w:r>
    </w:p>
    <w:p w14:paraId="3EA6AAA4" w14:textId="5BCD1A06" w:rsidR="008847ED" w:rsidRPr="00252225" w:rsidRDefault="008847ED" w:rsidP="00252225"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Quy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và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cơ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cấu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tổ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Ủy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ban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color w:val="000000"/>
          <w:sz w:val="20"/>
          <w:szCs w:val="20"/>
          <w:lang w:val="nl-NL"/>
        </w:rPr>
        <w:t>tộc</w:t>
      </w:r>
    </w:p>
    <w:p w14:paraId="03127109" w14:textId="78AA2E9D" w:rsidR="00E668DA" w:rsidRPr="00252225" w:rsidRDefault="00E668DA" w:rsidP="00252225">
      <w:pPr>
        <w:adjustRightInd w:val="0"/>
        <w:snapToGrid w:val="0"/>
        <w:jc w:val="center"/>
        <w:rPr>
          <w:rFonts w:ascii="Arial" w:hAnsi="Arial" w:cs="Arial"/>
          <w:bCs/>
          <w:color w:val="000000"/>
          <w:sz w:val="20"/>
          <w:szCs w:val="20"/>
          <w:vertAlign w:val="superscript"/>
          <w:lang w:val="nl-NL"/>
        </w:rPr>
      </w:pPr>
      <w:r w:rsidRPr="00252225">
        <w:rPr>
          <w:rFonts w:ascii="Arial" w:hAnsi="Arial" w:cs="Arial"/>
          <w:bCs/>
          <w:color w:val="000000"/>
          <w:sz w:val="20"/>
          <w:szCs w:val="20"/>
          <w:vertAlign w:val="superscript"/>
          <w:lang w:val="nl-NL"/>
        </w:rPr>
        <w:t>__________</w:t>
      </w:r>
    </w:p>
    <w:p w14:paraId="33CB3539" w14:textId="77777777" w:rsidR="00252225" w:rsidRPr="00252225" w:rsidRDefault="00252225" w:rsidP="00252225">
      <w:pPr>
        <w:adjustRightInd w:val="0"/>
        <w:snapToGrid w:val="0"/>
        <w:jc w:val="center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nl-NL"/>
        </w:rPr>
      </w:pPr>
    </w:p>
    <w:p w14:paraId="17DC5D89" w14:textId="371A79E1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19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6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2015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;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sửa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đổi,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bổ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sung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một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C</w:t>
      </w:r>
      <w:r w:rsidRPr="00252225">
        <w:rPr>
          <w:rFonts w:ascii="Arial" w:hAnsi="Arial" w:cs="Arial"/>
          <w:i/>
          <w:sz w:val="20"/>
          <w:szCs w:val="20"/>
          <w:lang w:val="nl-NL"/>
        </w:rPr>
        <w:t>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Luật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c</w:t>
      </w:r>
      <w:r w:rsidRPr="00252225">
        <w:rPr>
          <w:rFonts w:ascii="Arial" w:hAnsi="Arial" w:cs="Arial"/>
          <w:i/>
          <w:sz w:val="20"/>
          <w:szCs w:val="20"/>
          <w:lang w:val="nl-NL"/>
        </w:rPr>
        <w:t>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phương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22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11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i/>
          <w:sz w:val="20"/>
          <w:szCs w:val="20"/>
          <w:lang w:val="nl-NL"/>
        </w:rPr>
        <w:t>2019</w:t>
      </w:r>
      <w:r w:rsidRPr="00252225">
        <w:rPr>
          <w:rFonts w:ascii="Arial" w:hAnsi="Arial" w:cs="Arial"/>
          <w:i/>
          <w:sz w:val="20"/>
          <w:szCs w:val="20"/>
          <w:lang w:val="nl-NL"/>
        </w:rPr>
        <w:t>;</w:t>
      </w:r>
    </w:p>
    <w:p w14:paraId="7BFD18EC" w14:textId="6A44A3A9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123/2016/NĐ-CP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01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9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2016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vụ,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hạn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cấu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b</w:t>
      </w:r>
      <w:r w:rsidRPr="00252225">
        <w:rPr>
          <w:rFonts w:ascii="Arial" w:hAnsi="Arial" w:cs="Arial"/>
          <w:i/>
          <w:sz w:val="20"/>
          <w:szCs w:val="20"/>
          <w:lang w:val="nl-NL"/>
        </w:rPr>
        <w:t>ộ,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ngang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i/>
          <w:sz w:val="20"/>
          <w:szCs w:val="20"/>
          <w:lang w:val="nl-NL"/>
        </w:rPr>
        <w:t>b</w:t>
      </w:r>
      <w:r w:rsidRPr="00252225">
        <w:rPr>
          <w:rFonts w:ascii="Arial" w:hAnsi="Arial" w:cs="Arial"/>
          <w:i/>
          <w:sz w:val="20"/>
          <w:szCs w:val="20"/>
          <w:lang w:val="nl-NL"/>
        </w:rPr>
        <w:t>ộ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101/2020/NĐ-CP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28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8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2020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sửa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đổi,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bổ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sung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một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123/2016/NĐ-CP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01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9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2016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quy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và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cơ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cấu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bộ,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cơ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quan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ngang</w:t>
      </w:r>
      <w:r w:rsidR="00252225">
        <w:rPr>
          <w:rFonts w:ascii="Arial" w:hAnsi="Arial" w:cs="Arial"/>
          <w:i/>
          <w:spacing w:val="-4"/>
          <w:sz w:val="20"/>
          <w:szCs w:val="20"/>
          <w:lang w:val="nl-NL"/>
        </w:rPr>
        <w:t xml:space="preserve"> </w:t>
      </w:r>
      <w:r w:rsidR="00EE333F" w:rsidRPr="00252225">
        <w:rPr>
          <w:rFonts w:ascii="Arial" w:hAnsi="Arial" w:cs="Arial"/>
          <w:i/>
          <w:spacing w:val="-4"/>
          <w:sz w:val="20"/>
          <w:szCs w:val="20"/>
          <w:lang w:val="nl-NL"/>
        </w:rPr>
        <w:t>bộ;</w:t>
      </w:r>
    </w:p>
    <w:p w14:paraId="458A8F50" w14:textId="6AA4A57D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>Căn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cứ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số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05/2011/NĐ-CP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ngày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14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01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2011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về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Công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tác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tộc;</w:t>
      </w:r>
    </w:p>
    <w:p w14:paraId="6FA8C088" w14:textId="4AF24422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>Theo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đề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Bộ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trưởng,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Ủy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tộc;</w:t>
      </w:r>
    </w:p>
    <w:p w14:paraId="37EF24C2" w14:textId="035A395B" w:rsidR="008847ED" w:rsidRPr="00252225" w:rsidRDefault="008847ED" w:rsidP="00DA7D60">
      <w:pPr>
        <w:adjustRightInd w:val="0"/>
        <w:snapToGrid w:val="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252225">
        <w:rPr>
          <w:rFonts w:ascii="Arial" w:hAnsi="Arial" w:cs="Arial"/>
          <w:i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phủ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hành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vụ,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hạn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và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cơ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cấu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tổ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của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Ủy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ban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Dân</w:t>
      </w:r>
      <w:r w:rsidR="00252225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i/>
          <w:sz w:val="20"/>
          <w:szCs w:val="20"/>
          <w:lang w:val="nl-NL"/>
        </w:rPr>
        <w:t>tộc.</w:t>
      </w:r>
    </w:p>
    <w:p w14:paraId="39426E50" w14:textId="77777777" w:rsidR="00E668DA" w:rsidRPr="00252225" w:rsidRDefault="00E668DA" w:rsidP="00DA7D60">
      <w:pPr>
        <w:adjustRightInd w:val="0"/>
        <w:snapToGrid w:val="0"/>
        <w:ind w:firstLine="720"/>
        <w:jc w:val="both"/>
        <w:rPr>
          <w:rFonts w:ascii="Arial" w:hAnsi="Arial" w:cs="Arial"/>
          <w:i/>
          <w:sz w:val="20"/>
          <w:szCs w:val="20"/>
          <w:lang w:val="nl-NL"/>
        </w:rPr>
      </w:pPr>
    </w:p>
    <w:p w14:paraId="6C61E9FC" w14:textId="3AAE39E2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1.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Vị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trí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và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năng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</w:p>
    <w:p w14:paraId="035A5BA4" w14:textId="2AF9194D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là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ngang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sz w:val="20"/>
          <w:szCs w:val="20"/>
          <w:lang w:val="nl-NL"/>
        </w:rPr>
        <w:t>b</w:t>
      </w:r>
      <w:r w:rsidRPr="00252225">
        <w:rPr>
          <w:rFonts w:ascii="Arial" w:hAnsi="Arial" w:cs="Arial"/>
          <w:sz w:val="20"/>
          <w:szCs w:val="20"/>
          <w:lang w:val="nl-NL"/>
        </w:rPr>
        <w:t>ộ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phủ,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thực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năng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nước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về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công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trong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phạm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cả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nước;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nước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dịch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công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thuộc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phạm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theo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pháp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luật.</w:t>
      </w:r>
    </w:p>
    <w:p w14:paraId="3C7A560E" w14:textId="36F56A57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252225">
        <w:rPr>
          <w:rFonts w:ascii="Arial" w:hAnsi="Arial" w:cs="Arial"/>
          <w:b/>
          <w:bCs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2.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vụ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và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bCs/>
          <w:sz w:val="20"/>
          <w:szCs w:val="20"/>
          <w:lang w:val="nl-NL"/>
        </w:rPr>
        <w:t>hạn</w:t>
      </w:r>
    </w:p>
    <w:p w14:paraId="3C4428C2" w14:textId="24DE14FE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pacing w:val="-4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ban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thực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hiện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quy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tại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123/2016/NĐ-CP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ngày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01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9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năm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2016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cấu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tổ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sz w:val="20"/>
          <w:szCs w:val="20"/>
          <w:lang w:val="nl-NL"/>
        </w:rPr>
        <w:t>b</w:t>
      </w:r>
      <w:r w:rsidRPr="00252225">
        <w:rPr>
          <w:rFonts w:ascii="Arial" w:hAnsi="Arial" w:cs="Arial"/>
          <w:sz w:val="20"/>
          <w:szCs w:val="20"/>
          <w:lang w:val="nl-NL"/>
        </w:rPr>
        <w:t>ộ,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ngang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E2DF8" w:rsidRPr="00252225">
        <w:rPr>
          <w:rFonts w:ascii="Arial" w:hAnsi="Arial" w:cs="Arial"/>
          <w:sz w:val="20"/>
          <w:szCs w:val="20"/>
          <w:lang w:val="nl-NL"/>
        </w:rPr>
        <w:t>b</w:t>
      </w:r>
      <w:r w:rsidRPr="00252225">
        <w:rPr>
          <w:rFonts w:ascii="Arial" w:hAnsi="Arial" w:cs="Arial"/>
          <w:sz w:val="20"/>
          <w:szCs w:val="20"/>
          <w:lang w:val="nl-NL"/>
        </w:rPr>
        <w:t>ộ;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101/2020/NĐ-CP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ngày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28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8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năm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2020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8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sửa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đổi,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bổ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sung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một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123/2016/NĐ-CP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những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thể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sau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đây:</w:t>
      </w:r>
    </w:p>
    <w:p w14:paraId="1DDC73DE" w14:textId="44AE22D4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lệnh,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phủ.</w:t>
      </w:r>
    </w:p>
    <w:p w14:paraId="2D55D9E0" w14:textId="78F57FC1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070AAD"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bCs/>
          <w:iCs/>
          <w:color w:val="000000"/>
          <w:sz w:val="20"/>
          <w:szCs w:val="20"/>
        </w:rPr>
        <w:t>Thủ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bCs/>
          <w:iCs/>
          <w:color w:val="000000"/>
          <w:sz w:val="20"/>
          <w:szCs w:val="20"/>
        </w:rPr>
        <w:t>tướng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bCs/>
          <w:iCs/>
          <w:color w:val="000000"/>
          <w:sz w:val="20"/>
          <w:szCs w:val="20"/>
        </w:rPr>
        <w:t>Chính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bCs/>
          <w:iCs/>
          <w:color w:val="000000"/>
          <w:sz w:val="20"/>
          <w:szCs w:val="20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lược,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phát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triển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trung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hạn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</w:t>
      </w:r>
      <w:r w:rsidRPr="00252225">
        <w:rPr>
          <w:rFonts w:ascii="Arial" w:hAnsi="Arial" w:cs="Arial"/>
          <w:color w:val="000000"/>
          <w:sz w:val="20"/>
          <w:szCs w:val="20"/>
        </w:rPr>
        <w:t>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trọng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nước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tộc.</w:t>
      </w:r>
    </w:p>
    <w:p w14:paraId="51943220" w14:textId="60657D32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3.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7756B0" w:rsidRPr="00252225">
        <w:rPr>
          <w:rFonts w:ascii="Arial" w:hAnsi="Arial" w:cs="Arial"/>
          <w:bCs/>
          <w:iCs/>
          <w:color w:val="000000"/>
          <w:sz w:val="20"/>
          <w:szCs w:val="20"/>
        </w:rPr>
        <w:t>để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bCs/>
          <w:iCs/>
          <w:color w:val="000000"/>
          <w:sz w:val="20"/>
          <w:szCs w:val="20"/>
        </w:rPr>
        <w:t>trình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bCs/>
          <w:iCs/>
          <w:color w:val="000000"/>
          <w:sz w:val="20"/>
          <w:szCs w:val="20"/>
        </w:rPr>
        <w:t>Quốc</w:t>
      </w:r>
      <w:r w:rsidR="00252225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bCs/>
          <w:iCs/>
          <w:color w:val="000000"/>
          <w:sz w:val="20"/>
          <w:szCs w:val="20"/>
        </w:rPr>
        <w:t>hội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7756B0" w:rsidRPr="00252225">
        <w:rPr>
          <w:rFonts w:ascii="Arial" w:hAnsi="Arial" w:cs="Arial"/>
          <w:color w:val="000000"/>
          <w:sz w:val="20"/>
          <w:szCs w:val="20"/>
        </w:rPr>
        <w:t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chí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xác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ph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ầ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danh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mục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phần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  <w:lang w:val="vi-VN"/>
        </w:rPr>
        <w:t>Nam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color w:val="000000"/>
          <w:sz w:val="20"/>
          <w:szCs w:val="20"/>
        </w:rPr>
        <w:t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color w:val="000000"/>
          <w:sz w:val="20"/>
          <w:szCs w:val="20"/>
        </w:rPr>
        <w:t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Pr="00252225">
        <w:rPr>
          <w:rFonts w:ascii="Arial" w:hAnsi="Arial" w:cs="Arial"/>
          <w:color w:val="000000"/>
          <w:sz w:val="20"/>
          <w:szCs w:val="20"/>
        </w:rPr>
        <w:t>á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thù,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chư</w:t>
      </w:r>
      <w:r w:rsidRPr="00252225">
        <w:rPr>
          <w:rFonts w:ascii="Arial" w:hAnsi="Arial" w:cs="Arial"/>
          <w:color w:val="000000"/>
          <w:sz w:val="20"/>
          <w:szCs w:val="20"/>
        </w:rPr>
        <w:t>ơn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</w:t>
      </w:r>
      <w:r w:rsidRPr="00252225">
        <w:rPr>
          <w:rFonts w:ascii="Arial" w:hAnsi="Arial" w:cs="Arial"/>
          <w:color w:val="000000"/>
          <w:sz w:val="20"/>
          <w:szCs w:val="20"/>
        </w:rPr>
        <w:t>ã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</w:t>
      </w:r>
      <w:r w:rsidRPr="00252225">
        <w:rPr>
          <w:rFonts w:ascii="Arial" w:hAnsi="Arial" w:cs="Arial"/>
          <w:color w:val="000000"/>
          <w:sz w:val="20"/>
          <w:szCs w:val="20"/>
        </w:rPr>
        <w:t>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</w:t>
      </w:r>
      <w:r w:rsidRPr="00252225">
        <w:rPr>
          <w:rFonts w:ascii="Arial" w:hAnsi="Arial" w:cs="Arial"/>
          <w:color w:val="000000"/>
          <w:sz w:val="20"/>
          <w:szCs w:val="20"/>
        </w:rPr>
        <w:t>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núi,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giới,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toàn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khu;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</w:t>
      </w:r>
      <w:r w:rsidRPr="00252225">
        <w:rPr>
          <w:rFonts w:ascii="Arial" w:hAnsi="Arial" w:cs="Arial"/>
          <w:color w:val="000000"/>
          <w:sz w:val="20"/>
          <w:szCs w:val="20"/>
        </w:rPr>
        <w:t>ỗ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ổ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Pr="00252225">
        <w:rPr>
          <w:rFonts w:ascii="Arial" w:hAnsi="Arial" w:cs="Arial"/>
          <w:color w:val="000000"/>
          <w:sz w:val="20"/>
          <w:szCs w:val="20"/>
        </w:rPr>
        <w:t>ố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</w:t>
      </w:r>
      <w:r w:rsidRPr="00252225">
        <w:rPr>
          <w:rFonts w:ascii="Arial" w:hAnsi="Arial" w:cs="Arial"/>
          <w:color w:val="000000"/>
          <w:sz w:val="20"/>
          <w:szCs w:val="20"/>
        </w:rPr>
        <w:t>ỗ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</w:t>
      </w:r>
      <w:r w:rsidRPr="00252225">
        <w:rPr>
          <w:rFonts w:ascii="Arial" w:hAnsi="Arial" w:cs="Arial"/>
          <w:color w:val="000000"/>
          <w:sz w:val="20"/>
          <w:szCs w:val="20"/>
        </w:rPr>
        <w:t>â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kh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>ă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n;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sách,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bảo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>ồ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đối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nhóm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rất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ít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người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>,</w:t>
      </w:r>
      <w:r w:rsidR="0025222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thiểu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còn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gặp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nhiều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khó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khăn,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có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khó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khăn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đặc</w:t>
      </w:r>
      <w:r w:rsidR="00252225">
        <w:rPr>
          <w:rFonts w:ascii="Arial" w:hAnsi="Arial" w:cs="Arial"/>
          <w:spacing w:val="-4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4"/>
          <w:sz w:val="20"/>
          <w:szCs w:val="20"/>
          <w:lang w:val="nl-NL"/>
        </w:rPr>
        <w:t>thù</w:t>
      </w:r>
      <w:r w:rsidR="00974266" w:rsidRPr="00252225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</w:p>
    <w:p w14:paraId="7CF9571A" w14:textId="0E61BEA9" w:rsidR="00070AAD" w:rsidRPr="00252225" w:rsidRDefault="001A27A1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pacing w:val="-2"/>
          <w:sz w:val="20"/>
          <w:szCs w:val="20"/>
        </w:rPr>
        <w:t>4</w:t>
      </w:r>
      <w:r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Trình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phủ,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Thủ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tướng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phủ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người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có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uy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tín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đồng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số;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hợp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ngành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liên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quan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trình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cấp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có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thẩm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quyền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hành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phát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triển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nguồn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nhân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lực,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hút,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tăng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cường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chức,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viên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chức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tại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số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miền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núi;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nâng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cao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trí,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tạo,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bồi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dưỡng,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sử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dụng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bộ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là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người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số</w:t>
      </w:r>
      <w:r w:rsidR="007756B0" w:rsidRPr="00252225">
        <w:rPr>
          <w:rFonts w:ascii="Arial" w:hAnsi="Arial" w:cs="Arial"/>
          <w:sz w:val="20"/>
          <w:szCs w:val="20"/>
        </w:rPr>
        <w:t>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đặc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thù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đối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với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cán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bộ,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chức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trong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hệ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thống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cơ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quan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làm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7756B0" w:rsidRPr="00252225">
        <w:rPr>
          <w:rFonts w:ascii="Arial" w:hAnsi="Arial" w:cs="Arial"/>
          <w:sz w:val="20"/>
          <w:szCs w:val="20"/>
        </w:rPr>
        <w:t>tộc;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để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đồng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thực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hiện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quyền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tiếng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nói,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chữ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viết,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giữ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gìn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bản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sắc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phong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tục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tập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quán,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truyền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thống,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hóa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của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mình;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chính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sách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đầu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tư,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phát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triển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cơ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sở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giáo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dục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đáp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ứng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công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tác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giáo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dục,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đào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tạo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cho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vùng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dân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tộc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thiểu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số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và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miền</w:t>
      </w:r>
      <w:r w:rsidR="00252225">
        <w:rPr>
          <w:rFonts w:ascii="Arial" w:hAnsi="Arial" w:cs="Arial"/>
          <w:sz w:val="20"/>
          <w:szCs w:val="20"/>
        </w:rPr>
        <w:t xml:space="preserve"> </w:t>
      </w:r>
      <w:r w:rsidR="00070AAD" w:rsidRPr="00252225">
        <w:rPr>
          <w:rFonts w:ascii="Arial" w:hAnsi="Arial" w:cs="Arial"/>
          <w:sz w:val="20"/>
          <w:szCs w:val="20"/>
        </w:rPr>
        <w:t>núi.</w:t>
      </w:r>
    </w:p>
    <w:p w14:paraId="56F6CF9D" w14:textId="5D06EBF4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lastRenderedPageBreak/>
        <w:t>5.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công.</w:t>
      </w:r>
    </w:p>
    <w:p w14:paraId="55878E8E" w14:textId="3142773D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6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núi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núi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tiêu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chí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xác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color w:val="000000"/>
          <w:sz w:val="20"/>
          <w:szCs w:val="20"/>
        </w:rPr>
        <w:t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thiểu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còn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gặp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nhiều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khó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khăn,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có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khó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khăn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đặc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974266" w:rsidRPr="00252225">
        <w:rPr>
          <w:rFonts w:ascii="Arial" w:hAnsi="Arial" w:cs="Arial"/>
          <w:sz w:val="20"/>
          <w:szCs w:val="20"/>
          <w:lang w:val="nl-NL"/>
        </w:rPr>
        <w:t>thù.</w:t>
      </w:r>
    </w:p>
    <w:p w14:paraId="4C74B33B" w14:textId="34F7E1B4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7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</w:t>
      </w:r>
      <w:r w:rsidRPr="00252225">
        <w:rPr>
          <w:rFonts w:ascii="Arial" w:hAnsi="Arial" w:cs="Arial"/>
          <w:color w:val="000000"/>
          <w:sz w:val="20"/>
          <w:szCs w:val="20"/>
        </w:rPr>
        <w:t>ồ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tỉnh,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bookmarkStart w:id="0" w:name="_Hlk111623041"/>
      <w:r w:rsidR="00896F40" w:rsidRPr="00252225">
        <w:rPr>
          <w:rFonts w:ascii="Arial" w:hAnsi="Arial" w:cs="Arial"/>
          <w:color w:val="000000"/>
          <w:sz w:val="20"/>
          <w:szCs w:val="20"/>
        </w:rPr>
        <w:t>tham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gia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xây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dựng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văn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bản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phạm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pháp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luật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liên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chính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sách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theo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về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văn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bản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phạm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pháp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luật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hiện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liên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96F40" w:rsidRPr="00252225">
        <w:rPr>
          <w:rFonts w:ascii="Arial" w:hAnsi="Arial" w:cs="Arial"/>
          <w:color w:val="000000"/>
          <w:sz w:val="20"/>
          <w:szCs w:val="20"/>
        </w:rPr>
        <w:t>quan</w:t>
      </w:r>
      <w:bookmarkEnd w:id="0"/>
      <w:r w:rsidR="00896F40" w:rsidRPr="00252225">
        <w:rPr>
          <w:rFonts w:ascii="Arial" w:hAnsi="Arial" w:cs="Arial"/>
          <w:color w:val="000000"/>
          <w:sz w:val="20"/>
          <w:szCs w:val="20"/>
        </w:rPr>
        <w:t>.</w:t>
      </w:r>
    </w:p>
    <w:p w14:paraId="340CA983" w14:textId="31B07979" w:rsidR="008847ED" w:rsidRPr="00252225" w:rsidRDefault="000C76AE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pacing w:val="-2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pacing w:val="-2"/>
          <w:sz w:val="20"/>
          <w:szCs w:val="20"/>
        </w:rPr>
        <w:t>8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trì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7756B0" w:rsidRPr="00252225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kết,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kết,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đánh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giá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việc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trương,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đường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lối,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Đảng,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đến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báo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cáo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phủ,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tướng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kỳ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đột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xuất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định;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đầu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mối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thống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nhất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dõi,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tộc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rà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soát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</w:rPr>
        <w:t>đôn</w:t>
      </w:r>
      <w:r w:rsidR="0025222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</w:rPr>
        <w:t>đốc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việc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ngang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địa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phư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</w:rPr>
        <w:t>ơn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g;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kiến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hành,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sửa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đổi,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bổ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sung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hoàn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thiện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cho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phù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tình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yêu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cầu,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Đảng,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2"/>
          <w:sz w:val="20"/>
          <w:szCs w:val="20"/>
          <w:lang w:val="vi-VN"/>
        </w:rPr>
        <w:t>nước.</w:t>
      </w:r>
    </w:p>
    <w:p w14:paraId="15E76D61" w14:textId="7E88DC8C" w:rsidR="008847ED" w:rsidRPr="00252225" w:rsidRDefault="00895626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9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hoạch,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6D3453"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núi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đề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xuất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và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tham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gia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thẩm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các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chương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trình,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dự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án,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đề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8847ED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án</w:t>
      </w:r>
      <w:r w:rsidR="00C359BF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,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C359BF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="00C359BF" w:rsidRPr="00252225">
        <w:rPr>
          <w:rFonts w:ascii="Arial" w:hAnsi="Arial" w:cs="Arial"/>
          <w:color w:val="000000"/>
          <w:spacing w:val="-6"/>
          <w:sz w:val="20"/>
          <w:szCs w:val="20"/>
          <w:lang w:val="nl-NL"/>
        </w:rPr>
        <w:t>sách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="003B6E11" w:rsidRP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="003B6E11" w:rsidRP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="003B6E11" w:rsidRP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>đến</w:t>
      </w:r>
      <w:r w:rsidR="00252225">
        <w:rPr>
          <w:rFonts w:ascii="Arial" w:hAnsi="Arial" w:cs="Arial"/>
          <w:color w:val="000000"/>
          <w:spacing w:val="-6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núi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6A5BCD05" w14:textId="4266B54B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pacing w:val="-4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pacing w:val="-4"/>
          <w:sz w:val="20"/>
          <w:szCs w:val="20"/>
        </w:rPr>
        <w:t>1</w:t>
      </w:r>
      <w:r w:rsidR="00E42717" w:rsidRPr="00252225">
        <w:rPr>
          <w:rFonts w:ascii="Arial" w:hAnsi="Arial" w:cs="Arial"/>
          <w:color w:val="000000"/>
          <w:spacing w:val="-4"/>
          <w:sz w:val="20"/>
          <w:szCs w:val="20"/>
        </w:rPr>
        <w:t>0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đạo,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hướng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dẫn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chịu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trách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văn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bản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luật,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chiến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lược,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hoạch,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kế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hoạch,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sách,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chương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trình,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D27E76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chương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D27E76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D27E76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mục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D27E76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EB2A1B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="00EB2A1B"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gia,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trọng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gia,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định,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thị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đã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được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hoặc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phê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duyệt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pacing w:val="-4"/>
          <w:sz w:val="20"/>
          <w:szCs w:val="20"/>
          <w:lang w:val="vi-VN"/>
        </w:rPr>
        <w:t>tộc.</w:t>
      </w:r>
    </w:p>
    <w:p w14:paraId="5ED52E27" w14:textId="3BF8C1BC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</w:t>
      </w:r>
      <w:r w:rsidR="00E42717" w:rsidRPr="00252225">
        <w:rPr>
          <w:rFonts w:ascii="Arial" w:hAnsi="Arial" w:cs="Arial"/>
          <w:color w:val="000000"/>
          <w:sz w:val="20"/>
          <w:szCs w:val="20"/>
        </w:rPr>
        <w:t>1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dẫn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thể,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biểu,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trong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đồng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thưởng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thưởng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thể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tích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xuất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sắc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xuất,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gìn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ninh,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mẫu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Đảng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B61E6" w:rsidRPr="00252225">
        <w:rPr>
          <w:rFonts w:ascii="Arial" w:hAnsi="Arial" w:cs="Arial"/>
          <w:color w:val="000000"/>
          <w:sz w:val="20"/>
          <w:szCs w:val="20"/>
        </w:rPr>
        <w:t>núi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</w:p>
    <w:p w14:paraId="3358793E" w14:textId="29FE3105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</w:t>
      </w:r>
      <w:r w:rsidR="00E42717" w:rsidRPr="00252225">
        <w:rPr>
          <w:rFonts w:ascii="Arial" w:hAnsi="Arial" w:cs="Arial"/>
          <w:color w:val="000000"/>
          <w:sz w:val="20"/>
          <w:szCs w:val="20"/>
        </w:rPr>
        <w:t>2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hướng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dẫn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tỉnh,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huyện;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lưu,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đổi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giữa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người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nhằm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tăng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đoàn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Nam.</w:t>
      </w:r>
    </w:p>
    <w:p w14:paraId="643008A7" w14:textId="42369C85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</w:t>
      </w:r>
      <w:r w:rsidR="00E42717" w:rsidRPr="00252225">
        <w:rPr>
          <w:rFonts w:ascii="Arial" w:hAnsi="Arial" w:cs="Arial"/>
          <w:color w:val="000000"/>
          <w:sz w:val="20"/>
          <w:szCs w:val="20"/>
        </w:rPr>
        <w:t>3</w:t>
      </w:r>
      <w:r w:rsidRPr="00252225">
        <w:rPr>
          <w:rFonts w:ascii="Arial" w:hAnsi="Arial" w:cs="Arial"/>
          <w:color w:val="000000"/>
          <w:sz w:val="20"/>
          <w:szCs w:val="20"/>
        </w:rPr>
        <w:t>.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Chỉ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đạo,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uyên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Pr="00252225">
        <w:rPr>
          <w:rFonts w:ascii="Arial" w:hAnsi="Arial" w:cs="Arial"/>
          <w:color w:val="000000"/>
          <w:sz w:val="20"/>
          <w:szCs w:val="20"/>
        </w:rPr>
        <w:t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lối,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Đảng,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tục,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tốt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đẹp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tuyên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biến,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phố</w:t>
      </w:r>
      <w:r w:rsidRPr="00252225">
        <w:rPr>
          <w:rFonts w:ascii="Arial" w:hAnsi="Arial" w:cs="Arial"/>
          <w:color w:val="000000"/>
          <w:sz w:val="20"/>
          <w:szCs w:val="20"/>
        </w:rPr>
        <w:t>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Pr="00252225">
        <w:rPr>
          <w:rFonts w:ascii="Arial" w:hAnsi="Arial" w:cs="Arial"/>
          <w:color w:val="000000"/>
          <w:sz w:val="20"/>
          <w:szCs w:val="20"/>
        </w:rPr>
        <w:t>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tăng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đưa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núi,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tuy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kênh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thanh,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Internet;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giúp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Pr="00252225">
        <w:rPr>
          <w:rFonts w:ascii="Arial" w:hAnsi="Arial" w:cs="Arial"/>
          <w:color w:val="000000"/>
          <w:sz w:val="20"/>
          <w:szCs w:val="20"/>
        </w:rPr>
        <w:t>ố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</w:p>
    <w:p w14:paraId="21C8D34D" w14:textId="082ED535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</w:t>
      </w:r>
      <w:r w:rsidR="00E42717" w:rsidRPr="00252225">
        <w:rPr>
          <w:rFonts w:ascii="Arial" w:hAnsi="Arial" w:cs="Arial"/>
          <w:color w:val="000000"/>
          <w:sz w:val="20"/>
          <w:szCs w:val="20"/>
        </w:rPr>
        <w:t>4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cứu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khoa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học,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lược,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cấp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cứu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tiễn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ứng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dụng,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chuy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giao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khoa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học,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môi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trường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thiểu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A8" w:rsidRPr="00252225">
        <w:rPr>
          <w:rFonts w:ascii="Arial" w:hAnsi="Arial" w:cs="Arial"/>
          <w:color w:val="000000"/>
          <w:sz w:val="20"/>
          <w:szCs w:val="20"/>
        </w:rPr>
        <w:t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miền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núi;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ứng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dụng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tin</w:t>
      </w:r>
      <w:r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chuyển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đổi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số;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xây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dựng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hạ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tầng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kết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nối,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chia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sẻ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thông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tin,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dữ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liệu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trong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phạm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vi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ban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và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ngoài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ban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pacing w:val="-6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pacing w:val="-6"/>
          <w:sz w:val="20"/>
          <w:szCs w:val="20"/>
          <w:lang w:val="nl-NL"/>
        </w:rPr>
        <w:t>tộc.</w:t>
      </w:r>
      <w:r w:rsidR="00252225">
        <w:rPr>
          <w:rFonts w:ascii="Arial" w:hAnsi="Arial" w:cs="Arial"/>
          <w:sz w:val="20"/>
          <w:szCs w:val="20"/>
        </w:rPr>
        <w:t xml:space="preserve"> </w:t>
      </w:r>
    </w:p>
    <w:p w14:paraId="305EE247" w14:textId="4D73A40B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E42717" w:rsidRPr="00252225">
        <w:rPr>
          <w:rFonts w:ascii="Arial" w:hAnsi="Arial" w:cs="Arial"/>
          <w:color w:val="000000"/>
          <w:sz w:val="20"/>
          <w:szCs w:val="20"/>
        </w:rPr>
        <w:t>5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</w:t>
      </w:r>
      <w:r w:rsidRPr="00252225">
        <w:rPr>
          <w:rFonts w:ascii="Arial" w:hAnsi="Arial" w:cs="Arial"/>
          <w:color w:val="000000"/>
          <w:sz w:val="20"/>
          <w:szCs w:val="20"/>
        </w:rPr>
        <w:t>ợ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hút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nguồn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hỗ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</w:t>
      </w:r>
      <w:r w:rsidRPr="00252225">
        <w:rPr>
          <w:rFonts w:ascii="Arial" w:hAnsi="Arial" w:cs="Arial"/>
          <w:color w:val="000000"/>
          <w:sz w:val="20"/>
          <w:szCs w:val="20"/>
        </w:rPr>
        <w:t>ể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Pr="00252225">
        <w:rPr>
          <w:rFonts w:ascii="Arial" w:hAnsi="Arial" w:cs="Arial"/>
          <w:color w:val="000000"/>
          <w:sz w:val="20"/>
          <w:szCs w:val="20"/>
        </w:rPr>
        <w:t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núi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đạo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hoặc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tham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ngoài,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trợ,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đầu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tư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FEC" w:rsidRPr="00252225">
        <w:rPr>
          <w:rFonts w:ascii="Arial" w:hAnsi="Arial" w:cs="Arial"/>
          <w:color w:val="000000"/>
          <w:sz w:val="20"/>
          <w:szCs w:val="20"/>
        </w:rPr>
        <w:t>núi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656CC6B0" w14:textId="17D19161" w:rsidR="00BF6CDB" w:rsidRPr="00252225" w:rsidRDefault="00895626" w:rsidP="00252225">
      <w:pPr>
        <w:tabs>
          <w:tab w:val="left" w:pos="0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spacing w:val="-8"/>
          <w:sz w:val="20"/>
          <w:szCs w:val="20"/>
          <w:lang w:val="nl-NL"/>
        </w:rPr>
        <w:t>16.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bookmarkStart w:id="1" w:name="_Hlk103525157"/>
      <w:r w:rsidR="00BF6CDB" w:rsidRPr="00252225">
        <w:rPr>
          <w:rFonts w:ascii="Arial" w:hAnsi="Arial" w:cs="Arial"/>
          <w:spacing w:val="-8"/>
          <w:sz w:val="20"/>
          <w:szCs w:val="20"/>
          <w:lang w:val="nl-NL"/>
        </w:rPr>
        <w:t>Thực</w:t>
      </w:r>
      <w:r w:rsidR="00252225">
        <w:rPr>
          <w:rFonts w:ascii="Arial" w:hAnsi="Arial" w:cs="Arial"/>
          <w:spacing w:val="-8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pacing w:val="-8"/>
          <w:sz w:val="20"/>
          <w:szCs w:val="20"/>
          <w:lang w:val="nl-NL"/>
        </w:rPr>
        <w:t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vụ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quản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lý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đối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với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trường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chuyên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biệt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sở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giáo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dục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khác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khi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được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sz w:val="20"/>
          <w:szCs w:val="20"/>
          <w:lang w:val="nl-NL"/>
        </w:rPr>
        <w:t>cấp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sz w:val="20"/>
          <w:szCs w:val="20"/>
          <w:lang w:val="nl-NL"/>
        </w:rPr>
        <w:t>có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sz w:val="20"/>
          <w:szCs w:val="20"/>
          <w:lang w:val="nl-NL"/>
        </w:rPr>
        <w:t>thẩm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BF6CDB" w:rsidRPr="00252225">
        <w:rPr>
          <w:rFonts w:ascii="Arial" w:hAnsi="Arial" w:cs="Arial"/>
          <w:sz w:val="20"/>
          <w:szCs w:val="20"/>
          <w:lang w:val="nl-NL"/>
        </w:rPr>
        <w:t>giao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theo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pháp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="001968EC" w:rsidRPr="00252225">
        <w:rPr>
          <w:rFonts w:ascii="Arial" w:hAnsi="Arial" w:cs="Arial"/>
          <w:sz w:val="20"/>
          <w:szCs w:val="20"/>
          <w:lang w:val="nl-NL"/>
        </w:rPr>
        <w:t>luật</w:t>
      </w:r>
      <w:r w:rsidR="00BF6CDB" w:rsidRPr="00252225">
        <w:rPr>
          <w:rFonts w:ascii="Arial" w:hAnsi="Arial" w:cs="Arial"/>
          <w:sz w:val="20"/>
          <w:szCs w:val="20"/>
          <w:lang w:val="nl-NL"/>
        </w:rPr>
        <w:t>.</w:t>
      </w:r>
    </w:p>
    <w:bookmarkEnd w:id="1"/>
    <w:p w14:paraId="431B8533" w14:textId="2D8647C5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lastRenderedPageBreak/>
        <w:t>1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7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kê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hệ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thống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liệu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dữ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liệu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</w:t>
      </w:r>
      <w:r w:rsidRPr="00252225">
        <w:rPr>
          <w:rFonts w:ascii="Arial" w:hAnsi="Arial" w:cs="Arial"/>
          <w:color w:val="000000"/>
          <w:sz w:val="20"/>
          <w:szCs w:val="20"/>
        </w:rPr>
        <w:t>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Nam.</w:t>
      </w:r>
    </w:p>
    <w:p w14:paraId="11D1D357" w14:textId="259CCEDA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1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8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khảo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nghiên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cứu,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triển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kinh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xã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hội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phần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gọi,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tục,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tập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những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tộc.</w:t>
      </w:r>
    </w:p>
    <w:p w14:paraId="39A573F7" w14:textId="5FCDFE0A" w:rsidR="008847ED" w:rsidRPr="00252225" w:rsidRDefault="000C76AE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9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Thanh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việc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sách,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ế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khi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ế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nại,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cáo,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kiến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phòng,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ch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ố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tham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nhũng,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tiêu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xử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luật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Ủ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1B5EAFE3" w14:textId="43E93AF3" w:rsidR="008847ED" w:rsidRPr="00252225" w:rsidRDefault="00895626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20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dõi,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kiểm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tra,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vùng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miền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núi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ở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ngang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phương,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xuất,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ki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ế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thẩm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quyền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xem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xét,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vấn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liên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ế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thi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ể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s</w:t>
      </w:r>
      <w:r w:rsidR="008847ED" w:rsidRPr="00252225">
        <w:rPr>
          <w:rFonts w:ascii="Arial" w:hAnsi="Arial" w:cs="Arial"/>
          <w:color w:val="000000"/>
          <w:sz w:val="20"/>
          <w:szCs w:val="20"/>
        </w:rPr>
        <w:t>ố</w:t>
      </w:r>
      <w:r w:rsidR="008847ED"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</w:p>
    <w:p w14:paraId="1A8E532F" w14:textId="6508B916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1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Ti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đón,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thăm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hỏi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ngành,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giải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Pr="00252225">
        <w:rPr>
          <w:rFonts w:ascii="Arial" w:hAnsi="Arial" w:cs="Arial"/>
          <w:color w:val="000000"/>
          <w:sz w:val="20"/>
          <w:szCs w:val="20"/>
        </w:rPr>
        <w:t>ế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nguyện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vọng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đồng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bào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số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độ,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611A02FF" w14:textId="5ACCEFEF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2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hoạch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khai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oại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tục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</w:t>
      </w:r>
      <w:r w:rsidRPr="00252225">
        <w:rPr>
          <w:rFonts w:ascii="Arial" w:hAnsi="Arial" w:cs="Arial"/>
          <w:color w:val="000000"/>
          <w:sz w:val="20"/>
          <w:szCs w:val="20"/>
        </w:rPr>
        <w:t>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3DF1D112" w14:textId="5425276B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3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dịch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dịch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công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trong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00EE709E" w14:textId="723FF733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4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tổ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máy,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biên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số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lượng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viên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chức,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trí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việc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làm,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cơ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cấu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ngạch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chức,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cơ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cấu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viên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theo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danh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nghề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nghiệp;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nhiệm,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bổ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lại,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điều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động,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luân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chuyển,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biệt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phái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từ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chức,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miễn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nhiệm,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khen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thưởng,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kỷ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luật,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thôi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việc,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nghỉ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836AB0" w:rsidRPr="00252225">
        <w:rPr>
          <w:rFonts w:ascii="Arial" w:hAnsi="Arial" w:cs="Arial"/>
          <w:color w:val="000000"/>
          <w:sz w:val="20"/>
          <w:szCs w:val="20"/>
          <w:lang w:val="vi-VN"/>
        </w:rPr>
        <w:t>hưu</w:t>
      </w:r>
      <w:r w:rsidR="001A27A1"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chế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độ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tiền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lương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đãi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1A27A1" w:rsidRPr="00252225">
        <w:rPr>
          <w:rFonts w:ascii="Arial" w:hAnsi="Arial" w:cs="Arial"/>
          <w:color w:val="000000"/>
          <w:sz w:val="20"/>
          <w:szCs w:val="20"/>
          <w:lang w:val="vi-VN"/>
        </w:rPr>
        <w:t>ngộ</w:t>
      </w:r>
      <w:r w:rsidR="001A27A1" w:rsidRPr="00252225">
        <w:rPr>
          <w:rFonts w:ascii="Arial" w:hAnsi="Arial" w:cs="Arial"/>
          <w:color w:val="000000"/>
          <w:sz w:val="20"/>
          <w:szCs w:val="20"/>
        </w:rPr>
        <w:t>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đào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tạo,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bồi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dưỡng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cán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bộ,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công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chức,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viên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chức,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người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lao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động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="001A27A1" w:rsidRPr="00252225">
        <w:rPr>
          <w:rFonts w:ascii="Arial" w:hAnsi="Arial" w:cs="Arial"/>
          <w:iCs/>
          <w:sz w:val="20"/>
          <w:szCs w:val="20"/>
        </w:rPr>
        <w:t>thuộc</w:t>
      </w:r>
      <w:r w:rsidR="00252225">
        <w:rPr>
          <w:rFonts w:ascii="Arial" w:hAnsi="Arial" w:cs="Arial"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>Dân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>tộc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>theo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>quy</w:t>
      </w:r>
      <w:r w:rsidR="00252225">
        <w:rPr>
          <w:rFonts w:ascii="Arial" w:hAnsi="Arial" w:cs="Arial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sz w:val="20"/>
          <w:szCs w:val="20"/>
          <w:lang w:val="vi-VN"/>
        </w:rPr>
        <w:t>định</w:t>
      </w:r>
      <w:r w:rsidRPr="00252225">
        <w:rPr>
          <w:rFonts w:ascii="Arial" w:hAnsi="Arial" w:cs="Arial"/>
          <w:sz w:val="20"/>
          <w:szCs w:val="20"/>
        </w:rPr>
        <w:t>.</w:t>
      </w:r>
      <w:r w:rsidR="00252225">
        <w:rPr>
          <w:rFonts w:ascii="Arial" w:hAnsi="Arial" w:cs="Arial"/>
          <w:sz w:val="20"/>
          <w:szCs w:val="20"/>
        </w:rPr>
        <w:t xml:space="preserve"> </w:t>
      </w:r>
    </w:p>
    <w:p w14:paraId="5662FF0A" w14:textId="0F62C3A0" w:rsidR="008847ED" w:rsidRPr="00252225" w:rsidRDefault="008847ED" w:rsidP="00252225">
      <w:pPr>
        <w:pStyle w:val="NormalWeb"/>
        <w:shd w:val="clear" w:color="auto" w:fill="FFFFFF"/>
        <w:adjustRightInd w:val="0"/>
        <w:snapToGrid w:val="0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  <w:lang w:val="vi-VN"/>
        </w:rPr>
        <w:t>2</w:t>
      </w:r>
      <w:r w:rsidR="00895626" w:rsidRPr="00252225">
        <w:rPr>
          <w:rFonts w:ascii="Arial" w:hAnsi="Arial" w:cs="Arial"/>
          <w:color w:val="000000"/>
          <w:sz w:val="20"/>
          <w:szCs w:val="20"/>
        </w:rPr>
        <w:t>5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Xây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hàng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năm;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phối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với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Kế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hoạch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Đầu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tư,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Bộ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lập,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tổng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dự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ngành,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lĩnh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phạm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để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trình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phủ;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lý,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quyết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toán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nước;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thực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hiện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nhiệm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khác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về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ngân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nước,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chính,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tài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sản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vi-VN"/>
        </w:rPr>
        <w:t>luật.</w:t>
      </w:r>
    </w:p>
    <w:p w14:paraId="2EDF11D4" w14:textId="3D07FA0C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sz w:val="20"/>
          <w:szCs w:val="20"/>
          <w:lang w:val="nl-NL"/>
        </w:rPr>
        <w:t>2</w:t>
      </w:r>
      <w:r w:rsidR="00895626" w:rsidRPr="00252225">
        <w:rPr>
          <w:rFonts w:ascii="Arial" w:hAnsi="Arial" w:cs="Arial"/>
          <w:sz w:val="20"/>
          <w:szCs w:val="20"/>
          <w:lang w:val="nl-NL"/>
        </w:rPr>
        <w:t>6</w:t>
      </w:r>
      <w:r w:rsidRPr="00252225">
        <w:rPr>
          <w:rFonts w:ascii="Arial" w:hAnsi="Arial" w:cs="Arial"/>
          <w:sz w:val="20"/>
          <w:szCs w:val="20"/>
          <w:lang w:val="nl-NL"/>
        </w:rPr>
        <w:t>.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Thực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hiện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khác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phủ,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tướng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giao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theo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quy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luật.</w:t>
      </w:r>
    </w:p>
    <w:p w14:paraId="3EBBC63C" w14:textId="140D4FA6" w:rsidR="008847ED" w:rsidRPr="00252225" w:rsidRDefault="008847ED" w:rsidP="00252225">
      <w:pPr>
        <w:pStyle w:val="Heading3"/>
        <w:adjustRightInd w:val="0"/>
        <w:snapToGrid w:val="0"/>
        <w:spacing w:before="0" w:after="120"/>
        <w:ind w:firstLine="720"/>
        <w:jc w:val="both"/>
        <w:rPr>
          <w:sz w:val="20"/>
          <w:szCs w:val="20"/>
          <w:lang w:val="nl-NL"/>
        </w:rPr>
      </w:pPr>
      <w:r w:rsidRPr="00252225">
        <w:rPr>
          <w:sz w:val="20"/>
          <w:szCs w:val="20"/>
          <w:lang w:val="nl-NL"/>
        </w:rPr>
        <w:t>Điều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>3.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>Cơ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>cấu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>tổ</w:t>
      </w:r>
      <w:r w:rsidR="00252225">
        <w:rPr>
          <w:sz w:val="20"/>
          <w:szCs w:val="20"/>
          <w:lang w:val="nl-NL"/>
        </w:rPr>
        <w:t xml:space="preserve"> </w:t>
      </w:r>
      <w:r w:rsidRPr="00252225">
        <w:rPr>
          <w:sz w:val="20"/>
          <w:szCs w:val="20"/>
          <w:lang w:val="nl-NL"/>
        </w:rPr>
        <w:t>chức</w:t>
      </w:r>
    </w:p>
    <w:p w14:paraId="44B0CBEE" w14:textId="51265415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Kế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hoạch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-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Tài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chính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4D8C4506" w14:textId="5C7434B2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Tổ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cán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bộ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1940CFAC" w14:textId="01CBDCC2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3.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chế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666BC0D0" w14:textId="71EA9715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4.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Hợp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tác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quốc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tế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4ED0E8C4" w14:textId="1EB99EF5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iCs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>5.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="0023528A"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>Tổng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  <w:r w:rsidR="0023528A"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>hợp</w:t>
      </w:r>
      <w:r w:rsidR="009E2DF8" w:rsidRP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bCs/>
          <w:iCs/>
          <w:color w:val="000000"/>
          <w:sz w:val="20"/>
          <w:szCs w:val="20"/>
          <w:lang w:val="nl-NL"/>
        </w:rPr>
        <w:t xml:space="preserve"> </w:t>
      </w:r>
    </w:p>
    <w:p w14:paraId="3F7E950C" w14:textId="4EFBB232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6.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sách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7628D223" w14:textId="10259D78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7.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Tuyên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truyền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17126E52" w14:textId="414A3EEF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8.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Vụ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thiểu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số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391EFEF4" w14:textId="6C89189E" w:rsidR="00D67689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9.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>Vụ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>Công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>tác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>dân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52225">
        <w:rPr>
          <w:rFonts w:ascii="Arial" w:hAnsi="Arial" w:cs="Arial"/>
          <w:bCs/>
          <w:iCs/>
          <w:sz w:val="20"/>
          <w:szCs w:val="20"/>
        </w:rPr>
        <w:t>tộc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="0023528A" w:rsidRPr="00252225">
        <w:rPr>
          <w:rFonts w:ascii="Arial" w:hAnsi="Arial" w:cs="Arial"/>
          <w:bCs/>
          <w:iCs/>
          <w:sz w:val="20"/>
          <w:szCs w:val="20"/>
        </w:rPr>
        <w:t>địa</w:t>
      </w:r>
      <w:r w:rsidR="00252225">
        <w:rPr>
          <w:rFonts w:ascii="Arial" w:hAnsi="Arial" w:cs="Arial"/>
          <w:bCs/>
          <w:iCs/>
          <w:sz w:val="20"/>
          <w:szCs w:val="20"/>
        </w:rPr>
        <w:t xml:space="preserve"> </w:t>
      </w:r>
      <w:r w:rsidR="0023528A" w:rsidRPr="00252225">
        <w:rPr>
          <w:rFonts w:ascii="Arial" w:hAnsi="Arial" w:cs="Arial"/>
          <w:bCs/>
          <w:iCs/>
          <w:sz w:val="20"/>
          <w:szCs w:val="20"/>
        </w:rPr>
        <w:t>phương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</w:p>
    <w:p w14:paraId="5561FBA2" w14:textId="7B99C570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0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Thanh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tra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2AFF62A6" w14:textId="07C11710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Văn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phòng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22784A41" w14:textId="41119ED9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2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Học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viện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7BC5722E" w14:textId="0656D778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3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Trung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tâm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Chuyển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đổi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số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</w:p>
    <w:p w14:paraId="60BA555B" w14:textId="09A1F278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4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Báo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và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Phát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triển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67696DA1" w14:textId="7EAE24A6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5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Tạp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chí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529FB711" w14:textId="7ABF2A9C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lastRenderedPageBreak/>
        <w:t>1</w:t>
      </w:r>
      <w:r w:rsidR="0023528A" w:rsidRPr="00252225">
        <w:rPr>
          <w:rFonts w:ascii="Arial" w:hAnsi="Arial" w:cs="Arial"/>
          <w:color w:val="000000"/>
          <w:sz w:val="20"/>
          <w:szCs w:val="20"/>
          <w:lang w:val="nl-NL"/>
        </w:rPr>
        <w:t>6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Nhà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khách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tộc.</w:t>
      </w:r>
    </w:p>
    <w:p w14:paraId="543EF180" w14:textId="6A04B816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Tại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Điều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này,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từ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</w:rPr>
        <w:t>1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giúp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trưởng,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Chủ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nhiệm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thực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hiện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năng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nước;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định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từ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</w:rPr>
        <w:t>2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đến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khoản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1</w:t>
      </w:r>
      <w:r w:rsidR="0023528A" w:rsidRPr="00252225">
        <w:rPr>
          <w:rFonts w:ascii="Arial" w:hAnsi="Arial" w:cs="Arial"/>
          <w:color w:val="000000"/>
          <w:sz w:val="20"/>
          <w:szCs w:val="20"/>
        </w:rPr>
        <w:t>6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đơn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vị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sự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nghiệp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lập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phục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vụ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chức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năng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quản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lý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nhà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nước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của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Ủy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ban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tộc.</w:t>
      </w:r>
    </w:p>
    <w:p w14:paraId="47304F02" w14:textId="795E130B" w:rsidR="00D82724" w:rsidRPr="00252225" w:rsidRDefault="00D82724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52225">
        <w:rPr>
          <w:rFonts w:ascii="Arial" w:hAnsi="Arial" w:cs="Arial"/>
          <w:color w:val="000000"/>
          <w:sz w:val="20"/>
          <w:szCs w:val="20"/>
        </w:rPr>
        <w:t>Vụ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Công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dân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tộc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địa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phương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có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các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="009E2DF8" w:rsidRPr="00252225">
        <w:rPr>
          <w:rFonts w:ascii="Arial" w:hAnsi="Arial" w:cs="Arial"/>
          <w:color w:val="000000"/>
          <w:sz w:val="20"/>
          <w:szCs w:val="20"/>
        </w:rPr>
        <w:t>b</w:t>
      </w:r>
      <w:r w:rsidRPr="00252225">
        <w:rPr>
          <w:rFonts w:ascii="Arial" w:hAnsi="Arial" w:cs="Arial"/>
          <w:color w:val="000000"/>
          <w:sz w:val="20"/>
          <w:szCs w:val="20"/>
        </w:rPr>
        <w:t>ộ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phận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trách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địa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bàn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đóng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trụ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sở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tại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tỉnh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Đắk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Lắk,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thành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phố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Cần</w:t>
      </w:r>
      <w:r w:rsidR="002522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</w:rPr>
        <w:t>Thơ.</w:t>
      </w:r>
    </w:p>
    <w:p w14:paraId="56D0412F" w14:textId="7301B739" w:rsidR="00933301" w:rsidRPr="00252225" w:rsidRDefault="00933301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</w:pP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Bộ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trưởng,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Chủ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Ủy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Dân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trình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tướng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hành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danh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="00DC42A3"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>sách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đơn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vị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sự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nghiệp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công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="00ED5DB5"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lập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 xml:space="preserve"> </w:t>
      </w:r>
      <w:r w:rsidR="0092126A"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  <w:lang w:val="vi-VN"/>
        </w:rPr>
        <w:t>khác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>trực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thuộc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Ủy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ban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="0045017A"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Dân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="0045017A"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tộc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theo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quy</w:t>
      </w:r>
      <w:r w:rsidR="00252225">
        <w:rPr>
          <w:rFonts w:ascii="Arial" w:hAnsi="Arial" w:cs="Arial"/>
          <w:bCs/>
          <w:spacing w:val="-8"/>
          <w:sz w:val="20"/>
          <w:szCs w:val="20"/>
          <w:lang w:val="nl-NL"/>
        </w:rPr>
        <w:t xml:space="preserve"> </w:t>
      </w:r>
      <w:r w:rsidR="00ED5DB5"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định</w:t>
      </w:r>
      <w:r w:rsidRPr="00252225">
        <w:rPr>
          <w:rFonts w:ascii="Arial" w:hAnsi="Arial" w:cs="Arial"/>
          <w:bCs/>
          <w:spacing w:val="-8"/>
          <w:sz w:val="20"/>
          <w:szCs w:val="20"/>
          <w:lang w:val="nl-NL"/>
        </w:rPr>
        <w:t>.</w:t>
      </w:r>
      <w:r w:rsidR="00252225">
        <w:rPr>
          <w:rFonts w:ascii="Arial" w:hAnsi="Arial" w:cs="Arial"/>
          <w:color w:val="000000"/>
          <w:spacing w:val="-8"/>
          <w:sz w:val="20"/>
          <w:szCs w:val="20"/>
          <w:shd w:val="clear" w:color="auto" w:fill="FFFFFF"/>
        </w:rPr>
        <w:t xml:space="preserve"> </w:t>
      </w:r>
    </w:p>
    <w:p w14:paraId="0DC38BAD" w14:textId="0DC6FE2D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nl-NL"/>
        </w:rPr>
      </w:pPr>
      <w:r w:rsidRPr="00252225">
        <w:rPr>
          <w:rFonts w:ascii="Arial" w:hAnsi="Arial" w:cs="Arial"/>
          <w:b/>
          <w:sz w:val="20"/>
          <w:szCs w:val="20"/>
          <w:lang w:val="nl-NL"/>
        </w:rPr>
        <w:t>Điều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>4.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>Hiệu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>lực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>thi</w:t>
      </w:r>
      <w:r w:rsidR="00252225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b/>
          <w:sz w:val="20"/>
          <w:szCs w:val="20"/>
          <w:lang w:val="nl-NL"/>
        </w:rPr>
        <w:t>hành</w:t>
      </w:r>
    </w:p>
    <w:p w14:paraId="21D22CF6" w14:textId="7E9E581D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1.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này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có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hiệu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lực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từ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ngày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="00EB2A1B" w:rsidRPr="00252225">
        <w:rPr>
          <w:rFonts w:ascii="Arial" w:hAnsi="Arial" w:cs="Arial"/>
          <w:color w:val="000000"/>
          <w:sz w:val="20"/>
          <w:szCs w:val="20"/>
          <w:lang w:val="vi-VN"/>
        </w:rPr>
        <w:t>01</w:t>
      </w:r>
      <w:r w:rsidR="00252225">
        <w:rPr>
          <w:rFonts w:ascii="Arial" w:hAnsi="Arial" w:cs="Arial"/>
          <w:color w:val="000000"/>
          <w:sz w:val="20"/>
          <w:szCs w:val="20"/>
          <w:lang w:val="vi-VN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="00EB2A1B" w:rsidRPr="00252225">
        <w:rPr>
          <w:rFonts w:ascii="Arial" w:hAnsi="Arial" w:cs="Arial"/>
          <w:color w:val="000000"/>
          <w:sz w:val="20"/>
          <w:szCs w:val="20"/>
          <w:lang w:val="vi-VN"/>
        </w:rPr>
        <w:t>10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năm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2022.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</w:p>
    <w:p w14:paraId="1713AD4A" w14:textId="3491F3F1" w:rsidR="008847ED" w:rsidRPr="00252225" w:rsidRDefault="008847ED" w:rsidP="00252225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2.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bookmarkStart w:id="2" w:name="_GoBack"/>
      <w:r w:rsidRPr="00252225">
        <w:rPr>
          <w:rFonts w:ascii="Arial" w:hAnsi="Arial" w:cs="Arial"/>
          <w:color w:val="000000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này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thay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thế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số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13/2017/NĐ-CP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ngày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10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tháng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02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năm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2017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phủ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năng,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vụ,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quyền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hạn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và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cơ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cấu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tổ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chức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của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Ủy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ban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Dân</w:t>
      </w:r>
      <w:r w:rsidR="00252225">
        <w:rPr>
          <w:rFonts w:ascii="Arial" w:hAnsi="Arial" w:cs="Arial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sz w:val="20"/>
          <w:szCs w:val="20"/>
          <w:lang w:val="nl-NL"/>
        </w:rPr>
        <w:t>tộc.</w:t>
      </w:r>
    </w:p>
    <w:bookmarkEnd w:id="2"/>
    <w:p w14:paraId="68EBB424" w14:textId="62C90D13" w:rsidR="008847ED" w:rsidRPr="00252225" w:rsidRDefault="008847ED" w:rsidP="00252225">
      <w:pPr>
        <w:pStyle w:val="Heading2"/>
        <w:adjustRightInd w:val="0"/>
        <w:snapToGrid w:val="0"/>
        <w:spacing w:before="0" w:after="120"/>
        <w:ind w:firstLine="720"/>
        <w:jc w:val="both"/>
        <w:rPr>
          <w:i w:val="0"/>
          <w:sz w:val="20"/>
          <w:szCs w:val="20"/>
          <w:lang w:val="nl-NL"/>
        </w:rPr>
      </w:pPr>
      <w:r w:rsidRPr="00252225">
        <w:rPr>
          <w:i w:val="0"/>
          <w:sz w:val="20"/>
          <w:szCs w:val="20"/>
          <w:lang w:val="nl-NL"/>
        </w:rPr>
        <w:t>Điều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>5.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>Trách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>nhiệm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>thi</w:t>
      </w:r>
      <w:r w:rsidR="00252225">
        <w:rPr>
          <w:i w:val="0"/>
          <w:sz w:val="20"/>
          <w:szCs w:val="20"/>
          <w:lang w:val="nl-NL"/>
        </w:rPr>
        <w:t xml:space="preserve"> </w:t>
      </w:r>
      <w:r w:rsidRPr="00252225">
        <w:rPr>
          <w:i w:val="0"/>
          <w:sz w:val="20"/>
          <w:szCs w:val="20"/>
          <w:lang w:val="nl-NL"/>
        </w:rPr>
        <w:t>hành</w:t>
      </w:r>
    </w:p>
    <w:p w14:paraId="59B3639E" w14:textId="14B78B4C" w:rsidR="008847ED" w:rsidRPr="00252225" w:rsidRDefault="008847ED" w:rsidP="00DA7D60">
      <w:pPr>
        <w:adjustRightInd w:val="0"/>
        <w:snapToGrid w:val="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Các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Bộ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trưởng,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trưởng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ngang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color w:val="000000"/>
          <w:sz w:val="20"/>
          <w:szCs w:val="20"/>
          <w:lang w:val="nl-NL"/>
        </w:rPr>
        <w:t>b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ộ,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trưởng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cơ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quan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Chính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phủ</w:t>
      </w:r>
      <w:r w:rsidR="009E2DF8" w:rsidRPr="00252225">
        <w:rPr>
          <w:rFonts w:ascii="Arial" w:hAnsi="Arial" w:cs="Arial"/>
          <w:color w:val="000000"/>
          <w:sz w:val="20"/>
          <w:szCs w:val="20"/>
          <w:lang w:val="nl-NL"/>
        </w:rPr>
        <w:t>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Chủ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tịch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Ủy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ban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nhân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dân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tỉnh,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phố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trực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thuộc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="00E668DA" w:rsidRPr="00252225">
        <w:rPr>
          <w:rFonts w:ascii="Arial" w:hAnsi="Arial" w:cs="Arial"/>
          <w:color w:val="000000"/>
          <w:sz w:val="20"/>
          <w:szCs w:val="20"/>
          <w:lang w:val="nl-NL"/>
        </w:rPr>
        <w:t>t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rung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ương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chịu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trách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nhiệm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thi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hành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Nghị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định</w:t>
      </w:r>
      <w:r w:rsidR="00252225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252225">
        <w:rPr>
          <w:rFonts w:ascii="Arial" w:hAnsi="Arial" w:cs="Arial"/>
          <w:color w:val="000000"/>
          <w:sz w:val="20"/>
          <w:szCs w:val="20"/>
          <w:lang w:val="nl-NL"/>
        </w:rPr>
        <w:t>này.</w:t>
      </w:r>
    </w:p>
    <w:p w14:paraId="33415AA6" w14:textId="77777777" w:rsidR="00E668DA" w:rsidRPr="00252225" w:rsidRDefault="00E668DA" w:rsidP="00DA7D60">
      <w:pPr>
        <w:adjustRightInd w:val="0"/>
        <w:snapToGrid w:val="0"/>
        <w:ind w:firstLine="72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</w:p>
    <w:tbl>
      <w:tblPr>
        <w:tblW w:w="9073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3686"/>
      </w:tblGrid>
      <w:tr w:rsidR="00E668DA" w:rsidRPr="00252225" w14:paraId="72F52985" w14:textId="77777777" w:rsidTr="00DA7D60">
        <w:trPr>
          <w:trHeight w:val="1666"/>
          <w:jc w:val="center"/>
        </w:trPr>
        <w:tc>
          <w:tcPr>
            <w:tcW w:w="5387" w:type="dxa"/>
          </w:tcPr>
          <w:p w14:paraId="022881DC" w14:textId="0481F2CD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>Nơi</w:t>
            </w:r>
            <w:r w:rsid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>nhận:</w:t>
            </w:r>
          </w:p>
          <w:p w14:paraId="670A7F7B" w14:textId="7625BB2B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Bí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thư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Đảng;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 w14:paraId="18C9721F" w14:textId="5B181096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tướng,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Phó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tướng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phủ;</w:t>
            </w:r>
          </w:p>
          <w:p w14:paraId="032BD0FA" w14:textId="42608935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ộ,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ngang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ộ,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thuộc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phủ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;</w:t>
            </w:r>
          </w:p>
          <w:p w14:paraId="763B937E" w14:textId="3A112B2A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HĐND,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UBND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tỉnh,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thành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phố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trực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thuộc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ương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;</w:t>
            </w:r>
          </w:p>
          <w:p w14:paraId="66964ED1" w14:textId="17B65B8A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Đảng;</w:t>
            </w:r>
          </w:p>
          <w:p w14:paraId="2F5AA67B" w14:textId="22D3F836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Tổng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Bí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thư;</w:t>
            </w:r>
          </w:p>
          <w:p w14:paraId="43B18E81" w14:textId="183155EF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Chủ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tịch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nước;</w:t>
            </w:r>
          </w:p>
          <w:p w14:paraId="0DB4D231" w14:textId="1134A4BA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Hội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đồng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tộc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hội;</w:t>
            </w:r>
            <w:r w:rsidR="00252225"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 </w:t>
            </w:r>
          </w:p>
          <w:p w14:paraId="6CF067C8" w14:textId="7910CD64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phòng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hội;</w:t>
            </w:r>
          </w:p>
          <w:p w14:paraId="5DCA5685" w14:textId="26303EDE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Toà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án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nhân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tối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cao;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 w14:paraId="366617B1" w14:textId="7CA56029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Viện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kiểm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sát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nhân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dân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tối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cao;</w:t>
            </w:r>
          </w:p>
          <w:p w14:paraId="05A79FF2" w14:textId="4815EC6B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Giám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sát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tài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gia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;</w:t>
            </w:r>
          </w:p>
          <w:p w14:paraId="0AAFB4B3" w14:textId="492394F2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Kiểm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toán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hà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nước;</w:t>
            </w:r>
          </w:p>
          <w:p w14:paraId="11B3E9D5" w14:textId="4C3C0841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Ngân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hàng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Chính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sách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xã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hội;</w:t>
            </w:r>
          </w:p>
          <w:p w14:paraId="3E1E49B3" w14:textId="7C01E5C4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Ngân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hàng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Phát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triển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Việt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Nam;</w:t>
            </w:r>
          </w:p>
          <w:p w14:paraId="2AFE3025" w14:textId="13BEB7FF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Ủy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Mặt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trận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Tổ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quốc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Việt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Nam;</w:t>
            </w:r>
          </w:p>
          <w:p w14:paraId="7489C64B" w14:textId="31571AA4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Cơ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quan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rung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ương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của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đoàn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thể;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 w14:paraId="758FF89C" w14:textId="2D42E04F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VPCP: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BTCN,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PCN,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Trợ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lý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TT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g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C46218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TGĐ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Cổng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TTĐT,</w:t>
            </w:r>
          </w:p>
          <w:p w14:paraId="648916B1" w14:textId="7C6084CF" w:rsidR="00E668DA" w:rsidRPr="00252225" w:rsidRDefault="00252225" w:rsidP="00DA7D60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các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Vụ,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Cục,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đơn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vị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trực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thuộc,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Công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="00E668DA"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báo;</w:t>
            </w:r>
          </w:p>
          <w:p w14:paraId="1AC37417" w14:textId="26D4AB8D" w:rsidR="00E668DA" w:rsidRPr="00252225" w:rsidRDefault="00E668DA" w:rsidP="00DA7D60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-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Lưu: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VT,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TCCV</w:t>
            </w:r>
            <w:r w:rsid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 </w:t>
            </w:r>
            <w:r w:rsidRPr="00252225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(2).</w:t>
            </w:r>
          </w:p>
        </w:tc>
        <w:tc>
          <w:tcPr>
            <w:tcW w:w="3686" w:type="dxa"/>
          </w:tcPr>
          <w:p w14:paraId="57494FF9" w14:textId="19BC742A" w:rsidR="00E668DA" w:rsidRPr="00252225" w:rsidRDefault="00E668DA" w:rsidP="00DA7D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TM.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CHÍNH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PHỦ</w:t>
            </w:r>
          </w:p>
          <w:p w14:paraId="7764B14A" w14:textId="3DC0C7B0" w:rsidR="00E668DA" w:rsidRPr="00252225" w:rsidRDefault="00644EB7" w:rsidP="00DA7D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KT.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E668DA"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THỦ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E668DA"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TƯỚNG</w:t>
            </w:r>
          </w:p>
          <w:p w14:paraId="27F57B4F" w14:textId="69AF5D4A" w:rsidR="00644EB7" w:rsidRPr="00252225" w:rsidRDefault="00644EB7" w:rsidP="00DA7D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PHÓ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THỦ</w:t>
            </w:r>
            <w:r w:rsid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pacing w:val="-6"/>
                <w:sz w:val="20"/>
                <w:szCs w:val="20"/>
              </w:rPr>
              <w:t>TƯỚNG</w:t>
            </w:r>
          </w:p>
          <w:p w14:paraId="328DF772" w14:textId="77777777" w:rsidR="00E668DA" w:rsidRPr="00252225" w:rsidRDefault="00E668DA" w:rsidP="00DA7D6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AC563" w14:textId="599BD68C" w:rsidR="00E668DA" w:rsidRDefault="00E668DA" w:rsidP="00DA7D60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A82AB20" w14:textId="54943E27" w:rsidR="00DA7D60" w:rsidRDefault="00DA7D60" w:rsidP="00DA7D60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62141AC" w14:textId="77777777" w:rsidR="00DA7D60" w:rsidRPr="00252225" w:rsidRDefault="00DA7D60" w:rsidP="00DA7D60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344DA" w14:textId="1858321E" w:rsidR="00E668DA" w:rsidRPr="00252225" w:rsidRDefault="00E668DA" w:rsidP="00DA7D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225">
              <w:rPr>
                <w:rFonts w:ascii="Arial" w:hAnsi="Arial" w:cs="Arial"/>
                <w:b/>
                <w:sz w:val="20"/>
                <w:szCs w:val="20"/>
              </w:rPr>
              <w:t>Phạm</w:t>
            </w:r>
            <w:r w:rsidR="002522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4EB7" w:rsidRPr="00252225">
              <w:rPr>
                <w:rFonts w:ascii="Arial" w:hAnsi="Arial" w:cs="Arial"/>
                <w:b/>
                <w:sz w:val="20"/>
                <w:szCs w:val="20"/>
              </w:rPr>
              <w:t>Bình</w:t>
            </w:r>
            <w:r w:rsidR="002522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2225">
              <w:rPr>
                <w:rFonts w:ascii="Arial" w:hAnsi="Arial" w:cs="Arial"/>
                <w:b/>
                <w:sz w:val="20"/>
                <w:szCs w:val="20"/>
              </w:rPr>
              <w:t>Minh</w:t>
            </w:r>
          </w:p>
        </w:tc>
      </w:tr>
    </w:tbl>
    <w:p w14:paraId="342DED25" w14:textId="77777777" w:rsidR="006826FB" w:rsidRPr="00252225" w:rsidRDefault="006826FB" w:rsidP="00DA7D60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826FB" w:rsidRPr="00252225" w:rsidSect="00EE4041">
      <w:pgSz w:w="11907" w:h="16840" w:code="9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3916" w14:textId="77777777" w:rsidR="00623CD4" w:rsidRDefault="00623CD4">
      <w:r>
        <w:separator/>
      </w:r>
    </w:p>
  </w:endnote>
  <w:endnote w:type="continuationSeparator" w:id="0">
    <w:p w14:paraId="00198436" w14:textId="77777777" w:rsidR="00623CD4" w:rsidRDefault="0062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B91C" w14:textId="77777777" w:rsidR="00623CD4" w:rsidRDefault="00623CD4">
      <w:r>
        <w:separator/>
      </w:r>
    </w:p>
  </w:footnote>
  <w:footnote w:type="continuationSeparator" w:id="0">
    <w:p w14:paraId="5CB1B749" w14:textId="77777777" w:rsidR="00623CD4" w:rsidRDefault="0062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ED"/>
    <w:rsid w:val="00015C70"/>
    <w:rsid w:val="000350E4"/>
    <w:rsid w:val="00070AAD"/>
    <w:rsid w:val="00097D46"/>
    <w:rsid w:val="000B49D3"/>
    <w:rsid w:val="000C76AE"/>
    <w:rsid w:val="000F307B"/>
    <w:rsid w:val="00113A72"/>
    <w:rsid w:val="001728E2"/>
    <w:rsid w:val="001968EC"/>
    <w:rsid w:val="001A1FEC"/>
    <w:rsid w:val="001A27A1"/>
    <w:rsid w:val="001B61E6"/>
    <w:rsid w:val="001D5106"/>
    <w:rsid w:val="00206DCA"/>
    <w:rsid w:val="0023528A"/>
    <w:rsid w:val="00251C4E"/>
    <w:rsid w:val="00252225"/>
    <w:rsid w:val="00330CEA"/>
    <w:rsid w:val="0033141B"/>
    <w:rsid w:val="003504CA"/>
    <w:rsid w:val="00353E89"/>
    <w:rsid w:val="003A74BC"/>
    <w:rsid w:val="003B03F0"/>
    <w:rsid w:val="003B6E11"/>
    <w:rsid w:val="00400BD0"/>
    <w:rsid w:val="00442B6E"/>
    <w:rsid w:val="0045017A"/>
    <w:rsid w:val="004D3991"/>
    <w:rsid w:val="00544ED9"/>
    <w:rsid w:val="00546CC2"/>
    <w:rsid w:val="00590F1B"/>
    <w:rsid w:val="005963B2"/>
    <w:rsid w:val="005C03AA"/>
    <w:rsid w:val="005E28A9"/>
    <w:rsid w:val="005E29C8"/>
    <w:rsid w:val="005E5295"/>
    <w:rsid w:val="005E6658"/>
    <w:rsid w:val="005F7AE7"/>
    <w:rsid w:val="00602906"/>
    <w:rsid w:val="0062017E"/>
    <w:rsid w:val="00623CD4"/>
    <w:rsid w:val="00627FFE"/>
    <w:rsid w:val="00644EB7"/>
    <w:rsid w:val="006826FB"/>
    <w:rsid w:val="006D1EAF"/>
    <w:rsid w:val="006D3453"/>
    <w:rsid w:val="006E3108"/>
    <w:rsid w:val="0076349E"/>
    <w:rsid w:val="007756B0"/>
    <w:rsid w:val="007A1D02"/>
    <w:rsid w:val="007B6FE6"/>
    <w:rsid w:val="007C3043"/>
    <w:rsid w:val="007D6345"/>
    <w:rsid w:val="0082612F"/>
    <w:rsid w:val="008350FA"/>
    <w:rsid w:val="00836AB0"/>
    <w:rsid w:val="00871837"/>
    <w:rsid w:val="008847ED"/>
    <w:rsid w:val="00895626"/>
    <w:rsid w:val="00896F40"/>
    <w:rsid w:val="008D1E3B"/>
    <w:rsid w:val="008E4B1B"/>
    <w:rsid w:val="00903E22"/>
    <w:rsid w:val="0092126A"/>
    <w:rsid w:val="00933301"/>
    <w:rsid w:val="009343B0"/>
    <w:rsid w:val="0095029C"/>
    <w:rsid w:val="00957D5C"/>
    <w:rsid w:val="0097003F"/>
    <w:rsid w:val="00972BC0"/>
    <w:rsid w:val="00974266"/>
    <w:rsid w:val="009866D5"/>
    <w:rsid w:val="009C11EC"/>
    <w:rsid w:val="009E2DF8"/>
    <w:rsid w:val="009E4E6B"/>
    <w:rsid w:val="00A15999"/>
    <w:rsid w:val="00A23B76"/>
    <w:rsid w:val="00A262B8"/>
    <w:rsid w:val="00A87ACE"/>
    <w:rsid w:val="00AB0B4A"/>
    <w:rsid w:val="00AF6CA8"/>
    <w:rsid w:val="00AF76AE"/>
    <w:rsid w:val="00B06997"/>
    <w:rsid w:val="00B27281"/>
    <w:rsid w:val="00B3621D"/>
    <w:rsid w:val="00B36E3F"/>
    <w:rsid w:val="00B661AA"/>
    <w:rsid w:val="00BA52AA"/>
    <w:rsid w:val="00BD1F93"/>
    <w:rsid w:val="00BF010E"/>
    <w:rsid w:val="00BF6CDB"/>
    <w:rsid w:val="00C25734"/>
    <w:rsid w:val="00C359BF"/>
    <w:rsid w:val="00C46218"/>
    <w:rsid w:val="00C66A1C"/>
    <w:rsid w:val="00CA743F"/>
    <w:rsid w:val="00CC0B40"/>
    <w:rsid w:val="00CC620C"/>
    <w:rsid w:val="00CC7619"/>
    <w:rsid w:val="00CF50FD"/>
    <w:rsid w:val="00D019C1"/>
    <w:rsid w:val="00D066C9"/>
    <w:rsid w:val="00D11FA5"/>
    <w:rsid w:val="00D242AE"/>
    <w:rsid w:val="00D27E76"/>
    <w:rsid w:val="00D67689"/>
    <w:rsid w:val="00D82724"/>
    <w:rsid w:val="00D959A0"/>
    <w:rsid w:val="00D9697B"/>
    <w:rsid w:val="00DA7D60"/>
    <w:rsid w:val="00DB0AF4"/>
    <w:rsid w:val="00DB144E"/>
    <w:rsid w:val="00DC42A3"/>
    <w:rsid w:val="00E034DA"/>
    <w:rsid w:val="00E05DA8"/>
    <w:rsid w:val="00E06C91"/>
    <w:rsid w:val="00E23F43"/>
    <w:rsid w:val="00E42717"/>
    <w:rsid w:val="00E668DA"/>
    <w:rsid w:val="00EB2A1B"/>
    <w:rsid w:val="00ED1851"/>
    <w:rsid w:val="00ED2661"/>
    <w:rsid w:val="00ED5DB5"/>
    <w:rsid w:val="00EE333F"/>
    <w:rsid w:val="00EE4041"/>
    <w:rsid w:val="00F0084E"/>
    <w:rsid w:val="00F23098"/>
    <w:rsid w:val="00F754F4"/>
    <w:rsid w:val="00F811E5"/>
    <w:rsid w:val="00F97E26"/>
    <w:rsid w:val="00FA1C47"/>
    <w:rsid w:val="00FA39DE"/>
    <w:rsid w:val="00FC1A5B"/>
    <w:rsid w:val="00FC5CDE"/>
    <w:rsid w:val="00FD2866"/>
    <w:rsid w:val="00FE34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4C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47ED"/>
    <w:pPr>
      <w:keepNext/>
      <w:autoSpaceDE w:val="0"/>
      <w:autoSpaceDN w:val="0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8847ED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847ED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7ED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47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847ED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84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7ED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rsid w:val="008847ED"/>
  </w:style>
  <w:style w:type="paragraph" w:styleId="Footer">
    <w:name w:val="footer"/>
    <w:basedOn w:val="Normal"/>
    <w:link w:val="FooterChar"/>
    <w:rsid w:val="00884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47ED"/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47ED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0A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1991</Words>
  <Characters>11352</Characters>
  <Application>Microsoft Office Word</Application>
  <DocSecurity>0</DocSecurity>
  <Lines>94</Lines>
  <Paragraphs>26</Paragraphs>
  <ScaleCrop>false</ScaleCrop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2022-09-21T01:03:00Z</dcterms:created>
  <dcterms:modified xsi:type="dcterms:W3CDTF">2022-09-21T12:21:00Z</dcterms:modified>
</cp:coreProperties>
</file>