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1E0" w:firstRow="1" w:lastRow="1" w:firstColumn="1" w:lastColumn="1" w:noHBand="0" w:noVBand="0"/>
      </w:tblPr>
      <w:tblGrid>
        <w:gridCol w:w="3547"/>
        <w:gridCol w:w="5813"/>
      </w:tblGrid>
      <w:tr w:rsidR="00CF3696" w:rsidRPr="00A263D0" w:rsidTr="00CF3696">
        <w:trPr>
          <w:trHeight w:val="851"/>
        </w:trPr>
        <w:tc>
          <w:tcPr>
            <w:tcW w:w="1895" w:type="pct"/>
            <w:shd w:val="clear" w:color="auto" w:fill="auto"/>
          </w:tcPr>
          <w:p w:rsidR="00CF3696" w:rsidRPr="00A263D0" w:rsidRDefault="00CF3696" w:rsidP="00CF3696">
            <w:pPr>
              <w:widowControl w:val="0"/>
              <w:jc w:val="center"/>
              <w:rPr>
                <w:rFonts w:ascii="Arial" w:hAnsi="Arial" w:cs="Arial"/>
                <w:b/>
                <w:sz w:val="20"/>
                <w:szCs w:val="20"/>
              </w:rPr>
            </w:pPr>
            <w:r>
              <w:rPr>
                <w:rFonts w:ascii="Arial" w:hAnsi="Arial" w:cs="Arial"/>
                <w:b/>
                <w:sz w:val="20"/>
                <w:szCs w:val="20"/>
              </w:rPr>
              <w:t>CHÍNH PHỦ</w:t>
            </w:r>
          </w:p>
          <w:p w:rsidR="00CF3696" w:rsidRPr="00A263D0" w:rsidRDefault="00CF3696" w:rsidP="00CF3696">
            <w:pPr>
              <w:widowControl w:val="0"/>
              <w:jc w:val="center"/>
              <w:rPr>
                <w:rFonts w:ascii="Arial" w:hAnsi="Arial" w:cs="Arial"/>
                <w:sz w:val="20"/>
                <w:szCs w:val="20"/>
                <w:vertAlign w:val="superscript"/>
              </w:rPr>
            </w:pPr>
            <w:r w:rsidRPr="00A263D0">
              <w:rPr>
                <w:rFonts w:ascii="Arial" w:hAnsi="Arial" w:cs="Arial"/>
                <w:sz w:val="20"/>
                <w:szCs w:val="20"/>
                <w:vertAlign w:val="superscript"/>
              </w:rPr>
              <w:t>_______________</w:t>
            </w:r>
          </w:p>
          <w:p w:rsidR="00CF3696" w:rsidRPr="0067396F" w:rsidRDefault="00CF3696" w:rsidP="00CF3696">
            <w:pPr>
              <w:widowControl w:val="0"/>
              <w:jc w:val="center"/>
              <w:rPr>
                <w:rFonts w:ascii="Arial" w:hAnsi="Arial" w:cs="Arial"/>
                <w:sz w:val="20"/>
                <w:szCs w:val="20"/>
              </w:rPr>
            </w:pPr>
            <w:r>
              <w:rPr>
                <w:rFonts w:ascii="Arial" w:hAnsi="Arial" w:cs="Arial"/>
                <w:sz w:val="20"/>
                <w:szCs w:val="20"/>
              </w:rPr>
              <w:t>92/2026/NĐ-CP</w:t>
            </w:r>
          </w:p>
          <w:p w:rsidR="00CF3696" w:rsidRPr="00A263D0" w:rsidRDefault="00CF3696" w:rsidP="00CF3696">
            <w:pPr>
              <w:widowControl w:val="0"/>
              <w:rPr>
                <w:rFonts w:ascii="Arial" w:hAnsi="Arial" w:cs="Arial"/>
                <w:b/>
                <w:sz w:val="20"/>
                <w:szCs w:val="20"/>
                <w:vertAlign w:val="superscript"/>
              </w:rPr>
            </w:pPr>
          </w:p>
        </w:tc>
        <w:tc>
          <w:tcPr>
            <w:tcW w:w="3105" w:type="pct"/>
            <w:shd w:val="clear" w:color="auto" w:fill="auto"/>
          </w:tcPr>
          <w:p w:rsidR="00CF3696" w:rsidRPr="00A263D0" w:rsidRDefault="00CF3696" w:rsidP="00CF3696">
            <w:pPr>
              <w:widowControl w:val="0"/>
              <w:jc w:val="center"/>
              <w:rPr>
                <w:rFonts w:ascii="Arial" w:hAnsi="Arial" w:cs="Arial"/>
                <w:b/>
                <w:sz w:val="20"/>
                <w:szCs w:val="20"/>
                <w:vertAlign w:val="superscript"/>
              </w:rPr>
            </w:pPr>
            <w:r w:rsidRPr="00A263D0">
              <w:rPr>
                <w:rFonts w:ascii="Arial" w:hAnsi="Arial" w:cs="Arial"/>
                <w:b/>
                <w:sz w:val="20"/>
                <w:szCs w:val="20"/>
              </w:rPr>
              <w:t>CỘNG HÒA XÃ HỘI CHỦ NGHĨA VIỆT NAM</w:t>
            </w:r>
            <w:r w:rsidRPr="00A263D0">
              <w:rPr>
                <w:rFonts w:ascii="Arial" w:hAnsi="Arial" w:cs="Arial"/>
                <w:b/>
                <w:sz w:val="20"/>
                <w:szCs w:val="20"/>
              </w:rPr>
              <w:br/>
              <w:t xml:space="preserve">Độc lập - Tự do - Hạnh phúc </w:t>
            </w:r>
            <w:r w:rsidRPr="00A263D0">
              <w:rPr>
                <w:rFonts w:ascii="Arial" w:hAnsi="Arial" w:cs="Arial"/>
                <w:b/>
                <w:sz w:val="20"/>
                <w:szCs w:val="20"/>
              </w:rPr>
              <w:br/>
            </w:r>
            <w:r w:rsidRPr="00A263D0">
              <w:rPr>
                <w:rFonts w:ascii="Arial" w:hAnsi="Arial" w:cs="Arial"/>
                <w:b/>
                <w:sz w:val="20"/>
                <w:szCs w:val="20"/>
                <w:vertAlign w:val="superscript"/>
              </w:rPr>
              <w:t>_______________________</w:t>
            </w:r>
          </w:p>
          <w:p w:rsidR="00CF3696" w:rsidRPr="00CF3696" w:rsidRDefault="00CF3696" w:rsidP="00CF3696">
            <w:pPr>
              <w:widowControl w:val="0"/>
              <w:jc w:val="center"/>
              <w:rPr>
                <w:rFonts w:ascii="Arial" w:hAnsi="Arial" w:cs="Arial"/>
                <w:i/>
                <w:sz w:val="20"/>
                <w:szCs w:val="20"/>
                <w:vertAlign w:val="superscript"/>
              </w:rPr>
            </w:pPr>
            <w:r>
              <w:rPr>
                <w:rFonts w:ascii="Arial" w:hAnsi="Arial" w:cs="Arial"/>
                <w:i/>
                <w:sz w:val="20"/>
                <w:szCs w:val="20"/>
              </w:rPr>
              <w:t>Hà Nội</w:t>
            </w:r>
            <w:r w:rsidRPr="00A263D0">
              <w:rPr>
                <w:rFonts w:ascii="Arial" w:hAnsi="Arial" w:cs="Arial"/>
                <w:i/>
                <w:sz w:val="20"/>
                <w:szCs w:val="20"/>
              </w:rPr>
              <w:t>, ngày</w:t>
            </w:r>
            <w:r>
              <w:rPr>
                <w:rFonts w:ascii="Arial" w:hAnsi="Arial" w:cs="Arial"/>
                <w:i/>
                <w:sz w:val="20"/>
                <w:szCs w:val="20"/>
              </w:rPr>
              <w:t xml:space="preserve"> 31</w:t>
            </w:r>
            <w:r w:rsidRPr="00A263D0">
              <w:rPr>
                <w:rFonts w:ascii="Arial" w:hAnsi="Arial" w:cs="Arial"/>
                <w:i/>
                <w:sz w:val="20"/>
                <w:szCs w:val="20"/>
              </w:rPr>
              <w:t xml:space="preserve"> tháng 3 năm 2026</w:t>
            </w:r>
          </w:p>
        </w:tc>
      </w:tr>
    </w:tbl>
    <w:p w:rsidR="00CF3696" w:rsidRPr="00A263D0" w:rsidRDefault="00CF3696" w:rsidP="00CF3696">
      <w:pPr>
        <w:rPr>
          <w:rFonts w:ascii="Arial" w:hAnsi="Arial" w:cs="Arial"/>
          <w:sz w:val="20"/>
          <w:szCs w:val="20"/>
        </w:rPr>
      </w:pPr>
    </w:p>
    <w:p w:rsidR="00CF3696" w:rsidRDefault="00CF3696" w:rsidP="00CF3696">
      <w:pPr>
        <w:jc w:val="center"/>
        <w:rPr>
          <w:rFonts w:ascii="Arial" w:hAnsi="Arial"/>
          <w:b/>
          <w:sz w:val="20"/>
        </w:rPr>
      </w:pPr>
    </w:p>
    <w:p w:rsidR="00CF3696" w:rsidRDefault="00CF3696" w:rsidP="00CF3696">
      <w:pPr>
        <w:jc w:val="center"/>
      </w:pPr>
      <w:r>
        <w:rPr>
          <w:rFonts w:ascii="Arial" w:hAnsi="Arial"/>
          <w:b/>
          <w:sz w:val="20"/>
        </w:rPr>
        <w:t>NGHỊ ĐỊNH</w:t>
      </w:r>
    </w:p>
    <w:p w:rsidR="00CF3696" w:rsidRDefault="00CF3696" w:rsidP="00CF3696">
      <w:pPr>
        <w:jc w:val="center"/>
        <w:rPr>
          <w:rFonts w:ascii="Arial" w:hAnsi="Arial"/>
          <w:b/>
          <w:sz w:val="20"/>
        </w:rPr>
      </w:pPr>
      <w:r>
        <w:rPr>
          <w:rFonts w:ascii="Arial" w:hAnsi="Arial"/>
          <w:b/>
          <w:sz w:val="20"/>
        </w:rPr>
        <w:t xml:space="preserve">về chế độ, chính sách đặc thù đối với Hội đồng điều hành </w:t>
      </w:r>
      <w:r>
        <w:br/>
      </w:r>
      <w:r>
        <w:rPr>
          <w:rFonts w:ascii="Arial" w:hAnsi="Arial"/>
          <w:b/>
          <w:sz w:val="20"/>
        </w:rPr>
        <w:t>Trung tâm tài chính quốc tế tại Việt Nam</w:t>
      </w:r>
    </w:p>
    <w:p w:rsidR="00CF3696" w:rsidRDefault="00CF3696" w:rsidP="00CF3696">
      <w:pPr>
        <w:jc w:val="center"/>
      </w:pPr>
    </w:p>
    <w:p w:rsidR="00CF3696" w:rsidRDefault="00CF3696" w:rsidP="00CF3696">
      <w:pPr>
        <w:spacing w:after="120"/>
        <w:ind w:firstLine="720"/>
        <w:jc w:val="both"/>
      </w:pPr>
      <w:r>
        <w:rPr>
          <w:rFonts w:ascii="Arial" w:hAnsi="Arial"/>
          <w:i/>
          <w:sz w:val="20"/>
        </w:rPr>
        <w:t>Căn cứ Luật Tổ chức Chính phủ số 63/2025/QH15;</w:t>
      </w:r>
    </w:p>
    <w:p w:rsidR="00CF3696" w:rsidRDefault="00CF3696" w:rsidP="00CF3696">
      <w:pPr>
        <w:spacing w:after="120"/>
        <w:ind w:firstLine="720"/>
        <w:jc w:val="both"/>
      </w:pPr>
      <w:r>
        <w:rPr>
          <w:rFonts w:ascii="Arial" w:hAnsi="Arial"/>
          <w:i/>
          <w:sz w:val="20"/>
        </w:rPr>
        <w:t>Căn cứ Luật Cán bộ, công chức số 80/2025/QH15;</w:t>
      </w:r>
    </w:p>
    <w:p w:rsidR="00CF3696" w:rsidRDefault="00CF3696" w:rsidP="00CF3696">
      <w:pPr>
        <w:spacing w:after="120"/>
        <w:ind w:firstLine="720"/>
        <w:jc w:val="both"/>
      </w:pPr>
      <w:r>
        <w:rPr>
          <w:rFonts w:ascii="Arial" w:hAnsi="Arial"/>
          <w:i/>
          <w:sz w:val="20"/>
        </w:rPr>
        <w:t>Căn cứ Nghị quyết số 222/2025/QH15 của Quốc hội về Trung tâm tài chính quốc tế tại Việt Nam;</w:t>
      </w:r>
    </w:p>
    <w:p w:rsidR="00CF3696" w:rsidRDefault="00CF3696" w:rsidP="00CF3696">
      <w:pPr>
        <w:spacing w:after="120"/>
        <w:ind w:firstLine="720"/>
        <w:jc w:val="both"/>
      </w:pPr>
      <w:r>
        <w:rPr>
          <w:rFonts w:ascii="Arial" w:hAnsi="Arial"/>
          <w:i/>
          <w:sz w:val="20"/>
        </w:rPr>
        <w:t>Theo đề nghị của Bộ trưởng Bộ Nội vụ;</w:t>
      </w:r>
    </w:p>
    <w:p w:rsidR="00CF3696" w:rsidRDefault="00CF3696" w:rsidP="00CF3696">
      <w:pPr>
        <w:spacing w:after="120"/>
        <w:ind w:firstLine="720"/>
        <w:jc w:val="both"/>
      </w:pPr>
      <w:r>
        <w:rPr>
          <w:rFonts w:ascii="Arial" w:hAnsi="Arial"/>
          <w:i/>
          <w:sz w:val="20"/>
        </w:rPr>
        <w:t>Chính phủ ban hành Nghị định về chế độ, chính sách đặc thù đối với Hội đồng điều hành Trung tâm tài chính quốc tế tại Việt Nam.</w:t>
      </w:r>
    </w:p>
    <w:p w:rsidR="00CF3696" w:rsidRDefault="00CF3696" w:rsidP="00CF3696">
      <w:pPr>
        <w:spacing w:after="120"/>
        <w:ind w:firstLine="720"/>
        <w:jc w:val="both"/>
      </w:pPr>
      <w:r>
        <w:rPr>
          <w:rFonts w:ascii="Arial" w:hAnsi="Arial"/>
          <w:b/>
          <w:sz w:val="20"/>
        </w:rPr>
        <w:t>Điều 1. Phạm vi điều chỉnh</w:t>
      </w:r>
    </w:p>
    <w:p w:rsidR="00CF3696" w:rsidRDefault="00CF3696" w:rsidP="00CF3696">
      <w:pPr>
        <w:spacing w:after="120"/>
        <w:ind w:firstLine="720"/>
        <w:jc w:val="both"/>
      </w:pPr>
      <w:r>
        <w:rPr>
          <w:rFonts w:ascii="Arial" w:hAnsi="Arial"/>
          <w:sz w:val="20"/>
        </w:rPr>
        <w:t>Nghị định này quy định về chế độ, chính sách đặc thù đối với Hội đồng điều hành Trung tâm tài chính quốc tế tại Việt Nam (sau đây viết tắt là Hội đồng điều hành), người làm việc tại Cơ quan giúp việc của Hội đồng điều hành (sau đây viết tắt là Cơ quan giúp việc) và Hội đồng tư vấn Trung tâm tài chính quốc tế (sau đây viết tắt là Hội đồng tư vấn).</w:t>
      </w:r>
    </w:p>
    <w:p w:rsidR="00CF3696" w:rsidRDefault="00CF3696" w:rsidP="00CF3696">
      <w:pPr>
        <w:spacing w:after="120"/>
        <w:ind w:firstLine="720"/>
        <w:jc w:val="both"/>
      </w:pPr>
      <w:r>
        <w:rPr>
          <w:rFonts w:ascii="Arial" w:hAnsi="Arial"/>
          <w:b/>
          <w:sz w:val="20"/>
        </w:rPr>
        <w:t>Điều 2. Đối tượng áp dụng</w:t>
      </w:r>
    </w:p>
    <w:p w:rsidR="00CF3696" w:rsidRDefault="00CF3696" w:rsidP="00CF3696">
      <w:pPr>
        <w:spacing w:after="120"/>
        <w:ind w:firstLine="720"/>
        <w:jc w:val="both"/>
      </w:pPr>
      <w:r>
        <w:rPr>
          <w:rFonts w:ascii="Arial" w:hAnsi="Arial"/>
          <w:sz w:val="20"/>
        </w:rPr>
        <w:t>1. Chủ tịch, Phó Chủ tịch và thành viên Hội đồng điều hành.</w:t>
      </w:r>
    </w:p>
    <w:p w:rsidR="00CF3696" w:rsidRDefault="00CF3696" w:rsidP="00CF3696">
      <w:pPr>
        <w:spacing w:after="120"/>
        <w:ind w:firstLine="720"/>
        <w:jc w:val="both"/>
      </w:pPr>
      <w:r>
        <w:rPr>
          <w:rFonts w:ascii="Arial" w:hAnsi="Arial"/>
          <w:sz w:val="20"/>
        </w:rPr>
        <w:t>2. Người làm việc tại Cơ quan giúp việc và Hội đồng tư vấn.</w:t>
      </w:r>
    </w:p>
    <w:p w:rsidR="00CF3696" w:rsidRDefault="00CF3696" w:rsidP="00CF3696">
      <w:pPr>
        <w:spacing w:after="120"/>
        <w:ind w:firstLine="720"/>
        <w:jc w:val="both"/>
      </w:pPr>
      <w:r>
        <w:rPr>
          <w:rFonts w:ascii="Arial" w:hAnsi="Arial"/>
          <w:sz w:val="20"/>
        </w:rPr>
        <w:t>3. Các cơ quan, tổ chức, cá nhân khác có liên quan.</w:t>
      </w:r>
    </w:p>
    <w:p w:rsidR="00CF3696" w:rsidRDefault="00CF3696" w:rsidP="00CF3696">
      <w:pPr>
        <w:spacing w:after="120"/>
        <w:ind w:firstLine="720"/>
        <w:jc w:val="both"/>
      </w:pPr>
      <w:r>
        <w:rPr>
          <w:rFonts w:ascii="Arial" w:hAnsi="Arial"/>
          <w:b/>
          <w:sz w:val="20"/>
        </w:rPr>
        <w:t>Điều 3. Nguyên tắc thực hiện</w:t>
      </w:r>
    </w:p>
    <w:p w:rsidR="00CF3696" w:rsidRDefault="00CF3696" w:rsidP="00CF3696">
      <w:pPr>
        <w:spacing w:after="120"/>
        <w:ind w:firstLine="720"/>
        <w:jc w:val="both"/>
      </w:pPr>
      <w:r>
        <w:rPr>
          <w:rFonts w:ascii="Arial" w:hAnsi="Arial"/>
          <w:sz w:val="20"/>
        </w:rPr>
        <w:t>1. Việc thực hiện chế độ, chính sách đối với Hội đồng điều hành, Cơ quan giúp việc và Hội đồng tư vấn phải tuân thủ, chấp hành đầy đủ chủ trương của Đảng, pháp luật của Nhà nước, không trái với các quy định của các điều ước quốc tế mà Việt Nam là thành viên.</w:t>
      </w:r>
    </w:p>
    <w:p w:rsidR="00CF3696" w:rsidRDefault="00CF3696" w:rsidP="00CF3696">
      <w:pPr>
        <w:spacing w:after="120"/>
        <w:ind w:firstLine="720"/>
        <w:jc w:val="both"/>
      </w:pPr>
      <w:r>
        <w:rPr>
          <w:rFonts w:ascii="Arial" w:hAnsi="Arial"/>
          <w:sz w:val="20"/>
        </w:rPr>
        <w:t>2. Cán bộ, công chức, viên chức được điều động đến làm việc tại Cơ quan giúp việc thì thôi đảm nhiệm vị trí việc làm để thực hiện nhiệm vụ tại Cơ quan giúp việc, được tiếp tục hưởng mức lương và phụ cấp chức vụ lãnh đạo (nếu có) hiện hưởng; thời gian làm việc tại Cơ quan giúp việc được tính là thời gian công tác liên tục để tính hưởng chế độ, chính sách theo quy định.</w:t>
      </w:r>
    </w:p>
    <w:p w:rsidR="00CF3696" w:rsidRDefault="00CF3696" w:rsidP="00CF3696">
      <w:pPr>
        <w:spacing w:after="120"/>
        <w:ind w:firstLine="720"/>
        <w:jc w:val="both"/>
      </w:pPr>
      <w:r>
        <w:rPr>
          <w:rFonts w:ascii="Arial" w:hAnsi="Arial"/>
          <w:sz w:val="20"/>
        </w:rPr>
        <w:t>3. Kinh phí thực hiện chế độ, chính sách quy định tại Nghị định này do ngân sách nhà nước bố trí và từ các nguồn hợp pháp khác. Nguồn ngân sách nhà nước được bố trí trong dự toán chi ngân sách nhà nước của Văn phòng Chính phủ.</w:t>
      </w:r>
    </w:p>
    <w:p w:rsidR="00CF3696" w:rsidRDefault="00CF3696" w:rsidP="00CF3696">
      <w:pPr>
        <w:spacing w:after="120"/>
        <w:ind w:firstLine="720"/>
        <w:jc w:val="both"/>
      </w:pPr>
      <w:r>
        <w:rPr>
          <w:rFonts w:ascii="Arial" w:hAnsi="Arial"/>
          <w:sz w:val="20"/>
        </w:rPr>
        <w:t>4. Việc tuyển dụng, tiếp nhận, đánh giá và trả lương theo kết quả thực hiện nhiệm vụ của người làm việc tại Cơ quan giúp việc và Hội đồng tư vấn thực hiện theo quy chế do Hội đồng điều hành ban hành. Kết quả đánh giá được sử dụng là cơ sở để thực hiện chế độ, chính sách hoặc chấm dứt hợp đồng.</w:t>
      </w:r>
    </w:p>
    <w:p w:rsidR="00CF3696" w:rsidRDefault="00CF3696" w:rsidP="00CF3696">
      <w:pPr>
        <w:spacing w:after="120"/>
        <w:ind w:firstLine="720"/>
        <w:jc w:val="both"/>
      </w:pPr>
      <w:r>
        <w:rPr>
          <w:rFonts w:ascii="Arial" w:hAnsi="Arial"/>
          <w:b/>
          <w:sz w:val="20"/>
        </w:rPr>
        <w:t>Điều 4. Chế độ, chính sách đối với Hội đồng điều hành</w:t>
      </w:r>
    </w:p>
    <w:p w:rsidR="00CF3696" w:rsidRDefault="00CF3696" w:rsidP="00CF3696">
      <w:pPr>
        <w:spacing w:after="120"/>
        <w:ind w:firstLine="720"/>
        <w:jc w:val="both"/>
      </w:pPr>
      <w:r>
        <w:rPr>
          <w:rFonts w:ascii="Arial" w:hAnsi="Arial"/>
          <w:sz w:val="20"/>
        </w:rPr>
        <w:t>1. Trường hợp Chủ tịch, Phó Chủ tịch và thành viên Hội đồng điều hành làm việc kiêm nhiệm, ngoài tiền lương hằng tháng được hưởng phụ cấp bằng 50% mức lương hiện hưởng (mức lương chức vụ hoặc mức lương theo ngạch công chức cộng phụ cấp chức vụ lãnh đạo). Phụ cấp này không dùng để tính đóng, hư</w:t>
      </w:r>
      <w:bookmarkStart w:id="0" w:name="_GoBack"/>
      <w:bookmarkEnd w:id="0"/>
      <w:r>
        <w:rPr>
          <w:rFonts w:ascii="Arial" w:hAnsi="Arial"/>
          <w:sz w:val="20"/>
        </w:rPr>
        <w:t>ởng chế độ bảo hiểm xã hội bắt buộc, bảo hiểm y tế.</w:t>
      </w:r>
    </w:p>
    <w:p w:rsidR="00CF3696" w:rsidRDefault="00CF3696" w:rsidP="00CF3696">
      <w:pPr>
        <w:spacing w:after="120"/>
        <w:ind w:firstLine="720"/>
        <w:jc w:val="both"/>
      </w:pPr>
      <w:r>
        <w:rPr>
          <w:rFonts w:ascii="Arial" w:hAnsi="Arial"/>
          <w:sz w:val="20"/>
        </w:rPr>
        <w:t>2. Trường hợp Chủ tịch Hội đồng điều hành làm việc chuyên trách được hưởng chế độ, chính sách như sau:</w:t>
      </w:r>
    </w:p>
    <w:p w:rsidR="00CF3696" w:rsidRDefault="00CF3696" w:rsidP="00CF3696">
      <w:pPr>
        <w:spacing w:after="120"/>
        <w:ind w:firstLine="720"/>
        <w:jc w:val="both"/>
      </w:pPr>
      <w:r>
        <w:rPr>
          <w:rFonts w:ascii="Arial" w:hAnsi="Arial"/>
          <w:sz w:val="20"/>
        </w:rPr>
        <w:lastRenderedPageBreak/>
        <w:t>a) Được tiếp tục hưởng mức lương và các khoản phụ cấp lương (nếu có) đã hưởng và được hưởng phụ cấp tăng thêm hằng tháng bằng 80% mức lương hiện hưởng. Phụ cấp này không dùng để tính đóng, hưởng chế độ bảo hiểm xã hội bắt buộc, bảo hiểm y tế.</w:t>
      </w:r>
    </w:p>
    <w:p w:rsidR="00CF3696" w:rsidRDefault="00CF3696" w:rsidP="00CF3696">
      <w:pPr>
        <w:spacing w:after="120"/>
        <w:ind w:firstLine="720"/>
        <w:jc w:val="both"/>
      </w:pPr>
      <w:r>
        <w:rPr>
          <w:rFonts w:ascii="Arial" w:hAnsi="Arial"/>
          <w:sz w:val="20"/>
        </w:rPr>
        <w:t>b) Được hưởng các chế độ, chính sách về tiền thưởng, nhà ở, phương tiện đi lại, điều kiện làm việc, tôn vinh, khen thưởng, chăm sóc y tế, nghỉ dưỡng và nghỉ phép trong năm quy định tại khoản 2, khoản 5, khoản 6 và khoản 7 Điều 24 Nghị định số 231/2025/NĐ-CP ngày 26 tháng 8 năm 2025 của Chính phủ quy định về tuyển chọn, sử dụng Tổng công trình sư, Kiến trúc sư trưởng về khoa học, công nghệ, đổi mới sáng tạo và chuyển đổi số quốc gia.</w:t>
      </w:r>
    </w:p>
    <w:p w:rsidR="00CF3696" w:rsidRDefault="00CF3696" w:rsidP="00CF3696">
      <w:pPr>
        <w:spacing w:after="120"/>
        <w:ind w:firstLine="720"/>
        <w:jc w:val="both"/>
      </w:pPr>
      <w:r>
        <w:rPr>
          <w:rFonts w:ascii="Arial" w:hAnsi="Arial"/>
          <w:sz w:val="20"/>
        </w:rPr>
        <w:t>3. Trường hợp thành viên Hội đồng điều hành làm việc chuyên trách được hưởng chế độ, chính sách tương đương với người đứng đầu Cơ quan giúp việc quy định tại khoản 1 và khoản 3 Điều 5 Nghị định này.</w:t>
      </w:r>
    </w:p>
    <w:p w:rsidR="00CF3696" w:rsidRDefault="00CF3696" w:rsidP="00CF3696">
      <w:pPr>
        <w:spacing w:after="120"/>
        <w:ind w:firstLine="720"/>
        <w:jc w:val="both"/>
      </w:pPr>
      <w:r>
        <w:rPr>
          <w:rFonts w:ascii="Arial" w:hAnsi="Arial"/>
          <w:b/>
          <w:sz w:val="20"/>
        </w:rPr>
        <w:t>Điều 5. Chế độ, chính sách đối với người làm việc tại Cơ quan giúp việc</w:t>
      </w:r>
    </w:p>
    <w:p w:rsidR="00CF3696" w:rsidRDefault="00CF3696" w:rsidP="00CF3696">
      <w:pPr>
        <w:spacing w:after="120"/>
        <w:ind w:firstLine="720"/>
        <w:jc w:val="both"/>
      </w:pPr>
      <w:r>
        <w:rPr>
          <w:rFonts w:ascii="Arial" w:hAnsi="Arial"/>
          <w:sz w:val="20"/>
        </w:rPr>
        <w:t>1. Chủ tịch Hội đồng điều hành quyết định tuyển dụng, quản lý, sử dụng cán bộ, công chức, viên chức đến làm việc tại Cơ quan giúp việc. Người đứng đầu và cấp phó của người đứng đầu Cơ quan giúp việc được hưởng chế độ tương đương cấp Vụ thuộc bộ.</w:t>
      </w:r>
    </w:p>
    <w:p w:rsidR="00CF3696" w:rsidRDefault="00CF3696" w:rsidP="00CF3696">
      <w:pPr>
        <w:spacing w:after="120"/>
        <w:ind w:firstLine="720"/>
        <w:jc w:val="both"/>
      </w:pPr>
      <w:r>
        <w:rPr>
          <w:rFonts w:ascii="Arial" w:hAnsi="Arial"/>
          <w:sz w:val="20"/>
        </w:rPr>
        <w:t>2. Hội đồng điều hành quyết định số lượng và lựa chọn nhân sự làm việc tại Cơ quan giúp việc trên cơ sở đề xuất của người đứng đầu Cơ quan giúp việc.</w:t>
      </w:r>
    </w:p>
    <w:p w:rsidR="00CF3696" w:rsidRDefault="00CF3696" w:rsidP="00CF3696">
      <w:pPr>
        <w:spacing w:after="120"/>
        <w:ind w:firstLine="720"/>
        <w:jc w:val="both"/>
      </w:pPr>
      <w:r>
        <w:rPr>
          <w:rFonts w:ascii="Arial" w:hAnsi="Arial"/>
          <w:sz w:val="20"/>
        </w:rPr>
        <w:t>3. Người được tuyển dụng hoặc điều động đến làm việc tại Cơ quan giúp việc được hưởng chế độ, chính sách như sau:</w:t>
      </w:r>
    </w:p>
    <w:p w:rsidR="00CF3696" w:rsidRDefault="00CF3696" w:rsidP="00CF3696">
      <w:pPr>
        <w:spacing w:after="120"/>
        <w:ind w:firstLine="720"/>
        <w:jc w:val="both"/>
      </w:pPr>
      <w:r>
        <w:rPr>
          <w:rFonts w:ascii="Arial" w:hAnsi="Arial"/>
          <w:sz w:val="20"/>
        </w:rPr>
        <w:t>a) Được hưởng mức lương theo ngạch công chức, chức danh nghề nghiệp viên chức; phụ cấp chức vụ lãnh đạo (nếu có); phụ cấp thâm niên vượt khung (nếu có) và các khoản phụ cấp lương đối với công chức hành chính; đồng thời được hưởng phụ cấp tăng thêm hằng tháng bằng 80% mức lương hiện hưởng của ngạch công chức, chức danh nghề nghiệp viên chức. Phụ cấp này không dùng để tính đóng, hưởng chế độ bảo hiểm xã hội bắt buộc, bảo hiểm y tế.</w:t>
      </w:r>
    </w:p>
    <w:p w:rsidR="00CF3696" w:rsidRDefault="00CF3696" w:rsidP="00CF3696">
      <w:pPr>
        <w:spacing w:after="120"/>
        <w:ind w:firstLine="720"/>
        <w:jc w:val="both"/>
      </w:pPr>
      <w:r>
        <w:rPr>
          <w:rFonts w:ascii="Arial" w:hAnsi="Arial"/>
          <w:sz w:val="20"/>
        </w:rPr>
        <w:t>Trường hợp người được thu hút theo diện tài năng hoặc cán bộ, công chức, viên chức được đánh giá là người có năng lực, chuyên môn nổi trội, xuất sắc được cơ quan, đơn vị quản lý xác định là người tài năng thì được hưởng phụ cấp tăng thêm hằng tháng bằng 150% mức lương hiện hưởng theo quy định tại Nghị định số 179/2024/NĐ-CP ngày 31 tháng 12 năm 2024 của Chính phủ quy định về chính sách thu hút, trọng dụng người có tài năng làm việc trong cơ quan, tổ chức, đơn vị của Đảng Cộng sản Việt Nam, Nhà nước, Mặt trận Tổ quốc Việt Nam và các tổ chức chính trị - xã hội.</w:t>
      </w:r>
    </w:p>
    <w:p w:rsidR="00CF3696" w:rsidRDefault="00CF3696" w:rsidP="00CF3696">
      <w:pPr>
        <w:spacing w:after="120"/>
        <w:ind w:firstLine="720"/>
        <w:jc w:val="both"/>
      </w:pPr>
      <w:r>
        <w:rPr>
          <w:rFonts w:ascii="Arial" w:hAnsi="Arial"/>
          <w:sz w:val="20"/>
        </w:rPr>
        <w:t>b) Được đầu tư trang thiết bị, phương tiện làm việc để triển khai thực hiện tốt nhiệm vụ được giao. Trường hợp cần thiết được đầu tư nguồn lực và các trang thiết bị đặc biệt để thực hiện các nội dung của chương trình, đề án, đề tài, công trình nghiên cứu khoa học đã được cấp có thẩm quyền đánh giá là khả thi, đề nghị áp dụng trong thực tiễn.</w:t>
      </w:r>
    </w:p>
    <w:p w:rsidR="00CF3696" w:rsidRDefault="00CF3696" w:rsidP="00CF3696">
      <w:pPr>
        <w:spacing w:after="120"/>
        <w:ind w:firstLine="720"/>
        <w:jc w:val="both"/>
      </w:pPr>
      <w:r>
        <w:rPr>
          <w:rFonts w:ascii="Arial" w:hAnsi="Arial"/>
          <w:sz w:val="20"/>
        </w:rPr>
        <w:t>c) Được xem xét cử tham gia các hội thảo, lớp tập huấn trong nước và quốc tế liên quan đến ngành nghề, lĩnh vực công tác, nhiệm vụ được giao và định hướng phát triển hoặc các chương trình đào tạo, bồi dưỡng kiến thức ngắn hạn tối đa 01 năm, các khóa học cấp chứng chỉ quốc tế chuyên sâu trong nước và quốc tế liên quan đến ngành nghề, lĩnh vực công tác, nhiệm vụ được giao và định hướng phát triển.</w:t>
      </w:r>
    </w:p>
    <w:p w:rsidR="00CF3696" w:rsidRDefault="00CF3696" w:rsidP="00CF3696">
      <w:pPr>
        <w:spacing w:after="120"/>
        <w:ind w:firstLine="720"/>
        <w:jc w:val="both"/>
      </w:pPr>
      <w:r>
        <w:rPr>
          <w:rFonts w:ascii="Arial" w:hAnsi="Arial"/>
          <w:sz w:val="20"/>
        </w:rPr>
        <w:t>d) Sau khi kết thúc thời gian làm việc, được đánh giá hoàn thành tốt nhiệm vụ trở lên thì được cơ quan quản lý cán bộ, công chức, viên chức bố trí vị trí việc làm bằng hoặc cao hơn vị trí việc làm đã đảm nhận.</w:t>
      </w:r>
    </w:p>
    <w:p w:rsidR="00CF3696" w:rsidRDefault="00CF3696" w:rsidP="00CF3696">
      <w:pPr>
        <w:spacing w:after="120"/>
        <w:ind w:firstLine="720"/>
        <w:jc w:val="both"/>
      </w:pPr>
      <w:r>
        <w:rPr>
          <w:rFonts w:ascii="Arial" w:hAnsi="Arial"/>
          <w:sz w:val="20"/>
        </w:rPr>
        <w:t>đ) Trường hợp được đánh giá hoàn thành xuất sắc nhiệm vụ được xem xét bổ nhiệm giữ chức vụ lãnh đạo cao hơn chức vụ lãnh đạo đã đảm nhiệm; được cấp có thẩm quyền xem xét, quyết định theo trường hợp đặc biệt còn thiếu tiêu chuẩn, điều kiện về quy hoạch, độ tuổi, thời gian giữ chức vụ tương đương.</w:t>
      </w:r>
    </w:p>
    <w:p w:rsidR="00CF3696" w:rsidRDefault="00CF3696" w:rsidP="00CF3696">
      <w:pPr>
        <w:spacing w:after="120"/>
        <w:ind w:firstLine="720"/>
        <w:jc w:val="both"/>
      </w:pPr>
      <w:r>
        <w:rPr>
          <w:rFonts w:ascii="Arial" w:hAnsi="Arial"/>
          <w:sz w:val="20"/>
        </w:rPr>
        <w:t xml:space="preserve">e) Trường hợp không đáp ứng yêu cầu của công việc thì được điều động trở lại cơ quan, đơn vị trước khi đến làm việc tại Cơ quan giúp việc. Cơ quan quản lý cán bộ, công chức, viên chức có trách nhiệm </w:t>
      </w:r>
      <w:r>
        <w:rPr>
          <w:rFonts w:ascii="Arial" w:hAnsi="Arial"/>
          <w:sz w:val="20"/>
        </w:rPr>
        <w:lastRenderedPageBreak/>
        <w:t>bố trí công việc phù hợp với năng lực của cán bộ, công chức, viên chức và điều kiện thực tế của cơ quan, tổ chức, đơn vị.</w:t>
      </w:r>
    </w:p>
    <w:p w:rsidR="00CF3696" w:rsidRDefault="00CF3696" w:rsidP="00CF3696">
      <w:pPr>
        <w:spacing w:after="120"/>
        <w:ind w:firstLine="720"/>
        <w:jc w:val="both"/>
      </w:pPr>
      <w:r>
        <w:rPr>
          <w:rFonts w:ascii="Arial" w:hAnsi="Arial"/>
          <w:sz w:val="20"/>
        </w:rPr>
        <w:t>g) Trường hợp bị xếp loại chất lượng ở mức không hoàn thành nhiệm vụ gắn với thực thi chức trách nhiệm vụ, công việc được giao thì thực hiện tinh giản biên chế theo quy định hiện hành về tinh giản biên chế.</w:t>
      </w:r>
    </w:p>
    <w:p w:rsidR="00CF3696" w:rsidRDefault="00CF3696" w:rsidP="00CF3696">
      <w:pPr>
        <w:spacing w:after="120"/>
        <w:ind w:firstLine="720"/>
        <w:jc w:val="both"/>
      </w:pPr>
      <w:r>
        <w:rPr>
          <w:rFonts w:ascii="Arial" w:hAnsi="Arial"/>
          <w:sz w:val="20"/>
        </w:rPr>
        <w:t>4. Người đứng đầu Cơ quan giúp việc căn cứ nhu cầu công việc quyết định ký kết hợp đồng lao động để thực hiện công việc hỗ trợ, phục vụ tại Cơ quan giúp việc; mức tiền lương và tiền thưởng theo cơ chế thỏa thuận trên cơ sở yêu cầu công việc, năng lực, đóng góp và kết quả thực hiện nhiệm vụ của người lao động.</w:t>
      </w:r>
    </w:p>
    <w:p w:rsidR="00CF3696" w:rsidRDefault="00CF3696" w:rsidP="00CF3696">
      <w:pPr>
        <w:spacing w:after="120"/>
        <w:ind w:firstLine="720"/>
        <w:jc w:val="both"/>
      </w:pPr>
      <w:r>
        <w:rPr>
          <w:rFonts w:ascii="Arial" w:hAnsi="Arial"/>
          <w:b/>
          <w:sz w:val="20"/>
        </w:rPr>
        <w:t>Điều 6. Chế độ, chính sách đối với chuyên gia của Hội đồng tư vấn</w:t>
      </w:r>
    </w:p>
    <w:p w:rsidR="00CF3696" w:rsidRDefault="00CF3696" w:rsidP="00CF3696">
      <w:pPr>
        <w:spacing w:after="120"/>
        <w:ind w:firstLine="720"/>
        <w:jc w:val="both"/>
      </w:pPr>
      <w:r>
        <w:rPr>
          <w:rFonts w:ascii="Arial" w:hAnsi="Arial"/>
          <w:sz w:val="20"/>
        </w:rPr>
        <w:t>1. Căn cứ nhu cầu sử dụng, nhiệm vụ và mục tiêu hoạt động của Hội đồng điều hành, Chủ tịch Hội đồng điều hành ký hợp đồng lao động đối với các chuyên gia tài chính, pháp lý uy tín trong nước và quốc tế để làm thành viên của Hội đồng tư vấn.</w:t>
      </w:r>
    </w:p>
    <w:p w:rsidR="00CF3696" w:rsidRDefault="00CF3696" w:rsidP="00CF3696">
      <w:pPr>
        <w:spacing w:after="120"/>
        <w:ind w:firstLine="720"/>
        <w:jc w:val="both"/>
      </w:pPr>
      <w:r>
        <w:rPr>
          <w:rFonts w:ascii="Arial" w:hAnsi="Arial"/>
          <w:sz w:val="20"/>
        </w:rPr>
        <w:t>2. Các chuyên gia làm việc tại Hội đồng tư vấn theo chế độ hợp đồng lao động; hưởng lương theo cơ chế thỏa thuận. Chủ tịch Hội đồng điều hành quyết định mức lương, nội dung thỏa thuận trong hợp đồng lao động đối với các chuyên gia của Hội đồng tư vấn trên cơ sở yêu cầu công việc, năng lực, đóng góp của chuyên gia; học hàm, học vị, kinh nghiệm trong lĩnh vực chuyên môn và kết quả thực hiện nhiệm vụ được giao.</w:t>
      </w:r>
    </w:p>
    <w:p w:rsidR="00CF3696" w:rsidRDefault="00CF3696" w:rsidP="00CF3696">
      <w:pPr>
        <w:spacing w:after="120"/>
        <w:ind w:firstLine="720"/>
        <w:jc w:val="both"/>
      </w:pPr>
      <w:r>
        <w:rPr>
          <w:rFonts w:ascii="Arial" w:hAnsi="Arial"/>
          <w:sz w:val="20"/>
        </w:rPr>
        <w:t>3. Chuyên gia là người Việt Nam làm việc tại Hội đồng tư vấn trong độ tuổi lao động theo quy định của pháp luật về lao động, sau khi kết thúc thời gian làm việc tại Hội đồng tư vấn nếu có nguyện vọng công tác lâu dài tại cơ quan, tổ chức, đơn vị trong hệ thống chính trị thì được cấp có thẩm quyền xem xét tiếp nhận vào làm công chức, viên chức, được hưởng tiền lương theo vị trí việc làm đảm nhận và được hưởng thêm phụ cấp bằng 150% mức lương theo ngạch công chức, chức danh nghề nghiệp viên chức trong thời hạn 05 năm. Thời gian làm việc tại Hội đồng tư vấn được tính làm căn cứ xếp lương theo vị trí việc làm khi được tuyển dụng.</w:t>
      </w:r>
    </w:p>
    <w:p w:rsidR="00CF3696" w:rsidRDefault="00CF3696" w:rsidP="00CF3696">
      <w:pPr>
        <w:spacing w:after="120"/>
        <w:ind w:firstLine="720"/>
        <w:jc w:val="both"/>
      </w:pPr>
      <w:r>
        <w:rPr>
          <w:rFonts w:ascii="Arial" w:hAnsi="Arial"/>
          <w:b/>
          <w:sz w:val="20"/>
        </w:rPr>
        <w:t>Điều 7. Tổ chức thực hiện</w:t>
      </w:r>
    </w:p>
    <w:p w:rsidR="00CF3696" w:rsidRDefault="00CF3696" w:rsidP="00CF3696">
      <w:pPr>
        <w:spacing w:after="120"/>
        <w:ind w:firstLine="720"/>
        <w:jc w:val="both"/>
      </w:pPr>
      <w:r>
        <w:rPr>
          <w:rFonts w:ascii="Arial" w:hAnsi="Arial"/>
          <w:sz w:val="20"/>
        </w:rPr>
        <w:t>1. Bộ Tài chính có trách nhiệm bố trí ngân sách nhà nước hằng năm bảo đảm hoạt động của Hội đồng điều hành, Cơ quan giúp việc và Hội đồng tư vấn theo quy định của pháp luật về ngân sách, pháp luật quản lý ngành, lĩnh vực.</w:t>
      </w:r>
    </w:p>
    <w:p w:rsidR="00CF3696" w:rsidRDefault="00CF3696" w:rsidP="00CF3696">
      <w:pPr>
        <w:spacing w:after="120"/>
        <w:ind w:firstLine="720"/>
        <w:jc w:val="both"/>
      </w:pPr>
      <w:r>
        <w:rPr>
          <w:rFonts w:ascii="Arial" w:hAnsi="Arial"/>
          <w:sz w:val="20"/>
        </w:rPr>
        <w:t>2. Hội đồng điều hành có trách nhiệm xây dựng Quy chế hoạt động của Hội đồng điều hành, Cơ quan giúp việc và Hội đồng tư vấn.</w:t>
      </w:r>
    </w:p>
    <w:p w:rsidR="00CF3696" w:rsidRDefault="00CF3696" w:rsidP="00CF3696">
      <w:pPr>
        <w:spacing w:after="120"/>
        <w:ind w:firstLine="720"/>
        <w:jc w:val="both"/>
      </w:pPr>
      <w:r>
        <w:rPr>
          <w:rFonts w:ascii="Arial" w:hAnsi="Arial"/>
          <w:sz w:val="20"/>
        </w:rPr>
        <w:t>3. Bộ Nội vụ chủ trì, phối hợp với Bộ Tài chính và các cơ quan có liên quan hướng dẫn, kiểm tra việc thực hiện chế độ, chính sách đối với Hội đồng điều hành, Cơ quan giúp việc và Hội đồng tư vấn theo quy định tại Nghị định này.</w:t>
      </w:r>
    </w:p>
    <w:p w:rsidR="00CF3696" w:rsidRDefault="00CF3696" w:rsidP="00CF3696">
      <w:pPr>
        <w:spacing w:after="120"/>
        <w:ind w:firstLine="720"/>
        <w:jc w:val="both"/>
      </w:pPr>
      <w:r>
        <w:rPr>
          <w:rFonts w:ascii="Arial" w:hAnsi="Arial"/>
          <w:sz w:val="20"/>
        </w:rPr>
        <w:t>4. Các bộ, cơ quan ngang bộ, Ủy ban nhân dân cấp tỉnh căn cứ chức năng, nhiệm vụ có trách nhiệm phối hợp với Hội đồng điều hành theo đề nghị của Chủ tịch Hội đồng điều hành trong quá trình hoạt động của Hội đồng điều hành.</w:t>
      </w:r>
    </w:p>
    <w:p w:rsidR="00CF3696" w:rsidRDefault="00CF3696" w:rsidP="00CF3696">
      <w:pPr>
        <w:spacing w:after="120"/>
        <w:ind w:firstLine="720"/>
        <w:jc w:val="both"/>
      </w:pPr>
      <w:r>
        <w:rPr>
          <w:rFonts w:ascii="Arial" w:hAnsi="Arial"/>
          <w:b/>
          <w:sz w:val="20"/>
        </w:rPr>
        <w:t>Điều 8. Hiệu lực thi hành</w:t>
      </w:r>
    </w:p>
    <w:p w:rsidR="00CF3696" w:rsidRDefault="00CF3696" w:rsidP="00CF3696">
      <w:pPr>
        <w:spacing w:after="120"/>
        <w:ind w:firstLine="720"/>
        <w:jc w:val="both"/>
      </w:pPr>
      <w:r>
        <w:rPr>
          <w:rFonts w:ascii="Arial" w:hAnsi="Arial"/>
          <w:sz w:val="20"/>
        </w:rPr>
        <w:t>1. Nghị định này có hiệu lực thi hành từ ngày 31 tháng 3 năm 2026.</w:t>
      </w:r>
    </w:p>
    <w:p w:rsidR="00CF3696" w:rsidRDefault="00CF3696" w:rsidP="00CF3696">
      <w:pPr>
        <w:spacing w:after="120"/>
        <w:ind w:firstLine="720"/>
        <w:jc w:val="both"/>
      </w:pPr>
      <w:r>
        <w:rPr>
          <w:rFonts w:ascii="Arial" w:hAnsi="Arial"/>
          <w:sz w:val="20"/>
        </w:rPr>
        <w:t xml:space="preserve">2. Trường hợp các văn bản dẫn chiếu tại Nghị định này được sửa đổi, bổ sung, thay thế thì thực hiện theo quy định tương ứng tại văn bản sửa đổi, bổ sung, thay thế. </w:t>
      </w:r>
    </w:p>
    <w:p w:rsidR="00CF3696" w:rsidRDefault="00CF3696" w:rsidP="00CF3696">
      <w:pPr>
        <w:spacing w:after="120"/>
        <w:ind w:firstLine="720"/>
        <w:jc w:val="both"/>
      </w:pPr>
      <w:r>
        <w:rPr>
          <w:rFonts w:ascii="Arial" w:hAnsi="Arial"/>
          <w:b/>
          <w:sz w:val="20"/>
        </w:rPr>
        <w:t>Điều 9. Trách nhiệm thi hành</w:t>
      </w:r>
    </w:p>
    <w:p w:rsidR="00CF3696" w:rsidRDefault="00CF3696" w:rsidP="00CF3696">
      <w:pPr>
        <w:ind w:firstLine="720"/>
        <w:jc w:val="both"/>
      </w:pPr>
      <w:r>
        <w:rPr>
          <w:rFonts w:ascii="Arial" w:hAnsi="Arial"/>
          <w:sz w:val="20"/>
        </w:rP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sidR="00CF3696" w:rsidRPr="00A263D0" w:rsidRDefault="00CF3696" w:rsidP="00CF3696">
      <w:pPr>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5245"/>
        <w:gridCol w:w="4115"/>
      </w:tblGrid>
      <w:tr w:rsidR="00CF3696" w:rsidRPr="00A263D0" w:rsidTr="00CF3696">
        <w:trPr>
          <w:trHeight w:val="426"/>
        </w:trPr>
        <w:tc>
          <w:tcPr>
            <w:tcW w:w="2802" w:type="pct"/>
            <w:shd w:val="clear" w:color="auto" w:fill="auto"/>
          </w:tcPr>
          <w:p w:rsidR="00CF3696" w:rsidRPr="00A263D0" w:rsidRDefault="00CF3696" w:rsidP="00CF3696">
            <w:pPr>
              <w:widowControl w:val="0"/>
              <w:rPr>
                <w:rFonts w:ascii="Arial" w:hAnsi="Arial" w:cs="Arial"/>
                <w:b/>
                <w:sz w:val="20"/>
                <w:szCs w:val="20"/>
              </w:rPr>
            </w:pPr>
            <w:r w:rsidRPr="00A263D0">
              <w:rPr>
                <w:rFonts w:ascii="Arial" w:hAnsi="Arial" w:cs="Arial"/>
                <w:b/>
                <w:sz w:val="20"/>
                <w:szCs w:val="20"/>
              </w:rPr>
              <w:t xml:space="preserve">Nơi nhận: </w:t>
            </w:r>
          </w:p>
          <w:p w:rsidR="00CF3696" w:rsidRDefault="00CF3696" w:rsidP="00CF3696">
            <w:r>
              <w:rPr>
                <w:rFonts w:ascii="Arial" w:hAnsi="Arial"/>
                <w:sz w:val="20"/>
              </w:rPr>
              <w:t>- Ban Bí thư Trung ương Đảng;</w:t>
            </w:r>
          </w:p>
          <w:p w:rsidR="00CF3696" w:rsidRDefault="00CF3696" w:rsidP="00CF3696">
            <w:r>
              <w:rPr>
                <w:rFonts w:ascii="Arial" w:hAnsi="Arial"/>
                <w:sz w:val="20"/>
              </w:rPr>
              <w:lastRenderedPageBreak/>
              <w:t>- Thủ tướng, các Phó Thủ tướng Chính phủ;</w:t>
            </w:r>
          </w:p>
          <w:p w:rsidR="00CF3696" w:rsidRDefault="00CF3696" w:rsidP="00CF3696">
            <w:r>
              <w:rPr>
                <w:rFonts w:ascii="Arial" w:hAnsi="Arial"/>
                <w:sz w:val="20"/>
              </w:rPr>
              <w:t>- Các bộ, cơ quan ngang bộ, cơ quan thuộc Chính phủ</w:t>
            </w:r>
          </w:p>
          <w:p w:rsidR="00CF3696" w:rsidRDefault="00CF3696" w:rsidP="00CF3696">
            <w:r>
              <w:rPr>
                <w:rFonts w:ascii="Arial" w:hAnsi="Arial"/>
                <w:sz w:val="20"/>
              </w:rPr>
              <w:t>- HĐND, UBND các tỉnh, thành phố trực thuộc trung ương</w:t>
            </w:r>
          </w:p>
          <w:p w:rsidR="00CF3696" w:rsidRDefault="00CF3696" w:rsidP="00CF3696">
            <w:r>
              <w:rPr>
                <w:rFonts w:ascii="Arial" w:hAnsi="Arial"/>
                <w:sz w:val="20"/>
              </w:rPr>
              <w:t>- Văn phòng Trung ương và các Ban của Đảng;</w:t>
            </w:r>
          </w:p>
          <w:p w:rsidR="00CF3696" w:rsidRDefault="00CF3696" w:rsidP="00CF3696">
            <w:r>
              <w:rPr>
                <w:rFonts w:ascii="Arial" w:hAnsi="Arial"/>
                <w:sz w:val="20"/>
              </w:rPr>
              <w:t>- Văn phòng Tổng Bí thư;</w:t>
            </w:r>
          </w:p>
          <w:p w:rsidR="00CF3696" w:rsidRDefault="00CF3696" w:rsidP="00CF3696">
            <w:r>
              <w:rPr>
                <w:rFonts w:ascii="Arial" w:hAnsi="Arial"/>
                <w:sz w:val="20"/>
              </w:rPr>
              <w:t>- Văn phòng Chủ tịch nước;</w:t>
            </w:r>
          </w:p>
          <w:p w:rsidR="00CF3696" w:rsidRDefault="00CF3696" w:rsidP="00CF3696">
            <w:r>
              <w:rPr>
                <w:rFonts w:ascii="Arial" w:hAnsi="Arial"/>
                <w:sz w:val="20"/>
              </w:rPr>
              <w:t>- Hội đồng Dân tộc và các ủy ban của Quốc hội;</w:t>
            </w:r>
          </w:p>
          <w:p w:rsidR="00CF3696" w:rsidRDefault="00CF3696" w:rsidP="00CF3696">
            <w:pPr>
              <w:jc w:val="both"/>
            </w:pPr>
            <w:r>
              <w:rPr>
                <w:rFonts w:ascii="Arial" w:hAnsi="Arial"/>
                <w:sz w:val="20"/>
              </w:rPr>
              <w:t>- Văn phòng Quốc hội;</w:t>
            </w:r>
          </w:p>
          <w:p w:rsidR="00CF3696" w:rsidRDefault="00CF3696" w:rsidP="00CF3696">
            <w:pPr>
              <w:jc w:val="both"/>
            </w:pPr>
            <w:r>
              <w:rPr>
                <w:rFonts w:ascii="Arial" w:hAnsi="Arial"/>
                <w:sz w:val="20"/>
              </w:rPr>
              <w:t>- Tòa án nhân dân tối cao;</w:t>
            </w:r>
          </w:p>
          <w:p w:rsidR="00CF3696" w:rsidRDefault="00CF3696" w:rsidP="00CF3696">
            <w:pPr>
              <w:jc w:val="both"/>
            </w:pPr>
            <w:r>
              <w:rPr>
                <w:rFonts w:ascii="Arial" w:hAnsi="Arial"/>
                <w:sz w:val="20"/>
              </w:rPr>
              <w:t>- Viện kiểm sát nhân dân tối cao;</w:t>
            </w:r>
          </w:p>
          <w:p w:rsidR="00CF3696" w:rsidRDefault="00CF3696" w:rsidP="00CF3696">
            <w:pPr>
              <w:jc w:val="both"/>
            </w:pPr>
            <w:r>
              <w:rPr>
                <w:rFonts w:ascii="Arial" w:hAnsi="Arial"/>
                <w:sz w:val="20"/>
              </w:rPr>
              <w:t>- Kiểm toán nhà nước;</w:t>
            </w:r>
          </w:p>
          <w:p w:rsidR="00CF3696" w:rsidRDefault="00CF3696" w:rsidP="00CF3696">
            <w:r>
              <w:rPr>
                <w:rFonts w:ascii="Arial" w:hAnsi="Arial"/>
                <w:sz w:val="20"/>
              </w:rPr>
              <w:t>- Ủy ban Trung ương Mặt trận Tổ quốc Việt Nam;</w:t>
            </w:r>
          </w:p>
          <w:p w:rsidR="00CF3696" w:rsidRDefault="00CF3696" w:rsidP="00CF3696">
            <w:r>
              <w:rPr>
                <w:rFonts w:ascii="Arial" w:hAnsi="Arial"/>
                <w:sz w:val="20"/>
              </w:rPr>
              <w:t>- Cơ quan trung ương của các tổ chức chính trị - xã hội;</w:t>
            </w:r>
          </w:p>
          <w:p w:rsidR="00CF3696" w:rsidRDefault="00CF3696" w:rsidP="00CF3696">
            <w:r>
              <w:rPr>
                <w:rFonts w:ascii="Arial" w:hAnsi="Arial"/>
                <w:sz w:val="20"/>
              </w:rPr>
              <w:t>- VPCP: BTCN, các PCN, Trợ lý TTg, TGĐ cổng TTĐT,</w:t>
            </w:r>
          </w:p>
          <w:p w:rsidR="00CF3696" w:rsidRDefault="00CF3696" w:rsidP="00CF3696">
            <w:pPr>
              <w:rPr>
                <w:rFonts w:ascii="Arial" w:hAnsi="Arial"/>
                <w:sz w:val="20"/>
              </w:rPr>
            </w:pPr>
            <w:r>
              <w:rPr>
                <w:rFonts w:ascii="Arial" w:hAnsi="Arial"/>
                <w:sz w:val="20"/>
              </w:rPr>
              <w:t xml:space="preserve"> các Vụ, Cục, đơn vị trực thuộc, Công báo;</w:t>
            </w:r>
          </w:p>
          <w:p w:rsidR="00CF3696" w:rsidRDefault="00CF3696" w:rsidP="00CF3696">
            <w:r>
              <w:rPr>
                <w:rFonts w:ascii="Arial" w:hAnsi="Arial"/>
                <w:sz w:val="20"/>
              </w:rPr>
              <w:t>- Lưu: VT, KTTH (2b)</w:t>
            </w:r>
          </w:p>
          <w:p w:rsidR="00CF3696" w:rsidRPr="00A263D0" w:rsidRDefault="00CF3696" w:rsidP="00CF3696">
            <w:pPr>
              <w:widowControl w:val="0"/>
              <w:rPr>
                <w:rFonts w:ascii="Arial" w:hAnsi="Arial" w:cs="Arial"/>
                <w:b/>
                <w:sz w:val="20"/>
                <w:szCs w:val="20"/>
                <w:vertAlign w:val="superscript"/>
              </w:rPr>
            </w:pPr>
          </w:p>
        </w:tc>
        <w:tc>
          <w:tcPr>
            <w:tcW w:w="2198" w:type="pct"/>
            <w:shd w:val="clear" w:color="auto" w:fill="auto"/>
          </w:tcPr>
          <w:p w:rsidR="00CF3696" w:rsidRPr="00CF3696" w:rsidRDefault="00CF3696" w:rsidP="00CF3696">
            <w:pPr>
              <w:jc w:val="center"/>
              <w:rPr>
                <w:rFonts w:ascii="Arial" w:hAnsi="Arial"/>
                <w:b/>
                <w:sz w:val="20"/>
              </w:rPr>
            </w:pPr>
            <w:r w:rsidRPr="00CF3696">
              <w:rPr>
                <w:rFonts w:ascii="Arial" w:hAnsi="Arial"/>
                <w:b/>
                <w:sz w:val="20"/>
              </w:rPr>
              <w:lastRenderedPageBreak/>
              <w:t>TM. CHÍNH PHỦ</w:t>
            </w:r>
          </w:p>
          <w:p w:rsidR="00CF3696" w:rsidRPr="00CF3696" w:rsidRDefault="00CF3696" w:rsidP="00CF3696">
            <w:pPr>
              <w:jc w:val="center"/>
              <w:rPr>
                <w:b/>
              </w:rPr>
            </w:pPr>
            <w:r w:rsidRPr="00CF3696">
              <w:rPr>
                <w:rFonts w:ascii="Arial" w:hAnsi="Arial"/>
                <w:b/>
                <w:sz w:val="20"/>
              </w:rPr>
              <w:t>THỦ TƯỚNG</w:t>
            </w:r>
          </w:p>
          <w:p w:rsidR="00CF3696" w:rsidRPr="00CF3696" w:rsidRDefault="00CF3696" w:rsidP="00CF3696">
            <w:pPr>
              <w:widowControl w:val="0"/>
              <w:jc w:val="center"/>
              <w:rPr>
                <w:rFonts w:ascii="Arial" w:hAnsi="Arial" w:cs="Arial"/>
                <w:b/>
                <w:sz w:val="20"/>
                <w:szCs w:val="20"/>
              </w:rPr>
            </w:pPr>
          </w:p>
          <w:p w:rsidR="00CF3696" w:rsidRPr="00CF3696" w:rsidRDefault="00CF3696" w:rsidP="00CF3696">
            <w:pPr>
              <w:widowControl w:val="0"/>
              <w:jc w:val="center"/>
              <w:rPr>
                <w:rFonts w:ascii="Arial" w:hAnsi="Arial" w:cs="Arial"/>
                <w:b/>
                <w:sz w:val="20"/>
                <w:szCs w:val="20"/>
              </w:rPr>
            </w:pPr>
          </w:p>
          <w:p w:rsidR="00CF3696" w:rsidRPr="00A263D0" w:rsidRDefault="00CF3696" w:rsidP="00CF3696">
            <w:pPr>
              <w:widowControl w:val="0"/>
              <w:jc w:val="center"/>
              <w:rPr>
                <w:rFonts w:ascii="Arial" w:hAnsi="Arial" w:cs="Arial"/>
                <w:sz w:val="20"/>
                <w:szCs w:val="20"/>
              </w:rPr>
            </w:pPr>
            <w:r w:rsidRPr="00CF3696">
              <w:rPr>
                <w:rFonts w:ascii="Arial" w:hAnsi="Arial" w:cs="Arial"/>
                <w:b/>
                <w:sz w:val="20"/>
                <w:szCs w:val="20"/>
              </w:rPr>
              <w:t>Phạm Minh Chính</w:t>
            </w:r>
          </w:p>
        </w:tc>
      </w:tr>
    </w:tbl>
    <w:p w:rsidR="00CF3696" w:rsidRPr="00A263D0" w:rsidRDefault="00CF3696" w:rsidP="00CF3696">
      <w:pPr>
        <w:rPr>
          <w:rFonts w:ascii="Arial" w:hAnsi="Arial" w:cs="Arial"/>
          <w:sz w:val="20"/>
          <w:szCs w:val="20"/>
        </w:rPr>
      </w:pPr>
    </w:p>
    <w:p w:rsidR="00CF3696" w:rsidRPr="00A263D0" w:rsidRDefault="00CF3696" w:rsidP="00CF3696">
      <w:pPr>
        <w:rPr>
          <w:rFonts w:ascii="Arial" w:hAnsi="Arial" w:cs="Arial"/>
          <w:sz w:val="20"/>
          <w:szCs w:val="20"/>
        </w:rPr>
      </w:pPr>
    </w:p>
    <w:p w:rsidR="00CF3696" w:rsidRPr="00A263D0" w:rsidRDefault="00CF3696" w:rsidP="00CF3696">
      <w:pPr>
        <w:rPr>
          <w:rFonts w:ascii="Arial" w:hAnsi="Arial" w:cs="Arial"/>
          <w:sz w:val="20"/>
          <w:szCs w:val="20"/>
        </w:rPr>
      </w:pPr>
    </w:p>
    <w:p w:rsidR="00A263D0" w:rsidRPr="00A263D0" w:rsidRDefault="00A263D0" w:rsidP="00CF3696">
      <w:pPr>
        <w:rPr>
          <w:rFonts w:ascii="Arial" w:hAnsi="Arial" w:cs="Arial"/>
          <w:sz w:val="20"/>
          <w:szCs w:val="20"/>
        </w:rPr>
      </w:pPr>
    </w:p>
    <w:p w:rsidR="00A263D0" w:rsidRPr="00A263D0" w:rsidRDefault="00A263D0" w:rsidP="00CF3696">
      <w:pPr>
        <w:rPr>
          <w:rFonts w:ascii="Arial" w:hAnsi="Arial" w:cs="Arial"/>
          <w:sz w:val="20"/>
          <w:szCs w:val="20"/>
        </w:rPr>
      </w:pPr>
    </w:p>
    <w:sectPr w:rsidR="00A263D0" w:rsidRPr="00A26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DF4" w:rsidRDefault="00057DF4" w:rsidP="00A263D0">
      <w:r>
        <w:separator/>
      </w:r>
    </w:p>
  </w:endnote>
  <w:endnote w:type="continuationSeparator" w:id="0">
    <w:p w:rsidR="00057DF4" w:rsidRDefault="00057DF4" w:rsidP="00A2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DF4" w:rsidRDefault="00057DF4" w:rsidP="00A263D0">
      <w:r>
        <w:separator/>
      </w:r>
    </w:p>
  </w:footnote>
  <w:footnote w:type="continuationSeparator" w:id="0">
    <w:p w:rsidR="00057DF4" w:rsidRDefault="00057DF4" w:rsidP="00A26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D0"/>
    <w:rsid w:val="00057DF4"/>
    <w:rsid w:val="00070313"/>
    <w:rsid w:val="002C6B66"/>
    <w:rsid w:val="00353022"/>
    <w:rsid w:val="00915360"/>
    <w:rsid w:val="00A263D0"/>
    <w:rsid w:val="00B9067A"/>
    <w:rsid w:val="00C30847"/>
    <w:rsid w:val="00C54755"/>
    <w:rsid w:val="00CF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B573F-491E-4F66-B7BC-32602733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3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3D0"/>
    <w:pPr>
      <w:tabs>
        <w:tab w:val="center" w:pos="4680"/>
        <w:tab w:val="right" w:pos="9360"/>
      </w:tabs>
    </w:pPr>
  </w:style>
  <w:style w:type="character" w:customStyle="1" w:styleId="HeaderChar">
    <w:name w:val="Header Char"/>
    <w:basedOn w:val="DefaultParagraphFont"/>
    <w:link w:val="Header"/>
    <w:uiPriority w:val="99"/>
    <w:rsid w:val="00A263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63D0"/>
    <w:pPr>
      <w:tabs>
        <w:tab w:val="center" w:pos="4680"/>
        <w:tab w:val="right" w:pos="9360"/>
      </w:tabs>
    </w:pPr>
  </w:style>
  <w:style w:type="character" w:customStyle="1" w:styleId="FooterChar">
    <w:name w:val="Footer Char"/>
    <w:basedOn w:val="DefaultParagraphFont"/>
    <w:link w:val="Footer"/>
    <w:uiPriority w:val="99"/>
    <w:rsid w:val="00A263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88635-64E1-49F6-A6BB-51AB175C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Xuan Huy</cp:lastModifiedBy>
  <cp:revision>3</cp:revision>
  <dcterms:created xsi:type="dcterms:W3CDTF">2026-04-02T14:22:00Z</dcterms:created>
  <dcterms:modified xsi:type="dcterms:W3CDTF">2026-04-03T01:10:00Z</dcterms:modified>
</cp:coreProperties>
</file>