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A07624" w:rsidRPr="00405504" w14:paraId="395E0500" w14:textId="77777777" w:rsidTr="003A2E67">
        <w:tc>
          <w:tcPr>
            <w:tcW w:w="2121" w:type="pct"/>
          </w:tcPr>
          <w:p w14:paraId="7FCD63E0" w14:textId="65406049" w:rsidR="00CC2EC6" w:rsidRPr="00405504" w:rsidRDefault="000741A0" w:rsidP="00471E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t>333/2025/NĐ-CP</w:t>
            </w:r>
          </w:p>
        </w:tc>
        <w:tc>
          <w:tcPr>
            <w:tcW w:w="2879" w:type="pct"/>
          </w:tcPr>
          <w:p w14:paraId="057D777F" w14:textId="71B1980E" w:rsidR="00CC2EC6" w:rsidRPr="00405504" w:rsidRDefault="000741A0" w:rsidP="00471E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471ED0"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471ED0"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471ED0"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471ED0"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18</w:t>
            </w:r>
            <w:r w:rsidR="00471ED0"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471ED0"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471ED0"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471ED0"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0550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337909C2" w14:textId="77777777" w:rsidR="00471ED0" w:rsidRPr="00405504" w:rsidRDefault="00471ED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0E5655" w14:textId="77777777" w:rsidR="00471ED0" w:rsidRPr="00405504" w:rsidRDefault="00471ED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F29DE0" w14:textId="45783822" w:rsidR="00CC2EC6" w:rsidRPr="00405504" w:rsidRDefault="000741A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49F8228" w14:textId="472808E9" w:rsidR="00CC2EC6" w:rsidRPr="00DD45F4" w:rsidRDefault="000741A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ng; </w:t>
      </w:r>
      <w:r w:rsidR="00471ED0" w:rsidRPr="00DD45F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trách nhi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m, trình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ng; </w:t>
      </w:r>
      <w:r w:rsidR="00471ED0" w:rsidRPr="00DD45F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áp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và tái hòa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471ED0" w:rsidRPr="00DD45F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5F0FCA3" w14:textId="77777777" w:rsidR="00471ED0" w:rsidRPr="00DD45F4" w:rsidRDefault="00471ED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650DB98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70556B9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Giáo d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nghi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74/20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14/QH13;</w:t>
      </w:r>
    </w:p>
    <w:p w14:paraId="42DCBE7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Hình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100/2015/QH13 đư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sung theo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12/2017/QH14,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86/2025/QH15;</w:t>
      </w:r>
    </w:p>
    <w:p w14:paraId="2983AB1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hình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101/2015/QH13 đư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sung theo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02/2021/QH15,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99/2025/QH15;</w:t>
      </w:r>
    </w:p>
    <w:p w14:paraId="3B47F669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Tr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ẻ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e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m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102/2016/QH13 đư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sung theo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28/2018/QH14;</w:t>
      </w:r>
    </w:p>
    <w:p w14:paraId="52C4FE8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Thi hành án hình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41/2019/QH14;</w:t>
      </w:r>
    </w:p>
    <w:p w14:paraId="6A6629F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Lao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45/2019/QH14;</w:t>
      </w:r>
    </w:p>
    <w:p w14:paraId="6C657C5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 chưa thành niên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59/2024/QH15 đư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sung theo Lu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85/20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25/QH15;</w:t>
      </w:r>
    </w:p>
    <w:p w14:paraId="0C5F0C1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Công an;</w:t>
      </w:r>
    </w:p>
    <w:p w14:paraId="35608289" w14:textId="77777777" w:rsidR="00CC2EC6" w:rsidRPr="00405504" w:rsidRDefault="000741A0" w:rsidP="00471ED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bi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ng; trách nhi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m, trình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, th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c x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ng; áp d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và tái hòa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 xml:space="preserve"> nh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i/>
          <w:color w:val="000000" w:themeColor="text1"/>
          <w:sz w:val="20"/>
          <w:szCs w:val="20"/>
        </w:rPr>
        <w:t>i.</w:t>
      </w:r>
    </w:p>
    <w:p w14:paraId="20311BF0" w14:textId="77777777" w:rsidR="00471ED0" w:rsidRPr="00DD45F4" w:rsidRDefault="00471ED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7C9EFB" w14:textId="4BA5516A" w:rsidR="00CC2EC6" w:rsidRPr="00405504" w:rsidRDefault="000741A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11EBDB87" w14:textId="77777777" w:rsidR="00CC2EC6" w:rsidRPr="00405504" w:rsidRDefault="000741A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31FAE52" w14:textId="77777777" w:rsidR="00471ED0" w:rsidRPr="00405504" w:rsidRDefault="00471ED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051837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22C3EC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48,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49,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73,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75,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79,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80,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82,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89,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91,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139,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173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59/2024/QH15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85/2025/QH15 (sau đây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là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niên).</w:t>
      </w:r>
    </w:p>
    <w:p w14:paraId="2670F8A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700573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cá nhân và gia đình có liên quan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31EC16E" w14:textId="77777777" w:rsidR="00CC2EC6" w:rsidRPr="00405504" w:rsidRDefault="000741A0" w:rsidP="00471ED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xá,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cư trú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phương (sau đây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3D43484F" w14:textId="77777777" w:rsidR="00471ED0" w:rsidRPr="00DD45F4" w:rsidRDefault="00471ED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EF7ABF" w14:textId="516F7E0B" w:rsidR="00CC2EC6" w:rsidRPr="00405504" w:rsidRDefault="000741A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61AD719" w14:textId="7DFD7F3D" w:rsidR="00CC2EC6" w:rsidRPr="00DD45F4" w:rsidRDefault="000741A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NG THAM GIA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br/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CHƯƠNG TRÌNH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VÀ THAM GIA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br/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TÂM LÝ</w:t>
      </w:r>
    </w:p>
    <w:p w14:paraId="19F3064B" w14:textId="77777777" w:rsidR="00471ED0" w:rsidRPr="00DD45F4" w:rsidRDefault="00471ED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EBAB02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bookmarkStart w:id="0" w:name="_GoBack"/>
      <w:bookmarkEnd w:id="0"/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3. Tham gia chương trình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</w:p>
    <w:p w14:paraId="2B057CE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1.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làm công tác xã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dung, chương trình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trình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tính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niên.</w:t>
      </w:r>
    </w:p>
    <w:p w14:paraId="0C945EA4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hay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và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làm công tác xã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chương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rình đào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2FF751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đào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03 tháng nhưng không quá 01 năm.</w:t>
      </w:r>
    </w:p>
    <w:p w14:paraId="0D3B15E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EC4C52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do cơ quan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DCCD292" w14:textId="6902BCC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kháng như thiên tai,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khách quan thì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cơ quan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(g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là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sát)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cho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chương trình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5B6FD9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5.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cơ quan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82C29F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theo dõi,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chương trình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525F2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xây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tham gia chương trình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018B855" w14:textId="1E3C8502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Đánh giá tình hình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hành,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chương trình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tháng,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khi có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4F6436A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chương trình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theo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2923B4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Khi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chương trình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chương trình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EF7FAC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4. Tham gia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tâm lý</w:t>
      </w:r>
    </w:p>
    <w:p w14:paraId="1A5BF5F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làm công tác xã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cá nhân khác có liên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an xác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 phù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tính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niên.</w:t>
      </w:r>
    </w:p>
    <w:p w14:paraId="54F8BB0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 bao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52B1C3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khác có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năng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lý;</w:t>
      </w:r>
    </w:p>
    <w:p w14:paraId="563E58FD" w14:textId="59BAF233" w:rsidR="00CC2EC6" w:rsidRPr="00DD45F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nơi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lý.</w:t>
      </w:r>
    </w:p>
    <w:p w14:paraId="30E8D17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khác có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năng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 phân công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nơi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và gia đình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lý.</w:t>
      </w:r>
    </w:p>
    <w:p w14:paraId="4F30AAEA" w14:textId="15BA0124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4.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khác có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năng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</w:t>
      </w:r>
      <w:r w:rsidR="00A07624"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cơ quan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919C13B" w14:textId="68BC317B" w:rsidR="00CC2EC6" w:rsidRPr="00DD45F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theo dõi, khám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tâm lý; </w:t>
      </w:r>
    </w:p>
    <w:p w14:paraId="0C16AF5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can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tham gia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lý;</w:t>
      </w:r>
    </w:p>
    <w:p w14:paraId="5D50FA83" w14:textId="05D60ECC" w:rsidR="00CC2EC6" w:rsidRPr="00405504" w:rsidRDefault="000741A0" w:rsidP="00471ED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c) Đánh giá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tâm lý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tháng,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khi có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23869830" w14:textId="77777777" w:rsidR="00471ED0" w:rsidRPr="00405504" w:rsidRDefault="00471ED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A75AFF" w14:textId="4F0C3CD5" w:rsidR="00CC2EC6" w:rsidRPr="00405504" w:rsidRDefault="000741A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6356C73" w14:textId="3112627A" w:rsidR="00CC2EC6" w:rsidRPr="00DD45F4" w:rsidRDefault="000741A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TRÁCH NHI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M, TRÌNH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br/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40F61AD" w14:textId="77777777" w:rsidR="00471ED0" w:rsidRPr="00DD45F4" w:rsidRDefault="00471ED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A8E637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5. Cơ quan,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c, cá nhân có trách nhi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trong vi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thi hành quy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38A0D5E" w14:textId="74134B96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cư trú có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q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</w:p>
    <w:p w14:paraId="222F99D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73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niên;</w:t>
      </w:r>
    </w:p>
    <w:p w14:paraId="172E1DB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 phân công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cho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c, cá nhân trong thi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F36769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có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bình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thông tin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cá nhân,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giúp pháp lý và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các chính sách ưu đãi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chăm sóc y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văn hóa,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lao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770E79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gia đình và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trong quá trình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đánh giá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51711FB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theo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7BDA681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e)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4D979C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g)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sơ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2620AAC5" w14:textId="0F8C79B8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cư trú làm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i, tham mưu giúp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này và có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E44103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73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niên;</w:t>
      </w:r>
    </w:p>
    <w:p w14:paraId="24302212" w14:textId="252EA56B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597D691" w14:textId="797AAC1B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Tham mưu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thông báo cho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các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đình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D0F6434" w14:textId="3EA1496C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Tham mưu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xây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trong 05 ngày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Quý I,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06 tháng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hành sơ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283C51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vào báo cáo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xét, đánh giá tình hình,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sát;</w:t>
      </w:r>
    </w:p>
    <w:p w14:paraId="342D68B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rà soát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D16E808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cá nhân có liên quan có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2D0538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73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niên;</w:t>
      </w:r>
    </w:p>
    <w:p w14:paraId="0D21F72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tình hình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tâm tư nguy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khó khăn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B127B97" w14:textId="775464C8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c)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ánh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khi phát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hành vi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F1C2F1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tra,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sát:</w:t>
      </w:r>
    </w:p>
    <w:p w14:paraId="3746FE17" w14:textId="76122145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quan thi hành án dân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i; đôn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thi hành trong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giám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chưa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nh; báo cáo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398E7A7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6. Trách nhi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và quy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giám sát thi hành quy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9FC22D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có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8D120C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79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niên;</w:t>
      </w:r>
    </w:p>
    <w:p w14:paraId="19E3D64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tháng,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báo cáo tình hình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A1178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Tham mưu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đánh giá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khó khăn trong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3112BF4" w14:textId="1C518CA1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có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tham gia các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năng,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kinh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chưa thành niên do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tham gia các chương trình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04CFFE2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7. L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n, thay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giám sát thi hành quy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A5678E2" w14:textId="56B420F5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1. Ngay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vào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dõi, ghi rõ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n;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sai sót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thông tin thì tham mưu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có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cơ quan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226857F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phân công cán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này,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 phân công thì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phân công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03346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sát:</w:t>
      </w:r>
    </w:p>
    <w:p w14:paraId="4DFD8066" w14:textId="47E91123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trong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không còn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do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nơi cư trú,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nơi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không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e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không hoàn thành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ông do không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trong các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133990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sát:</w:t>
      </w:r>
    </w:p>
    <w:p w14:paraId="03818DF0" w14:textId="59D8475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Khi có căn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này,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2EEA1C" w14:textId="7B5B1E1E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xã,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xem xét và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 Trong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ý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 thay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4ED7F74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cho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phân công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4E3761F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8. Xây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ch thi hành quy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DB56F5C" w14:textId="0A163248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phân công,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xây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 trình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phê duy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t.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có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tham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ý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nguy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cha,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giám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7DEC38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2. Ngoài các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80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niên,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ghi rõ: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báo cáo,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báo cáo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và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DDC0B58" w14:textId="0EBD5F0F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đôn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cá nhân có liên quan có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ch. Báo cáo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không phù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khó khăn.</w:t>
      </w:r>
    </w:p>
    <w:p w14:paraId="1DABF12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9.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sơ thi hành quy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84E67B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EE94F4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35D51F9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C28F01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phân công cán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598F8A34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danh sách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giám sát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phương;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phân công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2B5E3A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thông báo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6EB53B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các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CF64E7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e)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2E238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g) Các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nơi cư trú,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nơi cư trú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51586C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h) Các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5E1260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i) Báo cáo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97C1C2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k)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94FEC1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l) Các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A2005F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m) Các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có);</w:t>
      </w:r>
    </w:p>
    <w:p w14:paraId="6992B57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n) Các báo cáo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C4982E8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o)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B2FD9D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p) Các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25C50BF6" w14:textId="77EAD198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giao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cho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nơi cư trú.</w:t>
      </w:r>
    </w:p>
    <w:p w14:paraId="1368A3C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4.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bàn giao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05FC0B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5.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trong các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6471FC6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Đình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3EC20C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B16E3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đăng ký,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75DD451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10. Quy trình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vi ph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44B03D6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1.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trong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quy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thì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có các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chính sau:</w:t>
      </w:r>
    </w:p>
    <w:p w14:paraId="38314FB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6CD215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Thành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tham gia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685B17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tên, năm sinh,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tính, nơi cư trú,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F71E4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050FB5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DC6C38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e) Hình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lý;</w:t>
      </w:r>
    </w:p>
    <w:p w14:paraId="2D489944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g) Ý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52CA38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h) Ý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C89C251" w14:textId="1E33DBFC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Thành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tham gia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m: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(ch</w:t>
      </w:r>
      <w:r w:rsidR="00B97315"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trì);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(thư ký);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làm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có).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ngay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BF05C3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0F0E8C1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01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42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và có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03 tháng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trung bình;</w:t>
      </w:r>
    </w:p>
    <w:p w14:paraId="3C2012B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02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42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và có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01 tháng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trung bình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2.</w:t>
      </w:r>
    </w:p>
    <w:p w14:paraId="357B96B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4. Các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g sang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6152550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mà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01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gia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có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02 tháng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trung bình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kém;</w:t>
      </w:r>
    </w:p>
    <w:p w14:paraId="2E93F5B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02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có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tháng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kém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03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D46F62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02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lên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gia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5D18B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11.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C8B193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4, 5 và 6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36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khi có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F54792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Đã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hai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6B7A86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Có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là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có ít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t hai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ba các tháng đã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khá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EC440DA" w14:textId="5F9B06BB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vào ngày 20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tháng,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rà soát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này và tham mưu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9F89EF9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12.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xét,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i, báo cáo, thông báo trong quá trình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1F77DA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1.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báo cáo:</w:t>
      </w:r>
    </w:p>
    <w:p w14:paraId="3E9BC57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tháng,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tháng,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báo cáo tình hình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tháng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đó;</w:t>
      </w:r>
    </w:p>
    <w:p w14:paraId="78F3F5D8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Khi có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sát,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báo cáo tình hình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2B4A7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xét, báo cáo:</w:t>
      </w:r>
    </w:p>
    <w:p w14:paraId="11D49FC2" w14:textId="0D1FDE9B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tháng,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tháng,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báo cáo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xét, đánh giá tình hình,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tháng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đó cho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(kèm theo báo cáo tình hình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và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250197DD" w14:textId="460BD844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báo cáo ngay cho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492BD094" w14:textId="431747CC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ngay 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báo cáo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30ED88B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báo cáo như sau:</w:t>
      </w:r>
    </w:p>
    <w:p w14:paraId="23A1E0B8" w14:textId="436AE45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tháng, 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báo cáo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giám sát,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có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vào báo cáo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báo cáo này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1436B456" w14:textId="52025814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Ngay sau khi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báo cáo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báo cáo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kèm theo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và các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liên quan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1B0F148" w14:textId="11F73D8D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Ngay 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báo cáo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đánh giá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và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4C2506CF" w14:textId="237BBD68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báo cáo, thông báo như sau:</w:t>
      </w:r>
    </w:p>
    <w:p w14:paraId="4383211E" w14:textId="637E81A5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Ngay 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báo cáo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xét, đánh giá tình hình,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do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xác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vào báo cáo;</w:t>
      </w:r>
    </w:p>
    <w:p w14:paraId="189A67A6" w14:textId="4E9535EE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và báo cáo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687066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5. Tiêu chí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350E4323" w14:textId="27B6F0B2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t: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các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1F73BE" w:rsidRPr="00B80AE1">
        <w:rPr>
          <w:rFonts w:ascii="Arial" w:hAnsi="Arial" w:cs="Arial"/>
          <w:color w:val="000000" w:themeColor="text1"/>
          <w:sz w:val="20"/>
          <w:szCs w:val="20"/>
        </w:rPr>
        <w:t>2</w:t>
      </w:r>
      <w:r w:rsidR="00214C92"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và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khen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có xác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khen thư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3270C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Khá: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các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t Tư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niên;</w:t>
      </w:r>
    </w:p>
    <w:p w14:paraId="4D1C6A30" w14:textId="18CA76B8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Trung bình: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nhưng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trình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báo cáo quá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15 ngày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lên mà không có lý </w:t>
      </w:r>
      <w:r w:rsidR="00B80AE1" w:rsidRPr="00B80AE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chính đáng;</w:t>
      </w:r>
    </w:p>
    <w:p w14:paraId="562297C4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Kém: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niên;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92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đã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kém,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sau đó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giám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sát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 có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trung bình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khá,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khen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có xác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khen thư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8251C5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6.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xét,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tháng: Tính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01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ngày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tháng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xét,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i.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tháng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tiên, tính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ngày cu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tháng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xét, đánh giá,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i.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tháng cu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cùng, tính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tháng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ngày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2BDCD5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13.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67A526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trong các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DB6FE5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477AA4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13899F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2376FE35" w14:textId="1786566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ngay 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 sát xây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báo cáo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 ý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đánh giá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báo cáo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270305B5" w14:textId="745C20F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Ngay 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báo cáo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giám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sát,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tham mưu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ký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vào ngày cu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hành;</w:t>
      </w:r>
    </w:p>
    <w:p w14:paraId="39FEAB0C" w14:textId="77777777" w:rsidR="00CC2EC6" w:rsidRPr="00405504" w:rsidRDefault="000741A0" w:rsidP="00471ED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sơ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FB3B24C" w14:textId="77777777" w:rsidR="00471ED0" w:rsidRPr="00DD45F4" w:rsidRDefault="00471ED0" w:rsidP="00471E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F4D155" w14:textId="0977458C" w:rsidR="00CC2EC6" w:rsidRPr="00405504" w:rsidRDefault="000741A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400FB240" w14:textId="77777777" w:rsidR="00CC2EC6" w:rsidRPr="00DD45F4" w:rsidRDefault="000741A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09864C6D" w14:textId="77777777" w:rsidR="00471ED0" w:rsidRPr="00DD45F4" w:rsidRDefault="00471ED0" w:rsidP="00471E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360B3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14. Ph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vi và thi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7558AE7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 trong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bàn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là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cư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trú.</w:t>
      </w:r>
    </w:p>
    <w:p w14:paraId="66291C1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là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dõi, thu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và truy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là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cáo,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trên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trên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mà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bu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mang theo.</w:t>
      </w:r>
    </w:p>
    <w:p w14:paraId="5228502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mang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không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sinh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t,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sinh cá nhân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mang và không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 hành vi phân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trong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</w:t>
      </w:r>
    </w:p>
    <w:p w14:paraId="6F97331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15. Trách nhi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c, cá nhân, gia đình trong vi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c thi 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hành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1690EF07" w14:textId="391C1D46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cư trú có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12E8D0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là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cáo;</w:t>
      </w:r>
    </w:p>
    <w:p w14:paraId="01E502D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Thông báo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9AA958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phép đi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sát;</w:t>
      </w:r>
    </w:p>
    <w:p w14:paraId="3037F27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Thông báo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cam đoan.</w:t>
      </w:r>
    </w:p>
    <w:p w14:paraId="6D5E2243" w14:textId="239BB864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xã tham mưu giúp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này và có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F554C6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66163E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phân công cán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Công an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giám sát,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141CC17" w14:textId="443B9C6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c)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giám sát,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cam đoan và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443F52E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5CBC9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thu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BACD30" w14:textId="2FEDA135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tháng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u, đánh giá tình hình,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và cơ quan có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55E5AF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g) Xác minh,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da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thông báo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năng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 hành vi tháo, phá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y, gây 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đi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sát.</w:t>
      </w:r>
    </w:p>
    <w:p w14:paraId="4FD590B9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cá nhân có liên quan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F1DE9D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quan,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gia đình trong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9A1A94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E75158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cho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hoàn thành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cam đoan;</w:t>
      </w:r>
    </w:p>
    <w:p w14:paraId="1A288D4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giúp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0C10E13" w14:textId="3406225F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Đánh giá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pháp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2945BF9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4.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gia đình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3D44278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viên, khuy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khích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cam đoan;</w:t>
      </w:r>
    </w:p>
    <w:p w14:paraId="3106F96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Có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39A5EA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Thư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xuyên liên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giúp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2DE0A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16. Trình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thi hành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F10DC5B" w14:textId="363728D8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Ngay 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do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phân công cán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Công an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giám sát,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bàn giao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là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xã.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bàn giao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án. </w:t>
      </w:r>
    </w:p>
    <w:p w14:paraId="305189AD" w14:textId="66B07DE2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Sau khi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là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cáo,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</w:t>
      </w:r>
      <w:r w:rsidR="00053849" w:rsidRPr="00405504">
        <w:rPr>
          <w:rFonts w:ascii="Arial" w:hAnsi="Arial" w:cs="Arial"/>
          <w:color w:val="000000" w:themeColor="text1"/>
          <w:sz w:val="20"/>
          <w:szCs w:val="20"/>
        </w:rPr>
        <w:t xml:space="preserve"> dân cấp xã chủ trì buổi làm việc với bị can, bị cáo được giám sát điện tử.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tham gia và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bu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31B73B6" w14:textId="31B891C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Thành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tham gia: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(ch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trì);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(thư ký);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</w:t>
      </w:r>
      <w:r w:rsidR="00207B06"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F32D9F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có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sau: Thông báo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cam đoan; thông báo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giám sát,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CE1CD0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bu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6D843526" w14:textId="5BDD141B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cam đoan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139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Tư pháp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thì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m,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báo cho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ơ quan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3F7F350" w14:textId="3A31ADD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4.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thông báo cho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3855AE1" w14:textId="5D0CDE44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5. Ngay sau khi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thay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</w:t>
      </w:r>
      <w:r w:rsidR="0058549D"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giám sát,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tháo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tháo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7DFC355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17. Trình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b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đi kh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vi giám sát</w:t>
      </w:r>
    </w:p>
    <w:p w14:paraId="4F972F02" w14:textId="32939FA5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phép đi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có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ý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g ý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cơ quan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kèm theo đơn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 Ngay sau khi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xã, cơ quan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phép cho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ghi rõ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 ra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ghi rõ lý do.</w:t>
      </w:r>
    </w:p>
    <w:p w14:paraId="75F348D9" w14:textId="5F52A3CD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ghi trên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phép mà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vì lý do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kháng, do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khách quan mà chưa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 thì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có xác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cư trú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đó.</w:t>
      </w:r>
    </w:p>
    <w:p w14:paraId="113EA6F8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18. Gi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các trư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b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2B982E9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ý đi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sát:</w:t>
      </w:r>
    </w:p>
    <w:p w14:paraId="083F4C8B" w14:textId="6A22249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Khi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ý đi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 thì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tri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m,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ngay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tình không có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theo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tri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có hành vi đi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vi giám sát thì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cam đoan,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báo cho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F68182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can,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cáo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tháo, phá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gây 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772AD90" w14:textId="34326046" w:rsidR="00CC2EC6" w:rsidRPr="00405504" w:rsidRDefault="000741A0" w:rsidP="00471ED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tri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m,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và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ngay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giám sá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phá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thì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Dân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nghĩa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cam đoan, báo cáo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báo cho cơ quan đã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0E35CEF" w14:textId="77777777" w:rsidR="00471ED0" w:rsidRPr="00DD45F4" w:rsidRDefault="00471ED0" w:rsidP="00471E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7945A7" w14:textId="7D26B464" w:rsidR="00CC2EC6" w:rsidRPr="00405504" w:rsidRDefault="000741A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7871F76C" w14:textId="77777777" w:rsidR="00CC2EC6" w:rsidRPr="00DD45F4" w:rsidRDefault="000741A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TÁI HÒA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6E6C4C6" w14:textId="77777777" w:rsidR="00471ED0" w:rsidRPr="00DD45F4" w:rsidRDefault="00471ED0" w:rsidP="00471E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2DEFA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19.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thu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n,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tái hòa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850D36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FCA2307" w14:textId="4E17BE6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m: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 niên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xá;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tha tù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n. </w:t>
      </w:r>
    </w:p>
    <w:p w14:paraId="68AEA7D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18 tu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0F6AF82C" w14:textId="1388D8CC" w:rsidR="00CC2EC6" w:rsidRPr="00DD45F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còn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06 tháng thì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18 tu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là 06 tháng;</w:t>
      </w:r>
    </w:p>
    <w:p w14:paraId="15BF6184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ên 06 tháng thì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18 tu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khi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18 tu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A0CBAE6" w14:textId="0911BA1A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3.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</w:t>
      </w:r>
      <w:r w:rsidR="00B25F17" w:rsidRPr="00B25F1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="00B25F17" w:rsidRPr="00AE3A45">
        <w:rPr>
          <w:rFonts w:ascii="Arial" w:hAnsi="Arial" w:cs="Arial"/>
          <w:color w:val="000000" w:themeColor="text1"/>
          <w:sz w:val="20"/>
          <w:szCs w:val="20"/>
        </w:rPr>
        <w:t>ành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niên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cư trú, tham mưu, giúp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cho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và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056B015E" w14:textId="61F69C18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20.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77420F"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cộng đồng</w:t>
      </w:r>
    </w:p>
    <w:p w14:paraId="752037A1" w14:textId="1CF5EFD2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Khi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trình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phân công cán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0031C7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Thông báo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266E5C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tâm tư, nguy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088FAB4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đăng ký và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 cư trú,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căn cư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20679D9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Tư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làm cũng như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khác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D7D44F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nghiêm các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nơi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và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phương nơi cư trú;</w:t>
      </w:r>
    </w:p>
    <w:p w14:paraId="79CC640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125648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g)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8EC47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h)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thông tin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A1319B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trình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trong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xá,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đã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tha tù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mà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chưa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trình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trình báo thì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gia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đình xác minh và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9CF36B7" w14:textId="46AD9F3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đã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nơi cư trú,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xã tham mưu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trình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trình báo và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D72C6CC" w14:textId="63A93CCB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trình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trình báo mà không có lý do chính đáng thì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xã báo cáo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xã,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 đình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thuy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41626A" w14:textId="5BD81291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không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nơi cư trú thì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thân nhân, gia đình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xác minh xem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đang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đâu và bá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o cáo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dõi.</w:t>
      </w:r>
    </w:p>
    <w:p w14:paraId="52696256" w14:textId="2B899DBE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trình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trình báo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không đúng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cư trú trong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tha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tù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xá,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đã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thì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yêu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khai báo thông tin, xác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rõ lý do không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cư trú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trong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FEE5150" w14:textId="056C094F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xá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cư trú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phương là đúng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Cư trú thì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xã tham mưu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theo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4B23C4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21. Ch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nh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giúp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hưa thành niên tái hòa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4BE93C8" w14:textId="508A9EB2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vào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nhân thân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 tình hình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phương,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tham mưu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chưa thành niên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sau đây: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làm công tác xã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tác viên công tác xã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xã,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Liên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Nam, Đoàn Thanh niên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Chí Minh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có uy tín trong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dân cư có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năng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và kinh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trong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niên.</w:t>
      </w:r>
    </w:p>
    <w:p w14:paraId="3E383766" w14:textId="4BB96416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phân công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DB2126F" w14:textId="46899F6E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3.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tham mưu cho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ban hành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nêu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rõ các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can thi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trong quá trình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theo đúng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379DFA7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05 ngày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tháng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trong quý,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báo cáo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theo dõi và lưu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585CD6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22.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sơ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925CA0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do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29C5224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chính sau:</w:t>
      </w:r>
    </w:p>
    <w:p w14:paraId="0AC0B13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Phi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thông tin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D5A95DF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xá,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đã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giáo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tha tù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7344329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Thông báo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nhân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tù, thông báo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xá (n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có), thông báo ngày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sinh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ra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B0149B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76F3A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phân công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D6E7B2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e)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276679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g) Báo cáo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giúp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37029E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h) Báo cáo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105336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i)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92BDA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k) Tài li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2B81ABF2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Công an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8AE305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p, đăng ký, qu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và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3D805F41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23. K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 thúc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0D3139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Các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3CA231B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559E803" w14:textId="46BDCDB9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đã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nơi cư trú (có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thông báo và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ng cư trú cho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cư trú);</w:t>
      </w:r>
    </w:p>
    <w:p w14:paraId="552698AD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đi kh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nơi cư trú, không xác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 cư trú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đâu;</w:t>
      </w:r>
    </w:p>
    <w:p w14:paraId="44BBF9AB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nh cư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ngoài (có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đã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ngoài);</w:t>
      </w:r>
    </w:p>
    <w:p w14:paraId="7A65E045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đ)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tích (đã có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Tòa án tuyên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tích);</w:t>
      </w:r>
    </w:p>
    <w:p w14:paraId="3159BE6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e)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(đã có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biên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t;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Tòa án tuyên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đã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5AE9B79A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lastRenderedPageBreak/>
        <w:t>g)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giam,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 đã đi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đưa đi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giáo dư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cơ s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3356E67" w14:textId="1E392BCF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ra quy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3D94EFE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24. Th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i các trư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2B83D7E" w14:textId="7CF74E23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xá thì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ngay sau khi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xá.</w:t>
      </w:r>
    </w:p>
    <w:p w14:paraId="711BCEBB" w14:textId="21FD95D3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thay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nơi cư trú thì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cư trú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đó (nơi đi)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hông báo,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ng cho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xã nơi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cư trú (nơi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52D6D279" w14:textId="1CA4E293" w:rsidR="00CC2EC6" w:rsidRPr="00405504" w:rsidRDefault="000741A0" w:rsidP="00471ED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thông báo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p xã nơi đi,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ã nơi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chưa thành niên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2A47EC5" w14:textId="77777777" w:rsidR="00471ED0" w:rsidRPr="00DD45F4" w:rsidRDefault="00471ED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554427" w14:textId="7FF0C437" w:rsidR="00CC2EC6" w:rsidRPr="00405504" w:rsidRDefault="000741A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602437A0" w14:textId="77777777" w:rsidR="00CC2EC6" w:rsidRPr="00DD45F4" w:rsidRDefault="000741A0" w:rsidP="00471ED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B884448" w14:textId="77777777" w:rsidR="00471ED0" w:rsidRPr="00DD45F4" w:rsidRDefault="00471ED0" w:rsidP="00471ED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76DC73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25. 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32F4142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2026,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8B4DC20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2.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Chương IV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14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2028.</w:t>
      </w:r>
    </w:p>
    <w:p w14:paraId="2D6DA2EC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26. Hư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621015C5" w14:textId="3822EE2B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Công an, các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ngành liên quan nghiên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u, ban hành văn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và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lý chuy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áp d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pháp giám sát đi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 công tác tái hòa nh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 chưa 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thành niên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i. </w:t>
      </w:r>
    </w:p>
    <w:p w14:paraId="1E1FFED6" w14:textId="77777777" w:rsidR="00CC2EC6" w:rsidRPr="00405504" w:rsidRDefault="000741A0" w:rsidP="00471ED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u 27. Trách nhi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4C800A2B" w14:textId="781BA65A" w:rsidR="00CC2EC6" w:rsidRPr="00DD45F4" w:rsidRDefault="000741A0" w:rsidP="00471ED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5504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471ED0" w:rsidRPr="0040550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 trung ương và các cơ quan, t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0550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4C01643" w14:textId="77777777" w:rsidR="00471ED0" w:rsidRPr="00DD45F4" w:rsidRDefault="00471ED0" w:rsidP="00471E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53"/>
        <w:gridCol w:w="4773"/>
      </w:tblGrid>
      <w:tr w:rsidR="00A07624" w:rsidRPr="00405504" w14:paraId="7F95383F" w14:textId="77777777" w:rsidTr="00DA6F61">
        <w:tc>
          <w:tcPr>
            <w:tcW w:w="2356" w:type="pct"/>
          </w:tcPr>
          <w:p w14:paraId="5D93E95F" w14:textId="1A9263FF" w:rsidR="00CC2EC6" w:rsidRPr="00DD45F4" w:rsidRDefault="000741A0" w:rsidP="00D010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550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40550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40550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471ED0" w:rsidRPr="00DD45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Văn phòng Trung ương và các Ban của Đảng; 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D010D5" w:rsidRPr="00DD45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 Kiểm toán nhà nước;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VPCP: BTCN, các PCN, Trợ lý </w:t>
            </w:r>
            <w:r w:rsidR="00AE3A45" w:rsidRPr="00DD45F4">
              <w:rPr>
                <w:rFonts w:ascii="Arial" w:hAnsi="Arial" w:cs="Arial"/>
                <w:color w:val="000000" w:themeColor="text1"/>
                <w:sz w:val="20"/>
                <w:szCs w:val="20"/>
              </w:rPr>
              <w:t>TTg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TGĐ 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Cổng TTĐT, các Vụ, Cục, đơn vị trực thuộc, Công báo;</w:t>
            </w:r>
            <w:r w:rsidR="00471ED0"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NC (2b).</w:t>
            </w:r>
          </w:p>
        </w:tc>
        <w:tc>
          <w:tcPr>
            <w:tcW w:w="2644" w:type="pct"/>
          </w:tcPr>
          <w:p w14:paraId="0E6CD0DC" w14:textId="3C88477F" w:rsidR="00CC2EC6" w:rsidRPr="00405504" w:rsidRDefault="000741A0" w:rsidP="00471ED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 </w:t>
            </w:r>
            <w:r w:rsidR="00471ED0" w:rsidRPr="00DD45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4055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Hòa Bình</w:t>
            </w:r>
          </w:p>
        </w:tc>
      </w:tr>
    </w:tbl>
    <w:p w14:paraId="6ED8B1B5" w14:textId="571AEFDF" w:rsidR="00CC2EC6" w:rsidRPr="00DD45F4" w:rsidRDefault="00CC2EC6" w:rsidP="00471ED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EBA4E3" w14:textId="77777777" w:rsidR="00471ED0" w:rsidRPr="00DD45F4" w:rsidRDefault="00471ED0" w:rsidP="00471E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71ED0" w:rsidRPr="00DD45F4" w:rsidSect="00471ED0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ADC04" w14:textId="77777777" w:rsidR="000741A0" w:rsidRDefault="000741A0">
      <w:pPr>
        <w:spacing w:after="0" w:line="240" w:lineRule="auto"/>
      </w:pPr>
      <w:r>
        <w:separator/>
      </w:r>
    </w:p>
  </w:endnote>
  <w:endnote w:type="continuationSeparator" w:id="0">
    <w:p w14:paraId="31744E80" w14:textId="77777777" w:rsidR="000741A0" w:rsidRDefault="0007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871CB" w14:textId="77777777" w:rsidR="000741A0" w:rsidRDefault="000741A0">
      <w:pPr>
        <w:spacing w:after="0" w:line="240" w:lineRule="auto"/>
      </w:pPr>
      <w:r>
        <w:separator/>
      </w:r>
    </w:p>
  </w:footnote>
  <w:footnote w:type="continuationSeparator" w:id="0">
    <w:p w14:paraId="328E1F88" w14:textId="77777777" w:rsidR="000741A0" w:rsidRDefault="00074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C6"/>
    <w:rsid w:val="000046E5"/>
    <w:rsid w:val="00053849"/>
    <w:rsid w:val="000741A0"/>
    <w:rsid w:val="00117DDE"/>
    <w:rsid w:val="001A72F3"/>
    <w:rsid w:val="001E3482"/>
    <w:rsid w:val="001F73BE"/>
    <w:rsid w:val="00207B06"/>
    <w:rsid w:val="00214C92"/>
    <w:rsid w:val="00365241"/>
    <w:rsid w:val="003A2E67"/>
    <w:rsid w:val="003B7605"/>
    <w:rsid w:val="00405504"/>
    <w:rsid w:val="00471ED0"/>
    <w:rsid w:val="0058549D"/>
    <w:rsid w:val="0077420F"/>
    <w:rsid w:val="007F1C3C"/>
    <w:rsid w:val="007F292D"/>
    <w:rsid w:val="00A07624"/>
    <w:rsid w:val="00AE3A45"/>
    <w:rsid w:val="00B25F17"/>
    <w:rsid w:val="00B80AE1"/>
    <w:rsid w:val="00B97315"/>
    <w:rsid w:val="00C67234"/>
    <w:rsid w:val="00CC2EC6"/>
    <w:rsid w:val="00D010D5"/>
    <w:rsid w:val="00D862D4"/>
    <w:rsid w:val="00DA6F61"/>
    <w:rsid w:val="00DD45F4"/>
    <w:rsid w:val="00E92560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DD88"/>
  <w15:docId w15:val="{C347C226-636A-4D93-A64D-493F676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D0"/>
  </w:style>
  <w:style w:type="paragraph" w:styleId="Footer">
    <w:name w:val="footer"/>
    <w:basedOn w:val="Normal"/>
    <w:link w:val="FooterChar"/>
    <w:uiPriority w:val="99"/>
    <w:unhideWhenUsed/>
    <w:rsid w:val="0047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6636</Words>
  <Characters>37830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22</cp:revision>
  <dcterms:created xsi:type="dcterms:W3CDTF">2025-12-29T13:43:00Z</dcterms:created>
  <dcterms:modified xsi:type="dcterms:W3CDTF">2025-12-31T10:41:00Z</dcterms:modified>
</cp:coreProperties>
</file>