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54969" w:rsidRPr="00A13C91" w14:paraId="5384407A" w14:textId="77777777" w:rsidTr="009C5116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17DE" w14:textId="35317F5A" w:rsidR="00A54969" w:rsidRPr="00A13C91" w:rsidRDefault="00A54969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65D4F28" w14:textId="6D5F6EE0" w:rsidR="00A54969" w:rsidRPr="00A13C91" w:rsidRDefault="00A54969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54969">
              <w:rPr>
                <w:rFonts w:ascii="Arial" w:hAnsi="Arial" w:cs="Arial"/>
                <w:color w:val="000000"/>
                <w:sz w:val="20"/>
                <w:szCs w:val="20"/>
              </w:rPr>
              <w:t>209/2026/NĐ-CP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6B26" w14:textId="77777777" w:rsidR="00A54969" w:rsidRPr="00A13C91" w:rsidRDefault="00A54969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2BC584CC" w14:textId="2DB23369" w:rsidR="00A54969" w:rsidRPr="00A13C91" w:rsidRDefault="00A54969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Hà Nội, ngày 15 tháng 6 năm 2026</w:t>
            </w:r>
          </w:p>
        </w:tc>
      </w:tr>
    </w:tbl>
    <w:p w14:paraId="241D3E05" w14:textId="77777777" w:rsidR="00A54969" w:rsidRDefault="00A54969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343CA1D5" w14:textId="78F6C360" w:rsidR="00903FDC" w:rsidRDefault="00903FDC" w:rsidP="00AE4290">
      <w:pPr>
        <w:adjustRightInd w:val="0"/>
        <w:snapToGrid w:val="0"/>
        <w:spacing w:after="0" w:line="240" w:lineRule="auto"/>
        <w:jc w:val="center"/>
      </w:pPr>
    </w:p>
    <w:p w14:paraId="15193B07" w14:textId="77777777" w:rsidR="00903FDC" w:rsidRDefault="00C724B0" w:rsidP="00AE429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03FA3C6F" w14:textId="77777777" w:rsidR="00903FDC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và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thi hành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ng </w:t>
      </w:r>
      <w:r>
        <w:br/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 xml:space="preserve">t </w:t>
      </w:r>
      <w:r>
        <w:rPr>
          <w:rFonts w:ascii="Arial" w:hAnsi="Arial"/>
          <w:b/>
          <w:sz w:val="20"/>
        </w:rPr>
        <w:t>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5464AC44" w14:textId="77777777" w:rsidR="00A54969" w:rsidRDefault="00A54969" w:rsidP="00AE4290">
      <w:pPr>
        <w:adjustRightInd w:val="0"/>
        <w:snapToGrid w:val="0"/>
        <w:spacing w:after="0" w:line="240" w:lineRule="auto"/>
        <w:jc w:val="center"/>
      </w:pPr>
    </w:p>
    <w:p w14:paraId="31ED2D57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72F1333A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135/2025/QH15;</w:t>
      </w:r>
    </w:p>
    <w:p w14:paraId="2A4722F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ng;</w:t>
      </w:r>
    </w:p>
    <w:p w14:paraId="06164BE9" w14:textId="77777777" w:rsidR="00903FDC" w:rsidRDefault="00C724B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và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pháp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v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li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u </w:t>
      </w:r>
      <w:r>
        <w:rPr>
          <w:rFonts w:ascii="Arial" w:hAnsi="Arial"/>
          <w:i/>
          <w:sz w:val="20"/>
        </w:rPr>
        <w:t>xây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ng.</w:t>
      </w:r>
    </w:p>
    <w:p w14:paraId="1E41390A" w14:textId="77777777" w:rsidR="006A59EC" w:rsidRDefault="006A59EC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5C422299" w14:textId="77777777" w:rsidR="006A59EC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 </w:t>
      </w:r>
    </w:p>
    <w:p w14:paraId="206AD0C2" w14:textId="70363679" w:rsidR="00903FDC" w:rsidRDefault="00C724B0" w:rsidP="00AE429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79FF4CE0" w14:textId="77777777" w:rsidR="006A59EC" w:rsidRDefault="006A59EC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CD77546" w14:textId="4735E782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30BACD41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135/2025/QH15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i:</w:t>
      </w:r>
    </w:p>
    <w:p w14:paraId="096113C1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</w:t>
      </w:r>
    </w:p>
    <w:p w14:paraId="6C3F7E1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khích, ưu đãi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xanh,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minh,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thâ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vùng ven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o.</w:t>
      </w:r>
    </w:p>
    <w:p w14:paraId="5AD64F2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135/2025/QH15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amiă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</w:t>
      </w:r>
    </w:p>
    <w:p w14:paraId="6AA6F6D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22594D82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trên lãnh th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56FF4A2B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1ACD3A9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4E4CE2E8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nên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thông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kim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không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76A9BF6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ghép thành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công trình.</w:t>
      </w:r>
    </w:p>
    <w:p w14:paraId="6920226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tính năng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vi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0D41FB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sau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phá d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 xml:space="preserve"> công trình;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4D04FB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xanh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trong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vòng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(t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khai thác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lý);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tài nguyên;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phát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khí nhà kính;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</w:t>
      </w:r>
      <w:bookmarkStart w:id="1" w:name="_GoBack"/>
      <w:bookmarkEnd w:id="1"/>
      <w:r>
        <w:rPr>
          <w:rFonts w:ascii="Arial" w:hAnsi="Arial"/>
          <w:sz w:val="20"/>
        </w:rPr>
        <w:t>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6901DB1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6.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tích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hơn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cùng công năng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góp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công trình,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thi công,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ng, tài nguyên;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1CFD7D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minh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công trình khi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(nhi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sáng,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ng,...);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D97D9A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quy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phát sinh ô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m; không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a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nguy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cho phép;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tái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584A16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xây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vùng ven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ăn mòn,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xâm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do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(hơi mu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cao, gió bão, ng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n)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thác,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thù;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khí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và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thích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khí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ven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C308A77" w14:textId="1F31DB2F" w:rsidR="00903FDC" w:rsidRDefault="00C724B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10.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không nung là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không qua quá trình nung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cao,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bê tông, bê tông khí chưng áp, bê tông b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panel, tư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panel,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bê tông đúc s</w:t>
      </w:r>
      <w:r>
        <w:rPr>
          <w:rFonts w:ascii="Arial" w:hAnsi="Arial"/>
          <w:sz w:val="20"/>
        </w:rPr>
        <w:t>ẵ</w:t>
      </w:r>
      <w:r>
        <w:rPr>
          <w:rFonts w:ascii="Arial" w:hAnsi="Arial"/>
          <w:sz w:val="20"/>
        </w:rPr>
        <w:t>n và các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khác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E85F53C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1FF0BA7F" w14:textId="77777777" w:rsidR="00AE4290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II </w:t>
      </w:r>
    </w:p>
    <w:p w14:paraId="2D3CCADA" w14:textId="6566484E" w:rsidR="00903FDC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3F958042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103EDBF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4. </w:t>
      </w:r>
      <w:r>
        <w:rPr>
          <w:rFonts w:ascii="Arial" w:hAnsi="Arial"/>
          <w:b/>
          <w:sz w:val="20"/>
        </w:rPr>
        <w:t>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5688A91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trong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quy h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ngành,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vùng,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lý tài nguyên,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u.</w:t>
      </w:r>
    </w:p>
    <w:p w14:paraId="53CB601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là 10 năm,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nhìn 30 năm.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rà soát,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05 năm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(ho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u)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tiêu phát </w:t>
      </w:r>
      <w:r>
        <w:rPr>
          <w:rFonts w:ascii="Arial" w:hAnsi="Arial"/>
          <w:sz w:val="20"/>
        </w:rPr>
        <w:t>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khí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u.</w:t>
      </w:r>
    </w:p>
    <w:p w14:paraId="3C3368C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1B47097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Đánh giá vai trò,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trí, cơ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thách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0F41C63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tiêu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nguyên -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695CD14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Đánh giá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năng,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</w:t>
      </w:r>
    </w:p>
    <w:p w14:paraId="28D4EF87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báo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</w:t>
      </w:r>
    </w:p>
    <w:p w14:paraId="0BF5CF02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Quan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tiêu.</w:t>
      </w:r>
    </w:p>
    <w:p w14:paraId="701345B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tài nguyên,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ng;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trình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u.</w:t>
      </w:r>
    </w:p>
    <w:p w14:paraId="2E66239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xanh,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minh,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vùng ven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o.</w:t>
      </w:r>
    </w:p>
    <w:p w14:paraId="1F714FC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90E1D92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Đánh giá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0D913E3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và phê duy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180B6A3E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cơ quan li</w:t>
      </w:r>
      <w:r>
        <w:rPr>
          <w:rFonts w:ascii="Arial" w:hAnsi="Arial"/>
          <w:sz w:val="20"/>
        </w:rPr>
        <w:t>ên quan và các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</w:t>
      </w:r>
    </w:p>
    <w:p w14:paraId="08F785D9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Kinh phí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AD6879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331C5059" w14:textId="1EE6423C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60432B6A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hóa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phương án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trong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lý tài nguyên,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u.</w:t>
      </w:r>
    </w:p>
    <w:p w14:paraId="0BE56D7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phương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ngành có liên quan.</w:t>
      </w:r>
    </w:p>
    <w:p w14:paraId="7BA5D7B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05 năm,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10 năm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31 tháng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năm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rà soát,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khí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2451144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55845D7B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Đánh giá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tiêu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nguyên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và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ng.</w:t>
      </w:r>
    </w:p>
    <w:p w14:paraId="5203288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E368BA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báo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thông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cho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công trình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</w:t>
      </w:r>
    </w:p>
    <w:p w14:paraId="6D98398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</w:t>
      </w:r>
    </w:p>
    <w:p w14:paraId="03E37178" w14:textId="2CFE48DB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</w:t>
      </w:r>
      <w:r w:rsidR="00AE4290"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</w:t>
      </w:r>
    </w:p>
    <w:p w14:paraId="4784CD7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nguyên -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năng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ng;</w:t>
      </w:r>
    </w:p>
    <w:p w14:paraId="4CCAB23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tác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172377A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46B1A6FE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và phê duy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t </w:t>
      </w:r>
      <w:r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28604500" w14:textId="3E769512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chuyên môn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ngành liên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trình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</w:t>
      </w:r>
      <w:r>
        <w:rPr>
          <w:rFonts w:ascii="Arial" w:hAnsi="Arial"/>
          <w:sz w:val="20"/>
        </w:rPr>
        <w:t>ng.</w:t>
      </w:r>
    </w:p>
    <w:p w14:paraId="1043EBF7" w14:textId="7F634264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a phương,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riêng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ghép vào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18C029D7" w14:textId="26794FDD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t,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công khai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theo dõi,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p.</w:t>
      </w:r>
    </w:p>
    <w:p w14:paraId="1F11DF0B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Kinh phí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BA67CD8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khoáng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làm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0D1027C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khai thác,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3FD22DA5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khai thác,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đích,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</w:t>
      </w:r>
      <w:r>
        <w:rPr>
          <w:rFonts w:ascii="Arial" w:hAnsi="Arial"/>
          <w:sz w:val="20"/>
        </w:rPr>
        <w:t>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lastRenderedPageBreak/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sâu, nâng cao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tài nguyên,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ng.</w:t>
      </w:r>
    </w:p>
    <w:p w14:paraId="7D2DE98E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đá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phát sinh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khai thác,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khoáng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đá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i, đánh </w:t>
      </w:r>
      <w:r>
        <w:rPr>
          <w:rFonts w:ascii="Arial" w:hAnsi="Arial"/>
          <w:sz w:val="20"/>
        </w:rPr>
        <w:t>giá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an toàn và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565EBE3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amiăng tr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ng trong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121754A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amiăng t</w:t>
      </w:r>
      <w:r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nhóm serpentine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quan.</w:t>
      </w:r>
    </w:p>
    <w:p w14:paraId="241882A9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amiăng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nhóm serpentine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xây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b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i amiăng trong quá trình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khám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amiăng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ng;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cá nhân,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an toàn,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thu gom,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B59530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amiăng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trong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0CD21D6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Chính sách khuy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khích, ưu đãi trong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u,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n,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và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73BE388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khích, ưu đãi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xanh,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minh,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vùng ven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ninh.</w:t>
      </w:r>
    </w:p>
    <w:p w14:paraId="638A8906" w14:textId="77777777" w:rsidR="00903FDC" w:rsidRDefault="00C724B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ưu đãi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lãi su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các hình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công; ưu đãi,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các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</w:t>
      </w:r>
      <w:r>
        <w:rPr>
          <w:rFonts w:ascii="Arial" w:hAnsi="Arial"/>
          <w:sz w:val="20"/>
        </w:rPr>
        <w:t>ch ưu đãi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92E955F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54B79534" w14:textId="77777777" w:rsidR="00903FDC" w:rsidRDefault="00C724B0" w:rsidP="00AE429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21E3C68E" w14:textId="77777777" w:rsidR="00903FDC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37CD2E4C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3A45072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 trong công trình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0531688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và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382A27B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quá trình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cơ quan chuyên môn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ưu tiên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tái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xanh,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thông minh,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thân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có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hóa cao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công trình,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t, chi </w:t>
      </w:r>
      <w:r>
        <w:rPr>
          <w:rFonts w:ascii="Arial" w:hAnsi="Arial"/>
          <w:sz w:val="20"/>
        </w:rPr>
        <w:t>phí vòng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công,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viên.</w:t>
      </w:r>
    </w:p>
    <w:p w14:paraId="55A03A6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m, hàng hóa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7EEE3718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hóa;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theo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và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hóa.</w:t>
      </w:r>
    </w:p>
    <w:p w14:paraId="13C4893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đưa ra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đã c</w:t>
      </w:r>
      <w:r>
        <w:rPr>
          <w:rFonts w:ascii="Arial" w:hAnsi="Arial"/>
          <w:sz w:val="20"/>
        </w:rPr>
        <w:t>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trung bình,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theo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chưa có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thì nhà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và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5D088E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gia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ng;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quy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trung bình; đăng ký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hàng hóa có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cao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C20C6CE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trong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 và công trình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7077B25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tài nguyên,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và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hoàn.</w:t>
      </w:r>
    </w:p>
    <w:p w14:paraId="3B027858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ng;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8CFAACC" w14:textId="77777777" w:rsidR="00903FDC" w:rsidRDefault="00C724B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làm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công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và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</w:t>
      </w:r>
      <w:r>
        <w:rPr>
          <w:rFonts w:ascii="Arial" w:hAnsi="Arial"/>
          <w:sz w:val="20"/>
        </w:rPr>
        <w:t>ó liên quan.</w:t>
      </w:r>
    </w:p>
    <w:p w14:paraId="2A70A449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1F6F75C7" w14:textId="77777777" w:rsidR="00AE4290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IV </w:t>
      </w:r>
    </w:p>
    <w:p w14:paraId="01D8445B" w14:textId="06FC7DB6" w:rsidR="00903FDC" w:rsidRDefault="00C724B0" w:rsidP="00AE429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4FB8FE31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</w:pPr>
    </w:p>
    <w:p w14:paraId="60C30E47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</w:t>
      </w:r>
    </w:p>
    <w:p w14:paraId="3607B4FA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60B6BCFA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</w:t>
      </w:r>
    </w:p>
    <w:p w14:paraId="5D7C9AB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ban hành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1048146F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theo dõi,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tình hình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tình hình cung -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trên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</w:t>
      </w:r>
    </w:p>
    <w:p w14:paraId="38449169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</w:t>
      </w:r>
    </w:p>
    <w:p w14:paraId="398B2DA1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trong</w:t>
      </w:r>
      <w:r>
        <w:rPr>
          <w:rFonts w:ascii="Arial" w:hAnsi="Arial"/>
          <w:sz w:val="20"/>
        </w:rPr>
        <w:t xml:space="preserve">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B62541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lý chuyên ngành có liên quan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6404DE4" w14:textId="7DF3D82C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</w:t>
      </w:r>
    </w:p>
    <w:p w14:paraId="1BF920BC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xây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3F699E58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51EC6BD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hàng hóa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5F1D0B9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Theo dõi,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tình hình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báo cáo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tình hình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tiêu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cung, giá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bàn;</w:t>
      </w:r>
    </w:p>
    <w:p w14:paraId="58E13D32" w14:textId="62E5869F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p</w:t>
      </w:r>
      <w:r>
        <w:rPr>
          <w:rFonts w:ascii="Arial" w:hAnsi="Arial"/>
          <w:sz w:val="20"/>
        </w:rPr>
        <w:t>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0D6B4924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67E1A199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56015B46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chương trình,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</w:t>
      </w:r>
      <w:r>
        <w:rPr>
          <w:rFonts w:ascii="Arial" w:hAnsi="Arial"/>
          <w:sz w:val="20"/>
        </w:rPr>
        <w:t>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D176D77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đang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pháp lý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 các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đã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nhưng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56CF2A52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64977F8D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2305366A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09/2021/NĐ-CP ngày 09 tháng 02 năm 2021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1A055375" w14:textId="120611C9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14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144/2025/NĐ-CP ngày 12 tháng 6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ng. </w:t>
      </w:r>
    </w:p>
    <w:p w14:paraId="595F65E7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3BD523D0" w14:textId="77777777" w:rsidR="00903FDC" w:rsidRDefault="00C724B0" w:rsidP="00AE4290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ACBB4AE" w14:textId="6B19857E" w:rsidR="00903FDC" w:rsidRDefault="00C724B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AE429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7F91C7B" w14:textId="77777777" w:rsidR="00AE4290" w:rsidRDefault="00AE4290" w:rsidP="00AE429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AE4290" w:rsidRPr="00A13C91" w14:paraId="5D17DB46" w14:textId="77777777" w:rsidTr="004770B8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FB1A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15F8EBE4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097E3C55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bộ;</w:t>
            </w:r>
          </w:p>
          <w:p w14:paraId="4ADD4CB0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26D3E48A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29F34B7D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75A3CD94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2812986F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6C6EA2ED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6B6D5EAC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5DD5E0FF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712581DB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46F3ABFD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0D19E573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35842CC4" w14:textId="77777777" w:rsid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các Vụ, Cục, Công báo;</w:t>
            </w:r>
          </w:p>
          <w:p w14:paraId="1AB7D7BC" w14:textId="0474AFE6" w:rsidR="00AE4290" w:rsidRPr="00AE4290" w:rsidRDefault="00AE4290" w:rsidP="00AE429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CN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160D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2B46A087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33B60FCF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2FB00BBB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655DC0C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CD0F25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BE34FE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C4E32F" w14:textId="77777777" w:rsidR="00AE4290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F893089" w14:textId="60C5DAE8" w:rsidR="00AE4290" w:rsidRPr="00A13C91" w:rsidRDefault="00AE4290" w:rsidP="00AE429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Gia Túc</w:t>
            </w:r>
          </w:p>
        </w:tc>
      </w:tr>
    </w:tbl>
    <w:p w14:paraId="4574C3C6" w14:textId="77777777" w:rsidR="00AE4290" w:rsidRDefault="00AE4290" w:rsidP="00AE4290">
      <w:pPr>
        <w:adjustRightInd w:val="0"/>
        <w:snapToGrid w:val="0"/>
        <w:spacing w:after="120" w:line="240" w:lineRule="auto"/>
        <w:ind w:firstLine="720"/>
        <w:jc w:val="both"/>
      </w:pPr>
    </w:p>
    <w:sectPr w:rsidR="00AE4290" w:rsidSect="00AE429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93C9" w14:textId="77777777" w:rsidR="00C724B0" w:rsidRDefault="00C724B0">
      <w:pPr>
        <w:spacing w:after="0" w:line="240" w:lineRule="auto"/>
      </w:pPr>
      <w:r>
        <w:separator/>
      </w:r>
    </w:p>
  </w:endnote>
  <w:endnote w:type="continuationSeparator" w:id="0">
    <w:p w14:paraId="14AC1EF6" w14:textId="77777777" w:rsidR="00C724B0" w:rsidRDefault="00C7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C74DF" w14:textId="77777777" w:rsidR="00C724B0" w:rsidRDefault="00C724B0">
      <w:pPr>
        <w:spacing w:after="0" w:line="240" w:lineRule="auto"/>
      </w:pPr>
      <w:r>
        <w:separator/>
      </w:r>
    </w:p>
  </w:footnote>
  <w:footnote w:type="continuationSeparator" w:id="0">
    <w:p w14:paraId="1F32B1AC" w14:textId="77777777" w:rsidR="00C724B0" w:rsidRDefault="00C72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DC"/>
    <w:rsid w:val="00106105"/>
    <w:rsid w:val="004315B9"/>
    <w:rsid w:val="004770B8"/>
    <w:rsid w:val="0066458F"/>
    <w:rsid w:val="006A59EC"/>
    <w:rsid w:val="00903FDC"/>
    <w:rsid w:val="009D4041"/>
    <w:rsid w:val="00A54969"/>
    <w:rsid w:val="00AE4290"/>
    <w:rsid w:val="00C724B0"/>
    <w:rsid w:val="00D755F0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F19F"/>
  <w15:docId w15:val="{49455EB8-93C9-4B7C-A9CB-27F655C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90"/>
  </w:style>
  <w:style w:type="paragraph" w:styleId="Footer">
    <w:name w:val="footer"/>
    <w:basedOn w:val="Normal"/>
    <w:link w:val="FooterChar"/>
    <w:uiPriority w:val="99"/>
    <w:unhideWhenUsed/>
    <w:rsid w:val="00AE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3114</Words>
  <Characters>17754</Characters>
  <Application>Microsoft Office Word</Application>
  <DocSecurity>0</DocSecurity>
  <Lines>147</Lines>
  <Paragraphs>41</Paragraphs>
  <ScaleCrop>false</ScaleCrop>
  <Company/>
  <LinksUpToDate>false</LinksUpToDate>
  <CharactersWithSpaces>20827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2026-06-16T03:51:00Z</dcterms:created>
  <dcterms:modified xsi:type="dcterms:W3CDTF">2026-06-17T02:19:00Z</dcterms:modified>
</cp:coreProperties>
</file>