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D60CB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60CBE" w:rsidRDefault="000667DD" w:rsidP="00D60CBE">
            <w:pPr>
              <w:jc w:val="center"/>
              <w:rPr>
                <w:rFonts w:ascii="Arial" w:hAnsi="Arial" w:cs="Arial"/>
                <w:bCs/>
                <w:sz w:val="20"/>
                <w:szCs w:val="20"/>
                <w:vertAlign w:val="superscript"/>
              </w:rPr>
            </w:pPr>
            <w:r w:rsidRPr="00D60CBE">
              <w:rPr>
                <w:rFonts w:ascii="Arial" w:hAnsi="Arial" w:cs="Arial"/>
                <w:b/>
                <w:bCs/>
                <w:sz w:val="20"/>
                <w:szCs w:val="20"/>
              </w:rPr>
              <w:t>BỘ TÀI CHÍNH</w:t>
            </w:r>
            <w:r w:rsidRPr="00D60CBE">
              <w:rPr>
                <w:rFonts w:ascii="Arial" w:hAnsi="Arial" w:cs="Arial"/>
                <w:b/>
                <w:bCs/>
                <w:sz w:val="20"/>
                <w:szCs w:val="20"/>
              </w:rPr>
              <w:br/>
            </w:r>
            <w:r w:rsidR="00D60CBE" w:rsidRPr="00D60CBE">
              <w:rPr>
                <w:rFonts w:ascii="Arial" w:hAnsi="Arial" w:cs="Arial"/>
                <w:bCs/>
                <w:sz w:val="20"/>
                <w:szCs w:val="20"/>
                <w:vertAlign w:val="superscript"/>
              </w:rPr>
              <w:t>________</w:t>
            </w:r>
          </w:p>
          <w:p w:rsidR="00D60CBE" w:rsidRPr="00D60CBE" w:rsidRDefault="00D60CBE" w:rsidP="00D60CBE">
            <w:pPr>
              <w:jc w:val="center"/>
              <w:rPr>
                <w:rFonts w:ascii="Arial" w:hAnsi="Arial" w:cs="Arial"/>
                <w:sz w:val="20"/>
                <w:szCs w:val="20"/>
              </w:rPr>
            </w:pPr>
            <w:r w:rsidRPr="00D60CBE">
              <w:rPr>
                <w:rFonts w:ascii="Arial" w:hAnsi="Arial" w:cs="Arial"/>
                <w:sz w:val="20"/>
                <w:szCs w:val="20"/>
              </w:rPr>
              <w:t>Số: 218/QĐ-BTC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60CBE" w:rsidRDefault="000667DD" w:rsidP="00D60CBE">
            <w:pPr>
              <w:jc w:val="center"/>
              <w:rPr>
                <w:rFonts w:ascii="Arial" w:hAnsi="Arial" w:cs="Arial"/>
                <w:bCs/>
                <w:sz w:val="20"/>
                <w:szCs w:val="20"/>
                <w:vertAlign w:val="superscript"/>
              </w:rPr>
            </w:pPr>
            <w:r w:rsidRPr="00D60CBE">
              <w:rPr>
                <w:rFonts w:ascii="Arial" w:hAnsi="Arial" w:cs="Arial"/>
                <w:b/>
                <w:bCs/>
                <w:sz w:val="20"/>
                <w:szCs w:val="20"/>
              </w:rPr>
              <w:t>CỘNG HÒA XÃ HỘI CHỦ NGHĨA VIỆT NAM</w:t>
            </w:r>
            <w:r w:rsidRPr="00D60CBE">
              <w:rPr>
                <w:rFonts w:ascii="Arial" w:hAnsi="Arial" w:cs="Arial"/>
                <w:b/>
                <w:bCs/>
                <w:sz w:val="20"/>
                <w:szCs w:val="20"/>
              </w:rPr>
              <w:br/>
              <w:t xml:space="preserve">Độc lập - Tự do - Hạnh phúc </w:t>
            </w:r>
            <w:r w:rsidRPr="00D60CBE">
              <w:rPr>
                <w:rFonts w:ascii="Arial" w:hAnsi="Arial" w:cs="Arial"/>
                <w:b/>
                <w:bCs/>
                <w:sz w:val="20"/>
                <w:szCs w:val="20"/>
              </w:rPr>
              <w:br/>
            </w:r>
            <w:r w:rsidR="00D60CBE" w:rsidRPr="00D60CBE">
              <w:rPr>
                <w:rFonts w:ascii="Arial" w:hAnsi="Arial" w:cs="Arial"/>
                <w:bCs/>
                <w:sz w:val="20"/>
                <w:szCs w:val="20"/>
                <w:vertAlign w:val="superscript"/>
              </w:rPr>
              <w:t>_________________</w:t>
            </w:r>
          </w:p>
          <w:p w:rsidR="00D60CBE" w:rsidRPr="00D60CBE" w:rsidRDefault="00D60CBE" w:rsidP="00D60CBE">
            <w:pPr>
              <w:jc w:val="center"/>
              <w:rPr>
                <w:rFonts w:ascii="Arial" w:hAnsi="Arial" w:cs="Arial"/>
                <w:sz w:val="20"/>
                <w:szCs w:val="20"/>
              </w:rPr>
            </w:pPr>
            <w:r w:rsidRPr="00D60CBE">
              <w:rPr>
                <w:rFonts w:ascii="Arial" w:hAnsi="Arial" w:cs="Arial"/>
                <w:i/>
                <w:iCs/>
                <w:sz w:val="20"/>
                <w:szCs w:val="20"/>
              </w:rPr>
              <w:t>Hà Nội, ngày 01 tháng 02 năm 2024</w:t>
            </w:r>
          </w:p>
        </w:tc>
      </w:tr>
    </w:tbl>
    <w:p w:rsidR="00000000" w:rsidRDefault="000667DD" w:rsidP="00D60CBE">
      <w:pPr>
        <w:jc w:val="center"/>
        <w:rPr>
          <w:rFonts w:ascii="Arial" w:hAnsi="Arial" w:cs="Arial"/>
          <w:sz w:val="20"/>
          <w:szCs w:val="20"/>
        </w:rPr>
      </w:pPr>
      <w:r w:rsidRPr="00D60CBE">
        <w:rPr>
          <w:rFonts w:ascii="Arial" w:hAnsi="Arial" w:cs="Arial"/>
          <w:sz w:val="20"/>
          <w:szCs w:val="20"/>
        </w:rPr>
        <w:t> </w:t>
      </w:r>
    </w:p>
    <w:p w:rsidR="00D60CBE" w:rsidRPr="00D60CBE" w:rsidRDefault="00D60CBE" w:rsidP="00D60CBE">
      <w:pPr>
        <w:jc w:val="center"/>
        <w:rPr>
          <w:rFonts w:ascii="Arial" w:hAnsi="Arial" w:cs="Arial"/>
          <w:sz w:val="20"/>
          <w:szCs w:val="20"/>
        </w:rPr>
      </w:pPr>
    </w:p>
    <w:p w:rsidR="00000000" w:rsidRPr="00D60CBE" w:rsidRDefault="000667DD" w:rsidP="00D60CBE">
      <w:pPr>
        <w:jc w:val="center"/>
        <w:rPr>
          <w:rFonts w:ascii="Arial" w:hAnsi="Arial" w:cs="Arial"/>
          <w:sz w:val="20"/>
          <w:szCs w:val="20"/>
        </w:rPr>
      </w:pPr>
      <w:r w:rsidRPr="00D60CBE">
        <w:rPr>
          <w:rFonts w:ascii="Arial" w:hAnsi="Arial" w:cs="Arial"/>
          <w:b/>
          <w:bCs/>
          <w:sz w:val="20"/>
          <w:szCs w:val="20"/>
        </w:rPr>
        <w:t>QUYẾT ĐỊNH</w:t>
      </w:r>
    </w:p>
    <w:p w:rsidR="00D60CBE" w:rsidRDefault="00D60CBE" w:rsidP="00D60CBE">
      <w:pPr>
        <w:jc w:val="center"/>
        <w:rPr>
          <w:rFonts w:ascii="Arial" w:hAnsi="Arial" w:cs="Arial"/>
          <w:b/>
          <w:sz w:val="20"/>
          <w:szCs w:val="20"/>
        </w:rPr>
      </w:pPr>
      <w:r w:rsidRPr="00D60CBE">
        <w:rPr>
          <w:rFonts w:ascii="Arial" w:hAnsi="Arial" w:cs="Arial"/>
          <w:b/>
          <w:sz w:val="20"/>
          <w:szCs w:val="20"/>
        </w:rPr>
        <w:t xml:space="preserve">Về việc công bố thủ tục hành chính thay thế trong lĩnh vực bảo hiểm </w:t>
      </w:r>
    </w:p>
    <w:p w:rsidR="00000000" w:rsidRDefault="00D60CBE" w:rsidP="00D60CBE">
      <w:pPr>
        <w:jc w:val="center"/>
        <w:rPr>
          <w:rFonts w:ascii="Arial" w:hAnsi="Arial" w:cs="Arial"/>
          <w:b/>
          <w:sz w:val="20"/>
          <w:szCs w:val="20"/>
        </w:rPr>
      </w:pPr>
      <w:r w:rsidRPr="00D60CBE">
        <w:rPr>
          <w:rFonts w:ascii="Arial" w:hAnsi="Arial" w:cs="Arial"/>
          <w:b/>
          <w:sz w:val="20"/>
          <w:szCs w:val="20"/>
        </w:rPr>
        <w:t xml:space="preserve">thuộc phạm vi chức năng quản lý của </w:t>
      </w:r>
      <w:r>
        <w:rPr>
          <w:rFonts w:ascii="Arial" w:hAnsi="Arial" w:cs="Arial"/>
          <w:b/>
          <w:sz w:val="20"/>
          <w:szCs w:val="20"/>
        </w:rPr>
        <w:t>Bộ Tài c</w:t>
      </w:r>
      <w:r w:rsidRPr="00D60CBE">
        <w:rPr>
          <w:rFonts w:ascii="Arial" w:hAnsi="Arial" w:cs="Arial"/>
          <w:b/>
          <w:sz w:val="20"/>
          <w:szCs w:val="20"/>
        </w:rPr>
        <w:t>hính</w:t>
      </w:r>
    </w:p>
    <w:p w:rsidR="00D60CBE" w:rsidRPr="00D60CBE" w:rsidRDefault="00D60CBE" w:rsidP="00D60CBE">
      <w:pPr>
        <w:jc w:val="center"/>
        <w:rPr>
          <w:rFonts w:ascii="Arial" w:hAnsi="Arial" w:cs="Arial"/>
          <w:b/>
          <w:sz w:val="20"/>
          <w:szCs w:val="20"/>
          <w:vertAlign w:val="superscript"/>
        </w:rPr>
      </w:pPr>
      <w:r w:rsidRPr="00D60CBE">
        <w:rPr>
          <w:rFonts w:ascii="Arial" w:hAnsi="Arial" w:cs="Arial"/>
          <w:b/>
          <w:sz w:val="20"/>
          <w:szCs w:val="20"/>
          <w:vertAlign w:val="superscript"/>
        </w:rPr>
        <w:t>______________</w:t>
      </w:r>
    </w:p>
    <w:p w:rsidR="00000000" w:rsidRDefault="000667DD" w:rsidP="00D60CBE">
      <w:pPr>
        <w:jc w:val="center"/>
        <w:rPr>
          <w:rFonts w:ascii="Arial" w:hAnsi="Arial" w:cs="Arial"/>
          <w:b/>
          <w:bCs/>
          <w:sz w:val="20"/>
          <w:szCs w:val="20"/>
        </w:rPr>
      </w:pPr>
      <w:r w:rsidRPr="00D60CBE">
        <w:rPr>
          <w:rFonts w:ascii="Arial" w:hAnsi="Arial" w:cs="Arial"/>
          <w:b/>
          <w:bCs/>
          <w:sz w:val="20"/>
          <w:szCs w:val="20"/>
        </w:rPr>
        <w:t>BỘ TRƯỞNG BỘ TÀI CHÍNH</w:t>
      </w:r>
    </w:p>
    <w:p w:rsidR="00D60CBE" w:rsidRPr="00D60CBE" w:rsidRDefault="00D60CBE" w:rsidP="00D60CBE">
      <w:pPr>
        <w:jc w:val="center"/>
        <w:rPr>
          <w:rFonts w:ascii="Arial" w:hAnsi="Arial" w:cs="Arial"/>
          <w:sz w:val="20"/>
          <w:szCs w:val="20"/>
        </w:rPr>
      </w:pP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i/>
          <w:iCs/>
          <w:sz w:val="20"/>
          <w:szCs w:val="20"/>
        </w:rPr>
        <w:t>Căn cứ Nghị định số 63/2010/NĐ-CP ngày 08 tháng 6 năm 2010</w:t>
      </w:r>
      <w:r w:rsidRPr="00D60CBE">
        <w:rPr>
          <w:rFonts w:ascii="Arial" w:hAnsi="Arial" w:cs="Arial"/>
          <w:i/>
          <w:iCs/>
          <w:sz w:val="20"/>
          <w:szCs w:val="20"/>
        </w:rPr>
        <w:t xml:space="preserve">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 tháng 8 năm 2018 của Chính</w:t>
      </w:r>
      <w:r w:rsidRPr="00D60CBE">
        <w:rPr>
          <w:rFonts w:ascii="Arial" w:hAnsi="Arial" w:cs="Arial"/>
          <w:i/>
          <w:iCs/>
          <w:sz w:val="20"/>
          <w:szCs w:val="20"/>
        </w:rPr>
        <w:t xml:space="preserve"> phủ sửa đổi, bổ sung một số điều của các Nghị định liên quan đến kiểm soát thủ tục hành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i/>
          <w:iCs/>
          <w:sz w:val="20"/>
          <w:szCs w:val="20"/>
        </w:rPr>
        <w:t xml:space="preserve">Căn cứ Nghị định số 67/2023/NĐ-CP ngày 06 tháng 9 năm 2023 của Chính phủ quy định về bảo hiểm bắt buộc trách nhiệm dân sự của chủ xe cơ giới, bảo hiểm cháy, nổ </w:t>
      </w:r>
      <w:r w:rsidRPr="00D60CBE">
        <w:rPr>
          <w:rFonts w:ascii="Arial" w:hAnsi="Arial" w:cs="Arial"/>
          <w:i/>
          <w:iCs/>
          <w:sz w:val="20"/>
          <w:szCs w:val="20"/>
        </w:rPr>
        <w:t>bắt buộc, bảo hiểm bắt buộc trong hoạt động đầu tư xây dựng;</w:t>
      </w:r>
    </w:p>
    <w:p w:rsidR="00000000" w:rsidRDefault="000667DD" w:rsidP="00D60CBE">
      <w:pPr>
        <w:ind w:firstLine="720"/>
        <w:jc w:val="both"/>
        <w:rPr>
          <w:rFonts w:ascii="Arial" w:hAnsi="Arial" w:cs="Arial"/>
          <w:i/>
          <w:iCs/>
          <w:sz w:val="20"/>
          <w:szCs w:val="20"/>
        </w:rPr>
      </w:pPr>
      <w:r w:rsidRPr="00D60CBE">
        <w:rPr>
          <w:rFonts w:ascii="Arial" w:hAnsi="Arial" w:cs="Arial"/>
          <w:i/>
          <w:iCs/>
          <w:sz w:val="20"/>
          <w:szCs w:val="20"/>
        </w:rPr>
        <w:t>Theo đề nghị của Cục trưởng Cục Quản lý, giám sát bảo hiểm,</w:t>
      </w:r>
    </w:p>
    <w:p w:rsidR="00D60CBE" w:rsidRPr="00D60CBE" w:rsidRDefault="00D60CBE" w:rsidP="00D60CBE">
      <w:pPr>
        <w:ind w:firstLine="720"/>
        <w:jc w:val="both"/>
        <w:rPr>
          <w:rFonts w:ascii="Arial" w:hAnsi="Arial" w:cs="Arial"/>
          <w:sz w:val="20"/>
          <w:szCs w:val="20"/>
        </w:rPr>
      </w:pPr>
    </w:p>
    <w:p w:rsidR="00000000" w:rsidRDefault="000667DD" w:rsidP="00D60CBE">
      <w:pPr>
        <w:jc w:val="center"/>
        <w:rPr>
          <w:rFonts w:ascii="Arial" w:hAnsi="Arial" w:cs="Arial"/>
          <w:b/>
          <w:bCs/>
          <w:sz w:val="20"/>
          <w:szCs w:val="20"/>
        </w:rPr>
      </w:pPr>
      <w:r w:rsidRPr="00D60CBE">
        <w:rPr>
          <w:rFonts w:ascii="Arial" w:hAnsi="Arial" w:cs="Arial"/>
          <w:b/>
          <w:bCs/>
          <w:sz w:val="20"/>
          <w:szCs w:val="20"/>
        </w:rPr>
        <w:t>QUYẾT ĐỊNH:</w:t>
      </w:r>
    </w:p>
    <w:p w:rsidR="00D60CBE" w:rsidRPr="00D60CBE" w:rsidRDefault="00D60CBE" w:rsidP="00D60CBE">
      <w:pPr>
        <w:ind w:firstLine="720"/>
        <w:jc w:val="both"/>
        <w:rPr>
          <w:rFonts w:ascii="Arial" w:hAnsi="Arial" w:cs="Arial"/>
          <w:sz w:val="20"/>
          <w:szCs w:val="20"/>
        </w:rPr>
      </w:pP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Điều 1.</w:t>
      </w:r>
      <w:r w:rsidRPr="00D60CBE">
        <w:rPr>
          <w:rFonts w:ascii="Arial" w:hAnsi="Arial" w:cs="Arial"/>
          <w:sz w:val="20"/>
          <w:szCs w:val="20"/>
        </w:rPr>
        <w:t xml:space="preserve"> Công bố kèm theo Quyết định này 02 thủ tục hành chính thay thế trong lĩnh vực bảo hiểm thuộc phạm vi chức năng quản</w:t>
      </w:r>
      <w:r w:rsidRPr="00D60CBE">
        <w:rPr>
          <w:rFonts w:ascii="Arial" w:hAnsi="Arial" w:cs="Arial"/>
          <w:sz w:val="20"/>
          <w:szCs w:val="20"/>
        </w:rPr>
        <w:t xml:space="preserve"> lý của Bộ Tài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Điều 2.</w:t>
      </w:r>
      <w:r w:rsidRPr="00D60CBE">
        <w:rPr>
          <w:rFonts w:ascii="Arial" w:hAnsi="Arial" w:cs="Arial"/>
          <w:sz w:val="20"/>
          <w:szCs w:val="20"/>
        </w:rPr>
        <w:t xml:space="preserve"> Quyết định này có hiệu lực thi hành kể từ ngày ký.</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Cục Quản lý, giám sát bảo hiểm thực hiện việc nhập và đăng tải dữ liệu thủ tục hành chính theo quy định.</w:t>
      </w:r>
    </w:p>
    <w:p w:rsidR="00000000" w:rsidRPr="00D60CBE" w:rsidRDefault="000667DD" w:rsidP="00D60CBE">
      <w:pPr>
        <w:ind w:firstLine="720"/>
        <w:jc w:val="both"/>
        <w:rPr>
          <w:rFonts w:ascii="Arial" w:hAnsi="Arial" w:cs="Arial"/>
          <w:sz w:val="20"/>
          <w:szCs w:val="20"/>
        </w:rPr>
      </w:pPr>
      <w:r w:rsidRPr="00D60CBE">
        <w:rPr>
          <w:rFonts w:ascii="Arial" w:hAnsi="Arial" w:cs="Arial"/>
          <w:b/>
          <w:bCs/>
          <w:sz w:val="20"/>
          <w:szCs w:val="20"/>
        </w:rPr>
        <w:t>Điều 3.</w:t>
      </w:r>
      <w:r w:rsidRPr="00D60CBE">
        <w:rPr>
          <w:rFonts w:ascii="Arial" w:hAnsi="Arial" w:cs="Arial"/>
          <w:sz w:val="20"/>
          <w:szCs w:val="20"/>
        </w:rPr>
        <w:t xml:space="preserve"> Chánh Văn phòng, Vụ trưởng Vụ Pháp chế, Cục trưởng Cục Quản lý</w:t>
      </w:r>
      <w:r w:rsidRPr="00D60CBE">
        <w:rPr>
          <w:rFonts w:ascii="Arial" w:hAnsi="Arial" w:cs="Arial"/>
          <w:sz w:val="20"/>
          <w:szCs w:val="20"/>
        </w:rPr>
        <w:t>, giám sát bảo hiểm, Cục trưởng Cục Tin học và Thống kê Tài chính và Thủ trưởng các đơn vị có liên quan chịu trách nhiệm thi hành Quyết định này./.</w:t>
      </w:r>
    </w:p>
    <w:p w:rsidR="00000000" w:rsidRPr="00D60CBE" w:rsidRDefault="000667DD" w:rsidP="00D60CBE">
      <w:pPr>
        <w:ind w:firstLine="720"/>
        <w:jc w:val="both"/>
        <w:rPr>
          <w:rFonts w:ascii="Arial" w:hAnsi="Arial" w:cs="Arial"/>
          <w:sz w:val="20"/>
          <w:szCs w:val="20"/>
        </w:rPr>
      </w:pPr>
      <w:r w:rsidRPr="00D60C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D60CBE" w:rsidTr="00D60CB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60CBE" w:rsidRDefault="000667DD" w:rsidP="00D60CBE">
            <w:pPr>
              <w:rPr>
                <w:rFonts w:ascii="Arial" w:hAnsi="Arial" w:cs="Arial"/>
                <w:sz w:val="20"/>
                <w:szCs w:val="20"/>
              </w:rPr>
            </w:pPr>
            <w:r w:rsidRPr="00D60CBE">
              <w:rPr>
                <w:rFonts w:ascii="Arial" w:hAnsi="Arial" w:cs="Arial"/>
                <w:b/>
                <w:bCs/>
                <w:i/>
                <w:iCs/>
                <w:sz w:val="20"/>
                <w:szCs w:val="20"/>
              </w:rPr>
              <w:t>Nơi nhận:</w:t>
            </w:r>
            <w:r w:rsidRPr="00D60CBE">
              <w:rPr>
                <w:rFonts w:ascii="Arial" w:hAnsi="Arial" w:cs="Arial"/>
                <w:b/>
                <w:bCs/>
                <w:i/>
                <w:iCs/>
                <w:sz w:val="20"/>
                <w:szCs w:val="20"/>
              </w:rPr>
              <w:br/>
            </w:r>
            <w:r w:rsidRPr="00D60CBE">
              <w:rPr>
                <w:rFonts w:ascii="Arial" w:hAnsi="Arial" w:cs="Arial"/>
                <w:sz w:val="20"/>
                <w:szCs w:val="20"/>
              </w:rPr>
              <w:t>- Như điều 3;</w:t>
            </w:r>
            <w:r w:rsidRPr="00D60CBE">
              <w:rPr>
                <w:rFonts w:ascii="Arial" w:hAnsi="Arial" w:cs="Arial"/>
                <w:sz w:val="20"/>
                <w:szCs w:val="20"/>
              </w:rPr>
              <w:br/>
              <w:t>- Văn phòng Chính phủ (Cục Kiểm soát</w:t>
            </w:r>
            <w:r w:rsidRPr="00D60CBE">
              <w:rPr>
                <w:rFonts w:ascii="Arial" w:hAnsi="Arial" w:cs="Arial"/>
                <w:sz w:val="20"/>
                <w:szCs w:val="20"/>
              </w:rPr>
              <w:br/>
              <w:t>thủ tục hành chính);</w:t>
            </w:r>
            <w:r w:rsidRPr="00D60CBE">
              <w:rPr>
                <w:rFonts w:ascii="Arial" w:hAnsi="Arial" w:cs="Arial"/>
                <w:sz w:val="20"/>
                <w:szCs w:val="20"/>
              </w:rPr>
              <w:br/>
              <w:t>- Website Bộ Tài chính;</w:t>
            </w:r>
            <w:r w:rsidRPr="00D60CBE">
              <w:rPr>
                <w:rFonts w:ascii="Arial" w:hAnsi="Arial" w:cs="Arial"/>
                <w:sz w:val="20"/>
                <w:szCs w:val="20"/>
              </w:rPr>
              <w:br/>
              <w:t>- Lưu: VT, QLBH (03 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KT. BỘ TRƯỞNG</w:t>
            </w:r>
            <w:r w:rsidRPr="00D60CBE">
              <w:rPr>
                <w:rFonts w:ascii="Arial" w:hAnsi="Arial" w:cs="Arial"/>
                <w:b/>
                <w:bCs/>
                <w:sz w:val="20"/>
                <w:szCs w:val="20"/>
              </w:rPr>
              <w:br/>
              <w:t>THỨ TRƯỞNG</w:t>
            </w:r>
            <w:r w:rsidRPr="00D60CBE">
              <w:rPr>
                <w:rFonts w:ascii="Arial" w:hAnsi="Arial" w:cs="Arial"/>
                <w:b/>
                <w:bCs/>
                <w:sz w:val="20"/>
                <w:szCs w:val="20"/>
              </w:rPr>
              <w:br/>
            </w:r>
            <w:r w:rsidRPr="00D60CBE">
              <w:rPr>
                <w:rFonts w:ascii="Arial" w:hAnsi="Arial" w:cs="Arial"/>
                <w:b/>
                <w:bCs/>
                <w:sz w:val="20"/>
                <w:szCs w:val="20"/>
              </w:rPr>
              <w:br/>
            </w:r>
            <w:r w:rsidRPr="00D60CBE">
              <w:rPr>
                <w:rFonts w:ascii="Arial" w:hAnsi="Arial" w:cs="Arial"/>
                <w:b/>
                <w:bCs/>
                <w:sz w:val="20"/>
                <w:szCs w:val="20"/>
              </w:rPr>
              <w:br/>
            </w:r>
            <w:r w:rsidRPr="00D60CBE">
              <w:rPr>
                <w:rFonts w:ascii="Arial" w:hAnsi="Arial" w:cs="Arial"/>
                <w:b/>
                <w:bCs/>
                <w:sz w:val="20"/>
                <w:szCs w:val="20"/>
              </w:rPr>
              <w:br/>
            </w:r>
            <w:r w:rsidRPr="00D60CBE">
              <w:rPr>
                <w:rFonts w:ascii="Arial" w:hAnsi="Arial" w:cs="Arial"/>
                <w:b/>
                <w:bCs/>
                <w:sz w:val="20"/>
                <w:szCs w:val="20"/>
              </w:rPr>
              <w:br/>
              <w:t>Lê Tấn Cận</w:t>
            </w:r>
          </w:p>
        </w:tc>
      </w:tr>
    </w:tbl>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w:t>
      </w:r>
    </w:p>
    <w:p w:rsidR="00D60CBE" w:rsidRDefault="00D60CBE" w:rsidP="00D60CBE">
      <w:pPr>
        <w:spacing w:after="120"/>
        <w:ind w:firstLine="720"/>
        <w:jc w:val="both"/>
        <w:rPr>
          <w:rFonts w:ascii="Arial" w:hAnsi="Arial" w:cs="Arial"/>
          <w:b/>
          <w:bCs/>
          <w:sz w:val="20"/>
          <w:szCs w:val="20"/>
        </w:rPr>
        <w:sectPr w:rsidR="00D60CBE" w:rsidSect="00D60CBE">
          <w:pgSz w:w="11907" w:h="16839" w:code="9"/>
          <w:pgMar w:top="1440" w:right="1440" w:bottom="1440" w:left="1440" w:header="720" w:footer="720" w:gutter="0"/>
          <w:cols w:space="720"/>
          <w:docGrid w:linePitch="326"/>
        </w:sectPr>
      </w:pPr>
    </w:p>
    <w:p w:rsidR="00D60CBE" w:rsidRDefault="000667DD" w:rsidP="00D60CBE">
      <w:pPr>
        <w:jc w:val="center"/>
        <w:rPr>
          <w:rFonts w:ascii="Arial" w:hAnsi="Arial" w:cs="Arial"/>
          <w:b/>
          <w:bCs/>
          <w:sz w:val="20"/>
          <w:szCs w:val="20"/>
        </w:rPr>
      </w:pPr>
      <w:r w:rsidRPr="00D60CBE">
        <w:rPr>
          <w:rFonts w:ascii="Arial" w:hAnsi="Arial" w:cs="Arial"/>
          <w:b/>
          <w:bCs/>
          <w:sz w:val="20"/>
          <w:szCs w:val="20"/>
        </w:rPr>
        <w:lastRenderedPageBreak/>
        <w:t xml:space="preserve">THỦ TỤC HÀNH CHÍNH THAY THẾ TRONG </w:t>
      </w:r>
    </w:p>
    <w:p w:rsidR="00D60CBE" w:rsidRDefault="000667DD" w:rsidP="00D60CBE">
      <w:pPr>
        <w:jc w:val="center"/>
        <w:rPr>
          <w:rFonts w:ascii="Arial" w:hAnsi="Arial" w:cs="Arial"/>
          <w:b/>
          <w:bCs/>
          <w:sz w:val="20"/>
          <w:szCs w:val="20"/>
        </w:rPr>
      </w:pPr>
      <w:r w:rsidRPr="00D60CBE">
        <w:rPr>
          <w:rFonts w:ascii="Arial" w:hAnsi="Arial" w:cs="Arial"/>
          <w:b/>
          <w:bCs/>
          <w:sz w:val="20"/>
          <w:szCs w:val="20"/>
        </w:rPr>
        <w:t xml:space="preserve">LĨNH VỰC BẢO HIỂM THUỘC PHẠM VI CHỨC NĂNG QUẢN LÝ </w:t>
      </w:r>
    </w:p>
    <w:p w:rsidR="00000000" w:rsidRPr="00D60CBE" w:rsidRDefault="000667DD" w:rsidP="00D60CBE">
      <w:pPr>
        <w:jc w:val="center"/>
        <w:rPr>
          <w:rFonts w:ascii="Arial" w:hAnsi="Arial" w:cs="Arial"/>
          <w:sz w:val="20"/>
          <w:szCs w:val="20"/>
        </w:rPr>
      </w:pPr>
      <w:r w:rsidRPr="00D60CBE">
        <w:rPr>
          <w:rFonts w:ascii="Arial" w:hAnsi="Arial" w:cs="Arial"/>
          <w:b/>
          <w:bCs/>
          <w:sz w:val="20"/>
          <w:szCs w:val="20"/>
        </w:rPr>
        <w:t>CỦA BỘ TÀI CHÍNH</w:t>
      </w:r>
    </w:p>
    <w:p w:rsidR="00D60CBE" w:rsidRDefault="000667DD" w:rsidP="00D60CBE">
      <w:pPr>
        <w:jc w:val="center"/>
        <w:rPr>
          <w:rFonts w:ascii="Arial" w:hAnsi="Arial" w:cs="Arial"/>
          <w:i/>
          <w:iCs/>
          <w:sz w:val="20"/>
          <w:szCs w:val="20"/>
        </w:rPr>
      </w:pPr>
      <w:r w:rsidRPr="00D60CBE">
        <w:rPr>
          <w:rFonts w:ascii="Arial" w:hAnsi="Arial" w:cs="Arial"/>
          <w:i/>
          <w:iCs/>
          <w:sz w:val="20"/>
          <w:szCs w:val="20"/>
        </w:rPr>
        <w:t xml:space="preserve">(kèm theo Quyết định số 218/QĐ-BTC ngày 01 tháng 02 năm 2024 của Bộ </w:t>
      </w:r>
    </w:p>
    <w:p w:rsidR="00000000" w:rsidRDefault="000667DD" w:rsidP="00D60CBE">
      <w:pPr>
        <w:jc w:val="center"/>
        <w:rPr>
          <w:rFonts w:ascii="Arial" w:hAnsi="Arial" w:cs="Arial"/>
          <w:i/>
          <w:iCs/>
          <w:sz w:val="20"/>
          <w:szCs w:val="20"/>
        </w:rPr>
      </w:pPr>
      <w:r w:rsidRPr="00D60CBE">
        <w:rPr>
          <w:rFonts w:ascii="Arial" w:hAnsi="Arial" w:cs="Arial"/>
          <w:i/>
          <w:iCs/>
          <w:sz w:val="20"/>
          <w:szCs w:val="20"/>
        </w:rPr>
        <w:t>Tài chính)</w:t>
      </w:r>
    </w:p>
    <w:p w:rsidR="00D60CBE" w:rsidRPr="00D60CBE" w:rsidRDefault="00D60CBE" w:rsidP="00D60CBE">
      <w:pPr>
        <w:jc w:val="center"/>
        <w:rPr>
          <w:rFonts w:ascii="Arial" w:hAnsi="Arial" w:cs="Arial"/>
          <w:sz w:val="20"/>
          <w:szCs w:val="20"/>
        </w:rPr>
      </w:pP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 xml:space="preserve">PHẦN I. </w:t>
      </w:r>
      <w:r w:rsidRPr="00D60CBE">
        <w:rPr>
          <w:rFonts w:ascii="Arial" w:hAnsi="Arial" w:cs="Arial"/>
          <w:b/>
          <w:bCs/>
          <w:sz w:val="20"/>
          <w:szCs w:val="20"/>
        </w:rPr>
        <w:t>DANH MỤC THỦ TỤC HÀNH CHÍNH</w:t>
      </w:r>
    </w:p>
    <w:p w:rsidR="00000000" w:rsidRPr="00D60CBE" w:rsidRDefault="000667DD" w:rsidP="00D60CBE">
      <w:pPr>
        <w:spacing w:after="120"/>
        <w:ind w:firstLine="720"/>
        <w:jc w:val="both"/>
        <w:rPr>
          <w:rFonts w:ascii="Arial" w:hAnsi="Arial" w:cs="Arial"/>
          <w:sz w:val="20"/>
          <w:szCs w:val="20"/>
        </w:rPr>
      </w:pPr>
      <w:bookmarkStart w:id="0" w:name="bookmark7"/>
      <w:r w:rsidRPr="00D60CBE">
        <w:rPr>
          <w:rFonts w:ascii="Arial" w:hAnsi="Arial" w:cs="Arial"/>
          <w:b/>
          <w:bCs/>
          <w:sz w:val="20"/>
          <w:szCs w:val="20"/>
        </w:rPr>
        <w:t>1. Danh mục thủ tục hành chính được thay thế thuộc phạm vi chức năng quản lý của Bộ Tài chính</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045"/>
        <w:gridCol w:w="1223"/>
        <w:gridCol w:w="1167"/>
        <w:gridCol w:w="3462"/>
        <w:gridCol w:w="782"/>
        <w:gridCol w:w="731"/>
      </w:tblGrid>
      <w:tr w:rsidR="00000000" w:rsidRPr="00D60CBE" w:rsidTr="00D60CBE">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Stt</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Số HS TTHC</w:t>
            </w:r>
            <w:r w:rsidRPr="00D60CBE">
              <w:rPr>
                <w:rFonts w:ascii="Arial" w:hAnsi="Arial" w:cs="Arial"/>
                <w:b/>
                <w:bCs/>
                <w:sz w:val="20"/>
                <w:szCs w:val="20"/>
                <w:vertAlign w:val="superscript"/>
              </w:rPr>
              <w:t>(1)</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Tên TTHC được thay thế</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Tên TTHC thay thế</w:t>
            </w:r>
          </w:p>
        </w:tc>
        <w:tc>
          <w:tcPr>
            <w:tcW w:w="1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Tên VBQPPL quy định nội dung thay thế</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Lĩnh vực</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60CBE" w:rsidRDefault="000667DD" w:rsidP="00D60CBE">
            <w:pPr>
              <w:jc w:val="center"/>
              <w:rPr>
                <w:rFonts w:ascii="Arial" w:hAnsi="Arial" w:cs="Arial"/>
                <w:sz w:val="20"/>
                <w:szCs w:val="20"/>
              </w:rPr>
            </w:pPr>
            <w:r w:rsidRPr="00D60CBE">
              <w:rPr>
                <w:rFonts w:ascii="Arial" w:hAnsi="Arial" w:cs="Arial"/>
                <w:b/>
                <w:bCs/>
                <w:sz w:val="20"/>
                <w:szCs w:val="20"/>
              </w:rPr>
              <w:t>Cơ quan thực hiện</w:t>
            </w:r>
          </w:p>
        </w:tc>
      </w:tr>
      <w:tr w:rsidR="00000000" w:rsidRPr="00D60CBE" w:rsidTr="00D60CBE">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1.01039</w:t>
            </w:r>
            <w:r w:rsidRPr="00D60CBE">
              <w:rPr>
                <w:rFonts w:ascii="Arial" w:hAnsi="Arial" w:cs="Arial"/>
                <w:sz w:val="20"/>
                <w:szCs w:val="20"/>
              </w:rPr>
              <w:t>5</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Thành lập Hội đồng quản lý Quỹ bảo hiểm xe cơ giới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Thành lập Hội đồng quản lý quỹ bảo hiểm xe cơ giới</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60CBE" w:rsidRDefault="000667DD" w:rsidP="00D60CBE">
            <w:pPr>
              <w:rPr>
                <w:rFonts w:ascii="Arial" w:hAnsi="Arial" w:cs="Arial"/>
                <w:sz w:val="20"/>
                <w:szCs w:val="20"/>
              </w:rPr>
            </w:pPr>
            <w:r w:rsidRPr="00D60CBE">
              <w:rPr>
                <w:rFonts w:ascii="Arial" w:hAnsi="Arial" w:cs="Arial"/>
                <w:sz w:val="20"/>
                <w:szCs w:val="20"/>
              </w:rPr>
              <w:t xml:space="preserve">Tại khoản 2, Điều 77 Nghị định 67/2023/NĐ-CP quy định các Nghị định sau đây hết hiệu lực kể từ ngày Nghị định này có hiệu lực thi hành”: </w:t>
            </w:r>
          </w:p>
          <w:p w:rsidR="00000000" w:rsidRPr="00D60CBE" w:rsidRDefault="000667DD" w:rsidP="00D60CBE">
            <w:pPr>
              <w:rPr>
                <w:rFonts w:ascii="Arial" w:hAnsi="Arial" w:cs="Arial"/>
                <w:sz w:val="20"/>
                <w:szCs w:val="20"/>
              </w:rPr>
            </w:pPr>
            <w:r w:rsidRPr="00D60CBE">
              <w:rPr>
                <w:rFonts w:ascii="Arial" w:hAnsi="Arial" w:cs="Arial"/>
                <w:i/>
                <w:iCs/>
                <w:sz w:val="20"/>
                <w:szCs w:val="20"/>
              </w:rPr>
              <w:t>a) Nghị định 03</w:t>
            </w:r>
            <w:r w:rsidRPr="00D60CBE">
              <w:rPr>
                <w:rFonts w:ascii="Arial" w:hAnsi="Arial" w:cs="Arial"/>
                <w:i/>
                <w:iCs/>
                <w:sz w:val="20"/>
                <w:szCs w:val="20"/>
              </w:rPr>
              <w:t xml:space="preserve">/2021/NĐ-CP ngày 15/01/2021 của Chính phủ về bảo hiểm bắt buộc trách nhiệm dân sự của chủ xe cơ giới; b) Nghị định số 23/2018/NĐ-CP ngày 23/02/2018 của Chính phủ quy định về bảo hiểm cháy, nổ bắt buộc; Nghị định 97/2021/NĐ-CP ngày 08/11/2021 của Chính phủ </w:t>
            </w:r>
            <w:r w:rsidRPr="00D60CBE">
              <w:rPr>
                <w:rFonts w:ascii="Arial" w:hAnsi="Arial" w:cs="Arial"/>
                <w:i/>
                <w:iCs/>
                <w:sz w:val="20"/>
                <w:szCs w:val="20"/>
              </w:rPr>
              <w:t xml:space="preserve">sửa đổi, bổ sung một số điều của Nghị định số 23/2018/NĐ-CP ngày 23/02/2018 của Chính phủ quy định về bảo hiểm cháy, nổ bắt buộc; c) Nghị định số 119/2015/NĐ-CP ngày 13/11/2015 của Chính phủ quy định bảo hiểm bắt buộc trong hoạt động đầu tư xây dựng; Nghị </w:t>
            </w:r>
            <w:r w:rsidRPr="00D60CBE">
              <w:rPr>
                <w:rFonts w:ascii="Arial" w:hAnsi="Arial" w:cs="Arial"/>
                <w:i/>
                <w:iCs/>
                <w:sz w:val="20"/>
                <w:szCs w:val="20"/>
              </w:rPr>
              <w:t>định số 20/2022/NĐ-CP ngày 10/03/2022 của Chính phủ sửa đổi, bổ sung một số điều của Nghị định số 119/2015/NĐ-CP ngày 13/11/2015 của Chính phủ quy định bảo hiểm bắt buộc trong hoạt động đầu tư xây dựng.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Bảo hiểm</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Cục Quản lý, giám sát bảo hiểm</w:t>
            </w:r>
          </w:p>
        </w:tc>
      </w:tr>
      <w:tr w:rsidR="00000000" w:rsidRPr="00D60CBE" w:rsidTr="00D60CBE">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1.010397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T</w:t>
            </w:r>
            <w:r w:rsidRPr="00D60CBE">
              <w:rPr>
                <w:rFonts w:ascii="Arial" w:hAnsi="Arial" w:cs="Arial"/>
                <w:sz w:val="20"/>
                <w:szCs w:val="20"/>
              </w:rPr>
              <w:t>hay đổi thành viên Hội đồng quản lý Quỹ bảo hiểm xe cơ giới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Thay đổi thành viên Hội đồng quản lý Quỹ bảo hiểm xe cơ giới</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60CBE" w:rsidRDefault="000667DD" w:rsidP="00D60CBE">
            <w:pPr>
              <w:rPr>
                <w:rFonts w:ascii="Arial" w:hAnsi="Arial" w:cs="Arial"/>
                <w:sz w:val="20"/>
                <w:szCs w:val="20"/>
              </w:rPr>
            </w:pPr>
            <w:r w:rsidRPr="00D60CBE">
              <w:rPr>
                <w:rFonts w:ascii="Arial" w:hAnsi="Arial" w:cs="Arial"/>
                <w:sz w:val="20"/>
                <w:szCs w:val="20"/>
              </w:rPr>
              <w:t>Tại khoản 2, Điều 77 Nghị định 67/2023/NĐ-CP quy định các Nghị định sau đây hết hiệu lực kể từ ngày Nghị định này có hiệu lực thi hành”</w:t>
            </w:r>
            <w:r w:rsidRPr="00D60CBE">
              <w:rPr>
                <w:rFonts w:ascii="Arial" w:hAnsi="Arial" w:cs="Arial"/>
                <w:sz w:val="20"/>
                <w:szCs w:val="20"/>
              </w:rPr>
              <w:t xml:space="preserve">: </w:t>
            </w:r>
          </w:p>
          <w:p w:rsidR="00000000" w:rsidRPr="00D60CBE" w:rsidRDefault="000667DD" w:rsidP="00D60CBE">
            <w:pPr>
              <w:rPr>
                <w:rFonts w:ascii="Arial" w:hAnsi="Arial" w:cs="Arial"/>
                <w:sz w:val="20"/>
                <w:szCs w:val="20"/>
              </w:rPr>
            </w:pPr>
            <w:r w:rsidRPr="00D60CBE">
              <w:rPr>
                <w:rFonts w:ascii="Arial" w:hAnsi="Arial" w:cs="Arial"/>
                <w:i/>
                <w:iCs/>
                <w:sz w:val="20"/>
                <w:szCs w:val="20"/>
              </w:rPr>
              <w:t xml:space="preserve">a) Nghị định 03/2021/NĐ-CP ngày 15/01/2021 của Chính phủ về bảo hiểm bắt buộc trách nhiệm dân sự của chủ xe cơ giới; </w:t>
            </w:r>
            <w:r w:rsidRPr="00D60CBE">
              <w:rPr>
                <w:rFonts w:ascii="Arial" w:hAnsi="Arial" w:cs="Arial"/>
                <w:i/>
                <w:iCs/>
                <w:sz w:val="20"/>
                <w:szCs w:val="20"/>
              </w:rPr>
              <w:t>b) Nghị định số 23/2018/NĐ-CP ngày 23/02/2018 của Chính phủ quy định về bảo hiểm cháy, nổ bắt buộc; Nghị định 97/2021/NĐ-CP ngày 08/11/20</w:t>
            </w:r>
            <w:r w:rsidRPr="00D60CBE">
              <w:rPr>
                <w:rFonts w:ascii="Arial" w:hAnsi="Arial" w:cs="Arial"/>
                <w:i/>
                <w:iCs/>
                <w:sz w:val="20"/>
                <w:szCs w:val="20"/>
              </w:rPr>
              <w:t xml:space="preserve">21 của Chính phủ sửa đổi, bổ sung một số điều của Nghị định số 23/2018/NĐ-CP ngày 23/02/2018 của Chính phủ quy định về bảo hiểm cháy, nổ bắt buộc; </w:t>
            </w:r>
            <w:r w:rsidRPr="00D60CBE">
              <w:rPr>
                <w:rFonts w:ascii="Arial" w:hAnsi="Arial" w:cs="Arial"/>
                <w:i/>
                <w:iCs/>
                <w:sz w:val="20"/>
                <w:szCs w:val="20"/>
              </w:rPr>
              <w:t>c) Nghị định số 119/2015/NĐ-CP ngày 13/11/2015 của Chính phủ quy định bảo hiểm bắt buộc trong hoạt động đầu t</w:t>
            </w:r>
            <w:r w:rsidRPr="00D60CBE">
              <w:rPr>
                <w:rFonts w:ascii="Arial" w:hAnsi="Arial" w:cs="Arial"/>
                <w:i/>
                <w:iCs/>
                <w:sz w:val="20"/>
                <w:szCs w:val="20"/>
              </w:rPr>
              <w:t>ư xây dựng; Nghị định số 20/2022/NĐ-CP ngày 10/03/2022 của Chính phủ sửa đổi, bổ sung một số điều của Nghị định số 119/2015/NĐ-CP ngày 13/11/2015 của Chính phủ quy định bảo hiểm bắt buộc trong hoạt động đầu tư xây dựng.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Bảo hiểm</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D60CBE" w:rsidRDefault="000667DD" w:rsidP="00D60CBE">
            <w:pPr>
              <w:jc w:val="center"/>
              <w:rPr>
                <w:rFonts w:ascii="Arial" w:hAnsi="Arial" w:cs="Arial"/>
                <w:sz w:val="20"/>
                <w:szCs w:val="20"/>
              </w:rPr>
            </w:pPr>
            <w:r w:rsidRPr="00D60CBE">
              <w:rPr>
                <w:rFonts w:ascii="Arial" w:hAnsi="Arial" w:cs="Arial"/>
                <w:sz w:val="20"/>
                <w:szCs w:val="20"/>
              </w:rPr>
              <w:t>Cục Quản lý, giám sát bảo h</w:t>
            </w:r>
            <w:r w:rsidRPr="00D60CBE">
              <w:rPr>
                <w:rFonts w:ascii="Arial" w:hAnsi="Arial" w:cs="Arial"/>
                <w:sz w:val="20"/>
                <w:szCs w:val="20"/>
              </w:rPr>
              <w:t>iểm</w:t>
            </w:r>
          </w:p>
        </w:tc>
      </w:tr>
    </w:tbl>
    <w:p w:rsidR="00D60CBE" w:rsidRDefault="00D60CBE" w:rsidP="00D60CBE">
      <w:pPr>
        <w:spacing w:after="120"/>
        <w:ind w:firstLine="720"/>
        <w:jc w:val="both"/>
        <w:rPr>
          <w:rFonts w:ascii="Arial" w:hAnsi="Arial" w:cs="Arial"/>
          <w:b/>
          <w:bCs/>
          <w:sz w:val="20"/>
          <w:szCs w:val="20"/>
        </w:rPr>
      </w:pP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PHẦN II. NỘI DUNG CỤ THỂ CỦA TỪNG THỦ TỤC HÀNH CHÍNH THUỘC PHẠM VI CHỨC NĂNG QUẢN LÝ CỦA BỘ TÀI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1. Tên TTHC 01: Thành lập Hội đồng quản lý Quỹ bảo hiểm xe cơ giới.</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Trình tự thực hiện</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Hiệp hội Bảo hiểm Việt Nam lựa chọn phương thức giải quyết t</w:t>
      </w:r>
      <w:r w:rsidRPr="00D60CBE">
        <w:rPr>
          <w:rFonts w:ascii="Arial" w:hAnsi="Arial" w:cs="Arial"/>
          <w:sz w:val="20"/>
          <w:szCs w:val="20"/>
        </w:rPr>
        <w:t>hủ tục với Bộ Tài chính thông qua hệ thống dịch vụ công trực tuyến của Bộ Tài chính hoặc nộp hồ sơ trực tiếp hoặc dịch vụ bưu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Trong vòng 10 ngày kể từ ngày nhận đủ hồ sơ hợp lệ, Bộ trưởng Bộ Tài chính ban hành Quyết định thành lập Hội đồng quản lý</w:t>
      </w:r>
      <w:r w:rsidRPr="00D60CBE">
        <w:rPr>
          <w:rFonts w:ascii="Arial" w:hAnsi="Arial" w:cs="Arial"/>
          <w:sz w:val="20"/>
          <w:szCs w:val="20"/>
        </w:rPr>
        <w:t xml:space="preserve"> Quỹ bảo hiểm xe cơ giới. Trường hợp từ chối chấp thuận, Bộ 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Cách thức thực hiện:</w:t>
      </w:r>
      <w:r w:rsidRPr="00D60CBE">
        <w:rPr>
          <w:rFonts w:ascii="Arial" w:hAnsi="Arial" w:cs="Arial"/>
          <w:sz w:val="20"/>
          <w:szCs w:val="20"/>
        </w:rPr>
        <w:t xml:space="preserve"> Trực tuyến, trực tiếp hoặc dịch vụ bưu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Thành phần, số lượng hồ sơ:</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- 01 bản chính văn bản đề nghị thành lập Hội đồng quản lý Q</w:t>
      </w:r>
      <w:r w:rsidRPr="00D60CBE">
        <w:rPr>
          <w:rFonts w:ascii="Arial" w:hAnsi="Arial" w:cs="Arial"/>
          <w:sz w:val="20"/>
          <w:szCs w:val="20"/>
        </w:rPr>
        <w:t>uỹ bảo hiểm xe cơ giới theo mẫu quy định tại Phụ lục VIII ban hành kèm theo Nghị định số 67/2023/NĐ-CP.</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- 01 bản sao Nghị quyết của Ban chấp hành khối Hiệp hội Bảo hiểm Việt Nam thông qua đề nghị thành lập Hội đồng Quản lý Quỹ bảo hiểm xe cơ giới.</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Thời hạn</w:t>
      </w:r>
      <w:r w:rsidRPr="00D60CBE">
        <w:rPr>
          <w:rFonts w:ascii="Arial" w:hAnsi="Arial" w:cs="Arial"/>
          <w:b/>
          <w:bCs/>
          <w:sz w:val="20"/>
          <w:szCs w:val="20"/>
        </w:rPr>
        <w:t xml:space="preserve"> giải quyết:</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Trong vòng 10 ngày kể từ ngày nhận đủ hồ sơ hợp lệ, Bộ trưởng Bộ Tài chính ban hành Quyết định thành lập Hội đồng quản lý Quỹ bảo hiểm xe cơ giới. Trường hợp từ chối chấp thuận, Bộ 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 xml:space="preserve">Đối tượng thực hiện </w:t>
      </w:r>
      <w:r w:rsidRPr="00D60CBE">
        <w:rPr>
          <w:rFonts w:ascii="Arial" w:hAnsi="Arial" w:cs="Arial"/>
          <w:b/>
          <w:bCs/>
          <w:sz w:val="20"/>
          <w:szCs w:val="20"/>
        </w:rPr>
        <w:t>thủ tục hành chính:</w:t>
      </w:r>
      <w:r w:rsidRPr="00D60CBE">
        <w:rPr>
          <w:rFonts w:ascii="Arial" w:hAnsi="Arial" w:cs="Arial"/>
          <w:sz w:val="20"/>
          <w:szCs w:val="20"/>
        </w:rPr>
        <w:t xml:space="preserve"> Tổ chức (không bao gồm doanh nghiệp, HTX).</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Cơ quan thực hiện thủ tục hành chính:</w:t>
      </w:r>
      <w:r w:rsidRPr="00D60CBE">
        <w:rPr>
          <w:rFonts w:ascii="Arial" w:hAnsi="Arial" w:cs="Arial"/>
          <w:sz w:val="20"/>
          <w:szCs w:val="20"/>
        </w:rPr>
        <w:t xml:space="preserve"> Bộ Tài chính (Cục Quản lý, giám sát bảo hiểm)</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Kết quả thực hiện thủ tục hành chính:</w:t>
      </w:r>
      <w:r w:rsidRPr="00D60CBE">
        <w:rPr>
          <w:rFonts w:ascii="Arial" w:hAnsi="Arial" w:cs="Arial"/>
          <w:sz w:val="20"/>
          <w:szCs w:val="20"/>
        </w:rPr>
        <w:t xml:space="preserve"> Bộ Tài chính có văn bản chấp thuận. Trường hợp từ chối chấp thuận, Bộ T</w:t>
      </w:r>
      <w:r w:rsidRPr="00D60CBE">
        <w:rPr>
          <w:rFonts w:ascii="Arial" w:hAnsi="Arial" w:cs="Arial"/>
          <w:sz w:val="20"/>
          <w:szCs w:val="20"/>
        </w:rPr>
        <w: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Phí, lệ phí:</w:t>
      </w:r>
      <w:r w:rsidRPr="00D60CBE">
        <w:rPr>
          <w:rFonts w:ascii="Arial" w:hAnsi="Arial" w:cs="Arial"/>
          <w:sz w:val="20"/>
          <w:szCs w:val="20"/>
        </w:rPr>
        <w:t xml:space="preserve"> Không</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Ten mẫu đơn, mẫu tờ khai hành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Văn bản đề nghị thành lập Hội đồng quản lý Quỹ bảo hiểm xe cơ giới theo mẫu quy định tại Phụ lục VIII ban hành kèm theo Nghị định số 67/2023/NĐ-CP.</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Yêu cầu, đi</w:t>
      </w:r>
      <w:r w:rsidRPr="00D60CBE">
        <w:rPr>
          <w:rFonts w:ascii="Arial" w:hAnsi="Arial" w:cs="Arial"/>
          <w:b/>
          <w:bCs/>
          <w:sz w:val="20"/>
          <w:szCs w:val="20"/>
        </w:rPr>
        <w:t>ều kiện thực hiện thủ tục hành chính (nếu có):</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Căn cứ pháp lý:</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Luật Kinh doanh bảo hiểm số 08/2022/QH15 ngày 16/6/2022;</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Nghị định số 67/2023/NĐ-CP ngày 06 tháng 9 năm 2023 của Chính phủ quy định về bảo hiểm bắt buộc trách nhiệm dân sự của chủ xe cơ giớ</w:t>
      </w:r>
      <w:r w:rsidRPr="00D60CBE">
        <w:rPr>
          <w:rFonts w:ascii="Arial" w:hAnsi="Arial" w:cs="Arial"/>
          <w:sz w:val="20"/>
          <w:szCs w:val="20"/>
        </w:rPr>
        <w:t>i, bảo hiểm cháy, nổ bắt buộc, bảo hiểm bắt buộc trong hoạt động đầu tư xây dựng.</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2. Tên TTHC 02: Thay đổi thành viên Hội đồng quản lý Quỹ bảo hiểm xe cơ giới:</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Trình tự thực hiện.</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Hội đồng quản lý Quỹ bảo hiểm xe cơ giới lựa chọn phương thức giải quyết t</w:t>
      </w:r>
      <w:r w:rsidRPr="00D60CBE">
        <w:rPr>
          <w:rFonts w:ascii="Arial" w:hAnsi="Arial" w:cs="Arial"/>
          <w:sz w:val="20"/>
          <w:szCs w:val="20"/>
        </w:rPr>
        <w:t>hủ tục với Bộ Tài chính thông qua hệ thống dịch vụ công trực tuyến của Bộ Tài chính hoặc nộp hồ sơ trực tiếp hoặc dịch vụ bưu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Trong vòng 10 ngày kể từ ngày nhận đủ hồ sơ hợp lệ, Bộ trưởng Bộ Tài chính ban hành Quyết định thay đổi thành viên Hội đồ</w:t>
      </w:r>
      <w:r w:rsidRPr="00D60CBE">
        <w:rPr>
          <w:rFonts w:ascii="Arial" w:hAnsi="Arial" w:cs="Arial"/>
          <w:sz w:val="20"/>
          <w:szCs w:val="20"/>
        </w:rPr>
        <w:t>ng quản lý Quỹ bảo hiểm xe cơ giới. Trường hợp từ chối chấp thuận, Bộ 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Cách thức thực hiện:</w:t>
      </w:r>
      <w:r w:rsidRPr="00D60CBE">
        <w:rPr>
          <w:rFonts w:ascii="Arial" w:hAnsi="Arial" w:cs="Arial"/>
          <w:sz w:val="20"/>
          <w:szCs w:val="20"/>
        </w:rPr>
        <w:t xml:space="preserve"> Trực tuyến, trực tiếp hoặc dịch vụ bưu chính.</w:t>
      </w:r>
    </w:p>
    <w:p w:rsidR="00000000" w:rsidRPr="00D60CBE" w:rsidRDefault="000667DD" w:rsidP="00D60CBE">
      <w:pPr>
        <w:spacing w:after="120"/>
        <w:ind w:firstLine="720"/>
        <w:jc w:val="both"/>
        <w:rPr>
          <w:rFonts w:ascii="Arial" w:hAnsi="Arial" w:cs="Arial"/>
          <w:sz w:val="20"/>
          <w:szCs w:val="20"/>
        </w:rPr>
      </w:pPr>
      <w:bookmarkStart w:id="1" w:name="bookmark8"/>
      <w:r w:rsidRPr="00D60CBE">
        <w:rPr>
          <w:rFonts w:ascii="Arial" w:hAnsi="Arial" w:cs="Arial"/>
          <w:b/>
          <w:bCs/>
          <w:sz w:val="20"/>
          <w:szCs w:val="20"/>
        </w:rPr>
        <w:t>Thành phần, số lượng hồ sơ:</w:t>
      </w:r>
      <w:bookmarkEnd w:id="1"/>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- 01 bản chính văn bản đề nghị thay đổi thành viê</w:t>
      </w:r>
      <w:r w:rsidRPr="00D60CBE">
        <w:rPr>
          <w:rFonts w:ascii="Arial" w:hAnsi="Arial" w:cs="Arial"/>
          <w:sz w:val="20"/>
          <w:szCs w:val="20"/>
        </w:rPr>
        <w:t>n Hội đồng quản lý Quỹ bảo hiểm xe cơ giới theo mẫu quy định tại Phụ lục IX ban hành kèm theo Nghị định số 67/2023/NĐ-CP.</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xml:space="preserve">- 01 bản sao Nghị quyết của Hội đồng quản lý Quỹ bảo hiểm xe cơ giới thông qua đề nghị của doanh nghiệp bảo hiểm phi nhân thọ về thay </w:t>
      </w:r>
      <w:r w:rsidRPr="00D60CBE">
        <w:rPr>
          <w:rFonts w:ascii="Arial" w:hAnsi="Arial" w:cs="Arial"/>
          <w:sz w:val="20"/>
          <w:szCs w:val="20"/>
        </w:rPr>
        <w:t>đổi thành viên Hội đồng quản lý Quỹ bảo hiểm xe cơ giới.</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Thời hạn giải quyết:</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Trong vòng 10 ngày kể từ ngày nhận đủ hồ sơ hợp lệ, Bộ trưởng Bộ Tài chính ban hành Quyết định thay đổi thành viên Hội đồng quản lý Quỹ bảo hiểm xe cơ giới. Trường hợp từ chối ch</w:t>
      </w:r>
      <w:r w:rsidRPr="00D60CBE">
        <w:rPr>
          <w:rFonts w:ascii="Arial" w:hAnsi="Arial" w:cs="Arial"/>
          <w:sz w:val="20"/>
          <w:szCs w:val="20"/>
        </w:rPr>
        <w:t>ấp thuận, Bộ 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Đối tượng thực hiện thủ tục hành chính:</w:t>
      </w:r>
      <w:r w:rsidRPr="00D60CBE">
        <w:rPr>
          <w:rFonts w:ascii="Arial" w:hAnsi="Arial" w:cs="Arial"/>
          <w:sz w:val="20"/>
          <w:szCs w:val="20"/>
        </w:rPr>
        <w:t xml:space="preserve"> Tổ chức (không bao gồm doanh nghiệp, HTX).</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Cơ quan thực hiện thủ tục hành chính:</w:t>
      </w:r>
      <w:r w:rsidRPr="00D60CBE">
        <w:rPr>
          <w:rFonts w:ascii="Arial" w:hAnsi="Arial" w:cs="Arial"/>
          <w:sz w:val="20"/>
          <w:szCs w:val="20"/>
        </w:rPr>
        <w:t xml:space="preserve"> Bộ Tài chính (Cục Quản lý, giám sát bảo hiểm)</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Kết quả thực hiện thủ tục hành chí</w:t>
      </w:r>
      <w:r w:rsidRPr="00D60CBE">
        <w:rPr>
          <w:rFonts w:ascii="Arial" w:hAnsi="Arial" w:cs="Arial"/>
          <w:b/>
          <w:bCs/>
          <w:sz w:val="20"/>
          <w:szCs w:val="20"/>
        </w:rPr>
        <w:t>nh:</w:t>
      </w:r>
      <w:r w:rsidRPr="00D60CBE">
        <w:rPr>
          <w:rFonts w:ascii="Arial" w:hAnsi="Arial" w:cs="Arial"/>
          <w:sz w:val="20"/>
          <w:szCs w:val="20"/>
        </w:rPr>
        <w:t xml:space="preserve"> Bộ Tài chính có văn bản chấp thuận. Trường hợp từ chối chấp thuận, Bộ Tài chính có văn bản giải thích rõ lý do.</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Phí, lệ phí:</w:t>
      </w:r>
      <w:r w:rsidRPr="00D60CBE">
        <w:rPr>
          <w:rFonts w:ascii="Arial" w:hAnsi="Arial" w:cs="Arial"/>
          <w:sz w:val="20"/>
          <w:szCs w:val="20"/>
        </w:rPr>
        <w:t xml:space="preserve"> Không</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Tên mẫu đơn, mẫu tờ khai hành chính:</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Văn bản đề nghị thay đổi thành viên Hội đồng quản lý Quỹ bảo hiểm xe cơ giới theo mẫ</w:t>
      </w:r>
      <w:r w:rsidRPr="00D60CBE">
        <w:rPr>
          <w:rFonts w:ascii="Arial" w:hAnsi="Arial" w:cs="Arial"/>
          <w:sz w:val="20"/>
          <w:szCs w:val="20"/>
        </w:rPr>
        <w:t>u quy định tại Phụ lục IX ban hành kèm theo Ngh</w:t>
      </w:r>
      <w:bookmarkStart w:id="2" w:name="_GoBack"/>
      <w:bookmarkEnd w:id="2"/>
      <w:r w:rsidRPr="00D60CBE">
        <w:rPr>
          <w:rFonts w:ascii="Arial" w:hAnsi="Arial" w:cs="Arial"/>
          <w:sz w:val="20"/>
          <w:szCs w:val="20"/>
        </w:rPr>
        <w:t>ị định số 67/2023/NĐ-CP.</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Yêu cầu, điều kiện thực hiện thủ tục hành chính (nếu có)</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b/>
          <w:bCs/>
          <w:sz w:val="20"/>
          <w:szCs w:val="20"/>
        </w:rPr>
        <w:t>Căn cứ pháp lý:</w:t>
      </w:r>
    </w:p>
    <w:p w:rsidR="00000000"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Luật Kinh doanh bảo hiểm số 08/2022/QH15 ngày 16/6/2022;</w:t>
      </w:r>
    </w:p>
    <w:p w:rsidR="000667DD" w:rsidRPr="00D60CBE" w:rsidRDefault="000667DD" w:rsidP="00D60CBE">
      <w:pPr>
        <w:spacing w:after="120"/>
        <w:ind w:firstLine="720"/>
        <w:jc w:val="both"/>
        <w:rPr>
          <w:rFonts w:ascii="Arial" w:hAnsi="Arial" w:cs="Arial"/>
          <w:sz w:val="20"/>
          <w:szCs w:val="20"/>
        </w:rPr>
      </w:pPr>
      <w:r w:rsidRPr="00D60CBE">
        <w:rPr>
          <w:rFonts w:ascii="Arial" w:hAnsi="Arial" w:cs="Arial"/>
          <w:sz w:val="20"/>
          <w:szCs w:val="20"/>
        </w:rPr>
        <w:t>- Nghị định số 67/2023/NĐ-CP ngày 06 tháng 9 năm 202</w:t>
      </w:r>
      <w:r w:rsidRPr="00D60CBE">
        <w:rPr>
          <w:rFonts w:ascii="Arial" w:hAnsi="Arial" w:cs="Arial"/>
          <w:sz w:val="20"/>
          <w:szCs w:val="20"/>
        </w:rPr>
        <w:t>3 của Chính phủ quy định về bảo hiểm bắt buộc trách nhiệm dân sự của chủ xe cơ giới, bảo hiểm cháy, nổ bắt buộc, bảo hiểm bắt buộc trong hoạt động đầu tư xây dựng.</w:t>
      </w:r>
    </w:p>
    <w:sectPr w:rsidR="000667DD" w:rsidRPr="00D60CBE" w:rsidSect="00D60CBE">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46"/>
    <w:rsid w:val="000667DD"/>
    <w:rsid w:val="00D60CBE"/>
    <w:rsid w:val="00D915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37AA5F0-DEF3-4751-83F3-C797D5BA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2024-02-21T03:29:00Z</dcterms:created>
  <dcterms:modified xsi:type="dcterms:W3CDTF">2024-02-21T03:33:00Z</dcterms:modified>
</cp:coreProperties>
</file>