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5773"/>
      </w:tblGrid>
      <w:tr w:rsidR="00597D8B" w:rsidRPr="00597D8B" w:rsidTr="0019183B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83B" w:rsidRPr="00597D8B" w:rsidRDefault="0019183B" w:rsidP="00597D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TÀI</w:t>
            </w:r>
            <w:proofErr w:type="spellEnd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CHÍNH</w:t>
            </w:r>
            <w:proofErr w:type="spellEnd"/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97D8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</w:t>
            </w:r>
          </w:p>
          <w:p w:rsidR="0019183B" w:rsidRPr="00597D8B" w:rsidRDefault="0019183B" w:rsidP="00597D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7D8B">
              <w:rPr>
                <w:rFonts w:ascii="Arial" w:hAnsi="Arial" w:cs="Arial"/>
                <w:color w:val="000000" w:themeColor="text1"/>
                <w:sz w:val="20"/>
                <w:szCs w:val="20"/>
              </w:rPr>
              <w:t>Số: 78/2024/TT-BTC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83B" w:rsidRPr="00597D8B" w:rsidRDefault="0019183B" w:rsidP="00597D8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 xml:space="preserve">Độc lập - Tự do - Hạnh phúc </w:t>
            </w:r>
            <w:r w:rsidRPr="00597D8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597D8B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______________________</w:t>
            </w:r>
          </w:p>
          <w:p w:rsidR="0019183B" w:rsidRPr="00597D8B" w:rsidRDefault="0019183B" w:rsidP="00597D8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Hà</w:t>
            </w:r>
            <w:proofErr w:type="spellEnd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Nội</w:t>
            </w:r>
            <w:proofErr w:type="spellEnd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ngày</w:t>
            </w:r>
            <w:proofErr w:type="spellEnd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tháng</w:t>
            </w:r>
            <w:proofErr w:type="spellEnd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11 </w:t>
            </w:r>
            <w:proofErr w:type="spellStart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năm</w:t>
            </w:r>
            <w:proofErr w:type="spellEnd"/>
            <w:r w:rsidRPr="00597D8B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2024</w:t>
            </w:r>
          </w:p>
        </w:tc>
      </w:tr>
    </w:tbl>
    <w:p w:rsidR="0019183B" w:rsidRPr="00597D8B" w:rsidRDefault="0019183B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19183B" w:rsidRPr="00597D8B" w:rsidRDefault="0019183B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</w:p>
    <w:p w:rsidR="009864B1" w:rsidRPr="00597D8B" w:rsidRDefault="0019183B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THÔNG TƯ</w:t>
      </w:r>
    </w:p>
    <w:p w:rsidR="009864B1" w:rsidRPr="00597D8B" w:rsidRDefault="00291E6F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Bãi b</w:t>
      </w:r>
      <w:r w:rsidR="0019183B"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ỏ</w:t>
      </w:r>
      <w:r w:rsidR="0019183B"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một số Thông tư</w:t>
      </w: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 xml:space="preserve"> trong lĩnh vực tài chính ngân hàng</w:t>
      </w:r>
    </w:p>
    <w:p w:rsidR="009864B1" w:rsidRPr="00597D8B" w:rsidRDefault="00291E6F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do Bộ trưởng Bộ Tài chính ban hành</w:t>
      </w:r>
    </w:p>
    <w:p w:rsidR="0019183B" w:rsidRPr="00597D8B" w:rsidRDefault="0019183B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</w:pPr>
      <w:r w:rsidRPr="00597D8B">
        <w:rPr>
          <w:rFonts w:ascii="Arial" w:hAnsi="Arial" w:cs="Arial"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______________</w:t>
      </w:r>
    </w:p>
    <w:p w:rsidR="0019183B" w:rsidRPr="00597D8B" w:rsidRDefault="0019183B" w:rsidP="00597D8B">
      <w:pPr>
        <w:pStyle w:val="Vnbnnidung0"/>
        <w:spacing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64B1" w:rsidRPr="00597D8B" w:rsidRDefault="00291E6F" w:rsidP="00597D8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Căn cứ Luật Ban hành văn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bản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quy phạm pháp luật ngày 22 tháng 6 năm 2015; Luật sửa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sung một s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của Luật Ban hành văn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bả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>n quy phạm pháp luật ngày 18 tháng 6 năm 2020;</w:t>
      </w:r>
    </w:p>
    <w:p w:rsidR="009864B1" w:rsidRPr="00597D8B" w:rsidRDefault="00291E6F" w:rsidP="00597D8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Căn cứ Nghị định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4/2023/NĐ-CP ngày 20 tháng 4 nấm 2023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quy định chức năng, nhiệm vụ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, quy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n hạn và cơ cấu t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ổ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chức của Bộ Tài chính;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Căn c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ứ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Nghị định số 34/20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6/NĐ-CP ngày 14 tháng 5 n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m 2016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quy định chi tiết một số đi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u và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iện pháp thi hành Luật Ban hành văn bản quy phạm pháp luật; Nghị định số 154/2020/NĐ-CP ngày 31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12 năm 2020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Chính phủ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sửa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của Nghị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34/20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6/NĐ-CP ngày 14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5 n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m 2016 của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Chính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phủ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quy định chi tiết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điều và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iện pháp thi hành Luật Ban hành văn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bả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n quy phạm pháp luật; Nghị định số 59/2024/NĐ-CP ngày 25/05/2024 của Chính phủ sửa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sung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điều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Nghị định số Nghị định số 34/20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6/NĐ-CP ngày 14 tháng 5 năm 2016 của Ch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nh phủ quy định chi tiết một s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điều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và biện pháp thi hành Luật Ban hành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văn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bản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quy phạm pháp luật và Nghị định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số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54/2020/N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-CP ngày 31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12 năm 2020 của Chính phủ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sửa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đổi</w:t>
      </w:r>
      <w:proofErr w:type="spellEnd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bổ</w:t>
      </w:r>
      <w:proofErr w:type="spellEnd"/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sung một số đi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ề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của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Nghị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định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34/20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1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6/NĐ-CP ngày 14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tháng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5 năm 2016 của Chính phủ quy định chi tiết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một số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điều và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iện pháp thi hành Luật Ban hành v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ă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n bản quy phạm pháp luật;</w:t>
      </w:r>
    </w:p>
    <w:p w:rsidR="009864B1" w:rsidRPr="00597D8B" w:rsidRDefault="00291E6F" w:rsidP="00597D8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color w:val="000000" w:themeColor="text1"/>
          <w:sz w:val="20"/>
          <w:szCs w:val="20"/>
        </w:rPr>
        <w:t>Theo đề nghị của Vụ trư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ng Vụ Tài chính các ng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n hàng và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tổ chức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:rsidR="009864B1" w:rsidRPr="00597D8B" w:rsidRDefault="00291E6F" w:rsidP="00597D8B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Bộ trưởng Bộ Tài chính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an hành Thông tư bãi bỏ các Thông tư trong lĩ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nh vực tài chính ng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â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</w:rPr>
        <w:t>n hàng do Bộ trưở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ng Bộ Tài ch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í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="0019183B" w:rsidRPr="00597D8B">
        <w:rPr>
          <w:rFonts w:ascii="Arial" w:hAnsi="Arial" w:cs="Arial"/>
          <w:color w:val="000000" w:themeColor="text1"/>
          <w:sz w:val="20"/>
          <w:szCs w:val="20"/>
          <w:lang w:val="en-US"/>
        </w:rPr>
        <w:t>b</w:t>
      </w:r>
      <w:r w:rsidRPr="00597D8B">
        <w:rPr>
          <w:rFonts w:ascii="Arial" w:hAnsi="Arial" w:cs="Arial"/>
          <w:color w:val="000000" w:themeColor="text1"/>
          <w:sz w:val="20"/>
          <w:szCs w:val="20"/>
        </w:rPr>
        <w:t>an hành.</w:t>
      </w:r>
    </w:p>
    <w:p w:rsidR="0019183B" w:rsidRPr="00597D8B" w:rsidRDefault="0019183B" w:rsidP="00597D8B">
      <w:pPr>
        <w:pStyle w:val="Vnbnnidung0"/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64B1" w:rsidRPr="00597D8B" w:rsidRDefault="00291E6F" w:rsidP="00597D8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1. B</w:t>
      </w:r>
      <w:r w:rsidR="0019183B"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  <w:lang w:val="en-US"/>
        </w:rPr>
        <w:t>ã</w:t>
      </w: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i bỏ toàn bộ các Thông tư trong lĩnh vực tài chính ngân hàng do Bộ trưởng Bộ Tài chính ban hành bao gồm:</w:t>
      </w:r>
    </w:p>
    <w:p w:rsidR="009864B1" w:rsidRPr="00597D8B" w:rsidRDefault="0019183B" w:rsidP="00597D8B">
      <w:pPr>
        <w:pStyle w:val="Vnbnnidung0"/>
        <w:tabs>
          <w:tab w:val="left" w:pos="1033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0"/>
      <w:bookmarkEnd w:id="0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1.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Thông tư số 120/2016/TT-BTC ngày 14 tháng 7 năm 2016 của Bộ Tài chính về Điều lệ tổ chức và hoạt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ộng của công ty trách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nhiệm hữu hạn một thành viên xổ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số điện toán Việt Nam.</w:t>
      </w:r>
    </w:p>
    <w:p w:rsidR="009864B1" w:rsidRPr="00597D8B" w:rsidRDefault="0019183B" w:rsidP="00597D8B">
      <w:pPr>
        <w:pStyle w:val="Vnbnnidung0"/>
        <w:tabs>
          <w:tab w:val="left" w:pos="107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1" w:name="bookmark1"/>
      <w:bookmarkEnd w:id="1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2.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số 188/2013/TT-BTC ngày 09 tháng 12 năm 2013 của Bộ Tài chính hướng dẫn ch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ế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độ quản lý tài chính và đánh giá hiệu quả hoạt động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đố</w:t>
      </w:r>
      <w:proofErr w:type="spellEnd"/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với Sở Giao dịch Chứng khoán, Trung tâm Lưu ký Chứng khoán.</w:t>
      </w:r>
    </w:p>
    <w:p w:rsidR="009864B1" w:rsidRPr="00597D8B" w:rsidRDefault="0019183B" w:rsidP="00597D8B">
      <w:pPr>
        <w:pStyle w:val="Vnbnnidung0"/>
        <w:tabs>
          <w:tab w:val="left" w:pos="1089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bookmark2"/>
      <w:bookmarkEnd w:id="2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3.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số 127/2012/TT-BTC ngày 08 tháng 8 năm 2012 của Bộ Tài chính hướng dẫn v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ề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tiêu chu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ẩ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n, điều kiện và quy trình thủ tục công nhận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tổ chức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cung cấp dịch vụ xác định giá trị doanh nghiệp.</w:t>
      </w:r>
    </w:p>
    <w:p w:rsidR="009864B1" w:rsidRPr="00597D8B" w:rsidRDefault="0019183B" w:rsidP="00597D8B">
      <w:pPr>
        <w:pStyle w:val="Vnbnnidung0"/>
        <w:tabs>
          <w:tab w:val="left" w:pos="1082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3"/>
      <w:bookmarkEnd w:id="3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4.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Thông tư số 205/2014/TT-BTC ngày 24 tháng 12 năm 2014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của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Bộ Tài chính sửa đổi, b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ổ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sung một số điều của Thông tư s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ố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127/2012/TT-BTC ngày 08 tháng 8 năm 2012 của Bộ Tài chính hướng dẫn về tiêu chuẩn, điều kiện và quy trình thủ tục công nhận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tổ chức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cung c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ấ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p dịch vụ xác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ịnh giá trị doanh nghiệp.</w:t>
      </w:r>
    </w:p>
    <w:p w:rsidR="009864B1" w:rsidRPr="00597D8B" w:rsidRDefault="0019183B" w:rsidP="00597D8B">
      <w:pPr>
        <w:pStyle w:val="Vnbnnidung0"/>
        <w:tabs>
          <w:tab w:val="left" w:pos="1089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4" w:name="bookmark4"/>
      <w:bookmarkEnd w:id="4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5.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số 76/2015/TT-BTC ngày 19 tháng 05 năm 2015 của Bộ Tài chính quy định l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ã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i su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ấ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t cho vay tín dụng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đầ</w:t>
      </w:r>
      <w:proofErr w:type="spellEnd"/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u tư, tín dụng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xuất</w:t>
      </w:r>
      <w:proofErr w:type="spellEnd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khẩu</w:t>
      </w:r>
      <w:proofErr w:type="spellEnd"/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của Nhà nước và mức chênh lệch l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ã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i suất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ược tính h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ỗ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trợ sau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đ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ầu tư.</w:t>
      </w:r>
    </w:p>
    <w:p w:rsidR="009864B1" w:rsidRPr="00597D8B" w:rsidRDefault="00291E6F" w:rsidP="00597D8B">
      <w:pPr>
        <w:pStyle w:val="Vnbnnidung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97D8B">
        <w:rPr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  <w:t>Điều 2. Điều khoản thi hành</w:t>
      </w:r>
    </w:p>
    <w:p w:rsidR="009864B1" w:rsidRPr="00597D8B" w:rsidRDefault="0019183B" w:rsidP="00597D8B">
      <w:pPr>
        <w:pStyle w:val="Vnbnnidung0"/>
        <w:tabs>
          <w:tab w:val="left" w:pos="1028"/>
        </w:tabs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bookmarkStart w:id="5" w:name="bookmark5"/>
      <w:bookmarkEnd w:id="5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1.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Thông tư này có hiệu lực thi hành k</w:t>
      </w:r>
      <w:r w:rsidR="00597D8B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ể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từ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ngày</w:t>
      </w:r>
      <w:proofErr w:type="spellEnd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12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tháng</w:t>
      </w:r>
      <w:proofErr w:type="spellEnd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12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năm</w:t>
      </w:r>
      <w:proofErr w:type="spellEnd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 2024</w:t>
      </w:r>
    </w:p>
    <w:p w:rsidR="009864B1" w:rsidRPr="00597D8B" w:rsidRDefault="0019183B" w:rsidP="00597D8B">
      <w:pPr>
        <w:pStyle w:val="Vnbnnidung0"/>
        <w:tabs>
          <w:tab w:val="left" w:pos="1071"/>
        </w:tabs>
        <w:spacing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bookmarkStart w:id="6" w:name="bookmark6"/>
      <w:bookmarkEnd w:id="6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 xml:space="preserve">2. 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Chánh Văn phòng Bộ Tài chính, Vụ trưởng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Vụ Tài chính các ngân hàng và tổ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chức tài chính, </w:t>
      </w:r>
      <w:proofErr w:type="spellStart"/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  <w:lang w:val="en-US"/>
        </w:rPr>
        <w:t>Th</w:t>
      </w:r>
      <w:proofErr w:type="spellEnd"/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ủ trưởng các đơn vị liên quan thuộc Bộ Tài chính và các cơ quan,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tổ chức</w:t>
      </w:r>
      <w:r w:rsidR="00291E6F"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, cá nhân có liên quan chịu trách nhiệm thi hành Thông tư </w:t>
      </w:r>
      <w:r w:rsidRPr="00597D8B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này./.</w:t>
      </w:r>
    </w:p>
    <w:p w:rsidR="0019183B" w:rsidRPr="00597D8B" w:rsidRDefault="0019183B" w:rsidP="00597D8B">
      <w:pPr>
        <w:pStyle w:val="Vnbnnidung0"/>
        <w:tabs>
          <w:tab w:val="left" w:pos="1071"/>
        </w:tabs>
        <w:spacing w:line="240" w:lineRule="auto"/>
        <w:ind w:firstLine="720"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510"/>
      </w:tblGrid>
      <w:tr w:rsidR="00597D8B" w:rsidRPr="00597D8B" w:rsidTr="00597D8B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D8B" w:rsidRPr="00597D8B" w:rsidRDefault="00597D8B" w:rsidP="00597D8B">
            <w:pPr>
              <w:pStyle w:val="Vnbnnidung20"/>
              <w:tabs>
                <w:tab w:val="left" w:pos="250"/>
              </w:tabs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t>Nơi nhận:</w:t>
            </w:r>
            <w:r w:rsidRPr="00597D8B"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  <w:br/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Thủ tướ</w:t>
            </w:r>
            <w:bookmarkStart w:id="7" w:name="_GoBack"/>
            <w:bookmarkEnd w:id="7"/>
            <w:r w:rsidRPr="00597D8B">
              <w:rPr>
                <w:rFonts w:ascii="Arial" w:hAnsi="Arial" w:cs="Arial"/>
                <w:color w:val="000000" w:themeColor="text1"/>
              </w:rPr>
              <w:t>ng Chính phủ, các Phó TTCP;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4"/>
              </w:tabs>
              <w:rPr>
                <w:rFonts w:ascii="Arial" w:hAnsi="Arial" w:cs="Arial"/>
                <w:color w:val="000000" w:themeColor="text1"/>
              </w:rPr>
            </w:pPr>
            <w:bookmarkStart w:id="8" w:name="bookmark8"/>
            <w:bookmarkEnd w:id="8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V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ă</w:t>
            </w:r>
            <w:r w:rsidRPr="00597D8B">
              <w:rPr>
                <w:rFonts w:ascii="Arial" w:hAnsi="Arial" w:cs="Arial"/>
                <w:color w:val="000000" w:themeColor="text1"/>
              </w:rPr>
              <w:t>n phòng Trung ương &amp; các Ban của Đ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ả</w:t>
            </w:r>
            <w:r w:rsidRPr="00597D8B">
              <w:rPr>
                <w:rFonts w:ascii="Arial" w:hAnsi="Arial" w:cs="Arial"/>
                <w:color w:val="000000" w:themeColor="text1"/>
              </w:rPr>
              <w:t>ng;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9" w:name="bookmark9"/>
            <w:bookmarkEnd w:id="9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V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ă</w:t>
            </w:r>
            <w:r w:rsidRPr="00597D8B">
              <w:rPr>
                <w:rFonts w:ascii="Arial" w:hAnsi="Arial" w:cs="Arial"/>
                <w:color w:val="000000" w:themeColor="text1"/>
              </w:rPr>
              <w:t>n phòng Tổng bí thư;</w:t>
            </w:r>
          </w:p>
          <w:p w:rsidR="00597D8B" w:rsidRPr="00597D8B" w:rsidRDefault="00597D8B" w:rsidP="00597D8B">
            <w:pPr>
              <w:pStyle w:val="Vnbnnidung20"/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color w:val="000000" w:themeColor="text1"/>
              </w:rPr>
              <w:t>-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597D8B">
              <w:rPr>
                <w:rFonts w:ascii="Arial" w:hAnsi="Arial" w:cs="Arial"/>
                <w:color w:val="000000" w:themeColor="text1"/>
              </w:rPr>
              <w:t>Văn phòng Ch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ủ</w:t>
            </w:r>
            <w:r w:rsidRPr="00597D8B">
              <w:rPr>
                <w:rFonts w:ascii="Arial" w:hAnsi="Arial" w:cs="Arial"/>
                <w:color w:val="000000" w:themeColor="text1"/>
              </w:rPr>
              <w:t xml:space="preserve"> tịch nước;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0" w:name="bookmark10"/>
            <w:bookmarkEnd w:id="10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Văn phòng Quốc hội;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1" w:name="bookmark11"/>
            <w:bookmarkEnd w:id="11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Tòa án nhân dân tối cao;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2" w:name="bookmark12"/>
            <w:bookmarkEnd w:id="12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Viện kiểm sát nhân dân tối cao;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3" w:name="bookmark13"/>
            <w:bookmarkEnd w:id="13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Kiểm toán Nhà nước;</w:t>
            </w:r>
          </w:p>
          <w:p w:rsidR="00597D8B" w:rsidRPr="00597D8B" w:rsidRDefault="00597D8B" w:rsidP="00597D8B">
            <w:pPr>
              <w:pStyle w:val="Vnbnnidung20"/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color w:val="000000" w:themeColor="text1"/>
              </w:rPr>
              <w:t>- Hội đồng dân tộc;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4" w:name="bookmark14"/>
            <w:bookmarkEnd w:id="14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Các Bộ, cơ quan ngang Bộ, cơ quan thuộc Chính phủ;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5" w:name="bookmark15"/>
            <w:bookmarkEnd w:id="15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 xml:space="preserve">HĐND, 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U</w:t>
            </w:r>
            <w:r w:rsidRPr="00597D8B">
              <w:rPr>
                <w:rFonts w:ascii="Arial" w:hAnsi="Arial" w:cs="Arial"/>
                <w:color w:val="000000" w:themeColor="text1"/>
              </w:rPr>
              <w:t>BND các t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ỉ</w:t>
            </w:r>
            <w:r w:rsidRPr="00597D8B">
              <w:rPr>
                <w:rFonts w:ascii="Arial" w:hAnsi="Arial" w:cs="Arial"/>
                <w:color w:val="000000" w:themeColor="text1"/>
              </w:rPr>
              <w:t>nh, TP trực thuộc Trung ương;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6" w:name="bookmark16"/>
            <w:bookmarkEnd w:id="16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Sở Tài chính, Cục Thuế các t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ỉ</w:t>
            </w:r>
            <w:r w:rsidRPr="00597D8B">
              <w:rPr>
                <w:rFonts w:ascii="Arial" w:hAnsi="Arial" w:cs="Arial"/>
                <w:color w:val="000000" w:themeColor="text1"/>
              </w:rPr>
              <w:t>nh, TP trực thuộc Trung ương;</w:t>
            </w:r>
          </w:p>
          <w:p w:rsidR="00597D8B" w:rsidRPr="00597D8B" w:rsidRDefault="00597D8B" w:rsidP="00597D8B">
            <w:pPr>
              <w:pStyle w:val="Vnbnnidung20"/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color w:val="000000" w:themeColor="text1"/>
              </w:rPr>
              <w:t>-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597D8B">
              <w:rPr>
                <w:rFonts w:ascii="Arial" w:hAnsi="Arial" w:cs="Arial"/>
                <w:color w:val="000000" w:themeColor="text1"/>
              </w:rPr>
              <w:t>Cục Ki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ể</w:t>
            </w:r>
            <w:r w:rsidRPr="00597D8B">
              <w:rPr>
                <w:rFonts w:ascii="Arial" w:hAnsi="Arial" w:cs="Arial"/>
                <w:color w:val="000000" w:themeColor="text1"/>
              </w:rPr>
              <w:t>m tra văn b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>ả</w:t>
            </w:r>
            <w:r w:rsidRPr="00597D8B">
              <w:rPr>
                <w:rFonts w:ascii="Arial" w:hAnsi="Arial" w:cs="Arial"/>
                <w:color w:val="000000" w:themeColor="text1"/>
              </w:rPr>
              <w:t>n (Bộ Tư pháp);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7" w:name="bookmark17"/>
            <w:bookmarkEnd w:id="17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Công báo;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8" w:name="bookmark18"/>
            <w:bookmarkEnd w:id="18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Website Chính phủ;</w:t>
            </w:r>
          </w:p>
          <w:p w:rsidR="00597D8B" w:rsidRPr="00597D8B" w:rsidRDefault="00597D8B" w:rsidP="00597D8B">
            <w:pPr>
              <w:pStyle w:val="Vnbnnidung20"/>
              <w:tabs>
                <w:tab w:val="left" w:pos="258"/>
              </w:tabs>
              <w:rPr>
                <w:rFonts w:ascii="Arial" w:hAnsi="Arial" w:cs="Arial"/>
                <w:color w:val="000000" w:themeColor="text1"/>
              </w:rPr>
            </w:pPr>
            <w:bookmarkStart w:id="19" w:name="bookmark19"/>
            <w:bookmarkEnd w:id="19"/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- </w:t>
            </w:r>
            <w:r w:rsidRPr="00597D8B">
              <w:rPr>
                <w:rFonts w:ascii="Arial" w:hAnsi="Arial" w:cs="Arial"/>
                <w:color w:val="000000" w:themeColor="text1"/>
              </w:rPr>
              <w:t>Website Bộ Tài chính;</w:t>
            </w:r>
          </w:p>
          <w:p w:rsidR="00597D8B" w:rsidRPr="00597D8B" w:rsidRDefault="00597D8B" w:rsidP="00597D8B">
            <w:pPr>
              <w:pStyle w:val="Vnbnnidung20"/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color w:val="000000" w:themeColor="text1"/>
              </w:rPr>
              <w:t>- Các đơn vị thuộc và trực thuộc Bộ Tài chính;</w:t>
            </w:r>
          </w:p>
          <w:p w:rsidR="00597D8B" w:rsidRPr="00597D8B" w:rsidRDefault="00597D8B" w:rsidP="00597D8B">
            <w:pPr>
              <w:pStyle w:val="Vnbnnidung20"/>
              <w:rPr>
                <w:rFonts w:ascii="Arial" w:hAnsi="Arial" w:cs="Arial"/>
                <w:color w:val="000000" w:themeColor="text1"/>
              </w:rPr>
            </w:pPr>
            <w:r w:rsidRPr="00597D8B">
              <w:rPr>
                <w:rFonts w:ascii="Arial" w:hAnsi="Arial" w:cs="Arial"/>
                <w:color w:val="000000" w:themeColor="text1"/>
              </w:rPr>
              <w:t>-</w:t>
            </w:r>
            <w:r w:rsidRPr="00597D8B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597D8B">
              <w:rPr>
                <w:rFonts w:ascii="Arial" w:hAnsi="Arial" w:cs="Arial"/>
                <w:color w:val="000000" w:themeColor="text1"/>
              </w:rPr>
              <w:t>Lưu: VT, TCNH.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KT. </w:t>
            </w: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BỘ</w:t>
            </w:r>
            <w:proofErr w:type="spellEnd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THỨ</w:t>
            </w:r>
            <w:proofErr w:type="spellEnd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TRƯỞNG</w:t>
            </w:r>
            <w:proofErr w:type="spellEnd"/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97D8B" w:rsidRPr="00597D8B" w:rsidRDefault="00597D8B" w:rsidP="00597D8B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Nguyễn</w:t>
            </w:r>
            <w:proofErr w:type="spellEnd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Đức</w:t>
            </w:r>
            <w:proofErr w:type="spellEnd"/>
            <w:r w:rsidRPr="00597D8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Chi</w:t>
            </w:r>
          </w:p>
        </w:tc>
      </w:tr>
    </w:tbl>
    <w:p w:rsidR="00597D8B" w:rsidRPr="00597D8B" w:rsidRDefault="00597D8B" w:rsidP="00597D8B">
      <w:pPr>
        <w:pStyle w:val="Vnbnnidung20"/>
        <w:spacing w:after="120"/>
        <w:ind w:firstLine="720"/>
        <w:jc w:val="both"/>
        <w:rPr>
          <w:rFonts w:ascii="Arial" w:hAnsi="Arial" w:cs="Arial"/>
          <w:color w:val="000000" w:themeColor="text1"/>
        </w:rPr>
      </w:pPr>
      <w:bookmarkStart w:id="20" w:name="bookmark7"/>
      <w:bookmarkEnd w:id="20"/>
    </w:p>
    <w:sectPr w:rsidR="00597D8B" w:rsidRPr="00597D8B" w:rsidSect="00041FFB">
      <w:pgSz w:w="11900" w:h="16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1B" w:rsidRDefault="00F2721B">
      <w:r>
        <w:separator/>
      </w:r>
    </w:p>
  </w:endnote>
  <w:endnote w:type="continuationSeparator" w:id="0">
    <w:p w:rsidR="00F2721B" w:rsidRDefault="00F2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1B" w:rsidRDefault="00F2721B"/>
  </w:footnote>
  <w:footnote w:type="continuationSeparator" w:id="0">
    <w:p w:rsidR="00F2721B" w:rsidRDefault="00F27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2DA"/>
    <w:multiLevelType w:val="multilevel"/>
    <w:tmpl w:val="F85814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E5FAC"/>
    <w:multiLevelType w:val="multilevel"/>
    <w:tmpl w:val="2A4C0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C453A9"/>
    <w:multiLevelType w:val="multilevel"/>
    <w:tmpl w:val="7938E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B1"/>
    <w:rsid w:val="00041FFB"/>
    <w:rsid w:val="0019183B"/>
    <w:rsid w:val="00291E6F"/>
    <w:rsid w:val="00597D8B"/>
    <w:rsid w:val="006402C7"/>
    <w:rsid w:val="00726CE9"/>
    <w:rsid w:val="009864B1"/>
    <w:rsid w:val="00BC189E"/>
    <w:rsid w:val="00F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76963-A5C8-4222-A88F-2B076FF1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Pr>
      <w:rFonts w:ascii="Times New Roman" w:eastAsia="Times New Roman" w:hAnsi="Times New Roman" w:cs="Times New Roman"/>
      <w:b/>
      <w:bCs/>
    </w:rPr>
  </w:style>
  <w:style w:type="paragraph" w:customStyle="1" w:styleId="Vnbnnidung20">
    <w:name w:val="Văn bản nội dung (2)"/>
    <w:basedOn w:val="Normal"/>
    <w:link w:val="Vnbnnidung2"/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spacing w:line="283" w:lineRule="auto"/>
      <w:ind w:firstLine="40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4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FF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FF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LVN_chen footer_2021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LVN_chen footer_2021</dc:title>
  <dc:subject/>
  <dc:creator>Đỗ Văn Chính</dc:creator>
  <cp:keywords/>
  <cp:lastModifiedBy>NGUYỄN XUÂN HUY</cp:lastModifiedBy>
  <cp:revision>3</cp:revision>
  <dcterms:created xsi:type="dcterms:W3CDTF">2024-11-20T01:51:00Z</dcterms:created>
  <dcterms:modified xsi:type="dcterms:W3CDTF">2024-11-20T07:22:00Z</dcterms:modified>
</cp:coreProperties>
</file>