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01"/>
        <w:gridCol w:w="4925"/>
      </w:tblGrid>
      <w:tr w:rsidR="00B250B6" w:rsidRPr="00B250B6" w14:paraId="264F53DF" w14:textId="77777777" w:rsidTr="00B250B6">
        <w:tc>
          <w:tcPr>
            <w:tcW w:w="2272" w:type="pct"/>
          </w:tcPr>
          <w:p w14:paraId="6AFEFE70" w14:textId="5E34BE40" w:rsidR="00287F3C" w:rsidRPr="00B250B6" w:rsidRDefault="00D20C65" w:rsidP="002E2C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t>98/2026/NĐ-CP</w:t>
            </w:r>
          </w:p>
        </w:tc>
        <w:tc>
          <w:tcPr>
            <w:tcW w:w="2728" w:type="pct"/>
          </w:tcPr>
          <w:p w14:paraId="53740E24" w14:textId="16F45BA6" w:rsidR="00287F3C" w:rsidRPr="00B250B6" w:rsidRDefault="00D20C65" w:rsidP="002E2C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E2C02"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E2C02"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E2C02"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E2C02"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2E2C02"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E2C02"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2E2C02"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E2C02"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250B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33C08ACA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A78D8E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514EDA" w14:textId="7C993588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64AEDEA" w14:textId="77777777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br/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6B9FE9D2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96195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057686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54/2014/QH13,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67/2020/QH14,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 và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044C7DE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Tr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em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102/2016/QH13 đư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28/2018/QH14,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59/2024/QH15 và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81/2025/QH15;</w:t>
      </w:r>
    </w:p>
    <w:p w14:paraId="0585C10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Ngư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39/2009/QH12 đư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41/2024/QH15;</w:t>
      </w:r>
    </w:p>
    <w:p w14:paraId="774B34C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Ngư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51/2010/QH12 đư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32/2013/QH13;</w:t>
      </w:r>
    </w:p>
    <w:p w14:paraId="1B33E30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Phòng, ch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ng mua bán ngư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53/2024/QH15;</w:t>
      </w:r>
    </w:p>
    <w:p w14:paraId="309A24D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24843203" w14:textId="77777777" w:rsidR="00287F3C" w:rsidRPr="00B250B6" w:rsidRDefault="00D20C65" w:rsidP="002E2C0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 xml:space="preserve"> em.</w:t>
      </w:r>
    </w:p>
    <w:p w14:paraId="70536309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7F51C3" w14:textId="287374C5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75709A47" w14:textId="77777777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B2FD0EA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BDB7A1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DE8D97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anh và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chính,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58EC95B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không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 các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07381FE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F2D21B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Cá nhân,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Nam; cá nhân,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ngoài có hành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lãnh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lãnh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vùng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giáp lãnh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vùng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Nam; trên tàu bay mang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Nam, tà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mang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 là thành viên có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khác,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173047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Cá nhân có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47EBEF7" w14:textId="2FFAB625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là pháp nhân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các lo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hình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tôn giáo;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sách;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="00EA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="00EA1642">
        <w:rPr>
          <w:rFonts w:ascii="Arial" w:hAnsi="Arial" w:cs="Arial"/>
          <w:color w:val="000000" w:themeColor="text1"/>
          <w:sz w:val="20"/>
          <w:szCs w:val="20"/>
        </w:rPr>
        <w:t xml:space="preserve"> – nghề nghiệp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p; doanh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tác xã,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kinh doanh;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văn hóa,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và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thao;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khám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nh;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c;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và các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khác.</w:t>
      </w:r>
    </w:p>
    <w:p w14:paraId="4D70E7F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F80C21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Ng</w:t>
      </w:r>
      <w:bookmarkStart w:id="0" w:name="_GoBack"/>
      <w:bookmarkEnd w:id="0"/>
      <w:r w:rsidRPr="00B250B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09A26C0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4. Cơ quan,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hành chính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718396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375F79A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là 01 năm.</w:t>
      </w:r>
    </w:p>
    <w:p w14:paraId="64CB46A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thúc,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đang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tính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118/2021/NĐ-CP ngày 23 tháng 12 năm 2021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thi hành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68/2025/NĐ-CP,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190/2025/NĐ-CP.</w:t>
      </w:r>
    </w:p>
    <w:p w14:paraId="65622A9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4. Thi hành các hình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0209C0D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theo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15/2012/QH13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54/2014/QH13,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67/2020/QH14,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56/2024/QH15 và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88/2025/QH15 (sau đây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chung là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chính) và các văn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thi hành.</w:t>
      </w:r>
    </w:p>
    <w:p w14:paraId="4B38095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trên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Chương IIIa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118/2021/NĐ-CP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68/2025/NĐ-CP,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190/2025/NĐ-CP.</w:t>
      </w:r>
    </w:p>
    <w:p w14:paraId="3FCA430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Trong quá trình xem xét,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trong quá trình thi hành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12,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19,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22,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23,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24,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25,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29,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33,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36,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có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thì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đang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ngay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sang cơ quan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62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thì chuy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62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D79D21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5. Hình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; vi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thi hành các hình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chính, các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557D637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chính:</w:t>
      </w:r>
    </w:p>
    <w:p w14:paraId="465DC56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66A5C2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95E214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B307EB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E79C9A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71392AA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tháng.</w:t>
      </w:r>
    </w:p>
    <w:p w14:paraId="3925807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EBD1EA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đ, e và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84CED7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A3DD1B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xóa,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thông tin,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nhân;</w:t>
      </w:r>
    </w:p>
    <w:p w14:paraId="60A2D56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khi có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1E2E48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đã thu trái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865194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986BE2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g)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nhân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139114C" w14:textId="6DA52730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h)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="00B83F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chính sách đúng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559362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i)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hàng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4A7F29B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k)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B705BF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l)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phương pháp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085887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m)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DD2419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n)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mua sách,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dùng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162ADC0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o)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chương trình, giáo trình,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ngũ nhà giáo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548C04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p)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30550A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q)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tiêu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chơi, báo in và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0DF460A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r)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tin, bài trên báo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chí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báo nói, báo hình,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32D9B4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s)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7AB934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t)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kho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hàng hóa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có nguy cơ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phát sinh cháy,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văn hóa,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4C3D7DD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u)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trình,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111DF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v)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an toàn;</w:t>
      </w:r>
    </w:p>
    <w:p w14:paraId="21B7281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x)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gây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 </w:t>
      </w:r>
      <w:r w:rsidRPr="00B83F05">
        <w:rPr>
          <w:rFonts w:ascii="Arial" w:hAnsi="Arial" w:cs="Arial"/>
          <w:iCs/>
          <w:color w:val="000000" w:themeColor="text1"/>
          <w:sz w:val="20"/>
          <w:szCs w:val="20"/>
        </w:rPr>
        <w:t>g</w:t>
      </w:r>
      <w:r w:rsidRPr="00B83F05">
        <w:rPr>
          <w:rFonts w:ascii="Arial" w:hAnsi="Arial" w:cs="Arial"/>
          <w:iCs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o, xuyên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trên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A896CA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y)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xóa,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riêng tư, bí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cá nhân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5519C69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này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2,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3 Chương III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chính,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17a, 18, 19, 20, 21, 22, 23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41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118/2021/NĐ-CP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68/2025/NĐ-CP,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190/2025/NĐ-CP.</w:t>
      </w:r>
    </w:p>
    <w:p w14:paraId="58E36D3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6.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n,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áp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7E2785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 nhân là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là 100.000.000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630019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nh này là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cá nhân,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10, 11, 14, 15, 16, 34,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35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37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cùng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thì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p hai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6AB8EE97" w14:textId="77777777" w:rsidR="00287F3C" w:rsidRPr="00B250B6" w:rsidRDefault="00D20C65" w:rsidP="002E2C0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danh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39,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41,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42,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43,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44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là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cá nhâ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n; trong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hai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 nhân có cùng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1BE3BD9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A60BAB" w14:textId="2D57F0D1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27A4DB46" w14:textId="2E457C97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M, HÌNH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br/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VÀ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HÀNH CHÍNH</w:t>
      </w:r>
    </w:p>
    <w:p w14:paraId="281A1858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7CC812" w14:textId="1A0AB6F8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2443411B" w14:textId="41BFDD9C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M, HÌNH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br/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VÀ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br/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682B285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257037" w14:textId="0C24B00E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7.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khai hư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chính sách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hưu trí xã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E4ECBC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 nhân có hành vi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gian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ECEE1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gian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chính sách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sau: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văn hóa,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khó khăn ban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7766F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2B5CD9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Khai báo gian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hàng tháng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39D457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Khai báo gian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hưu trí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tháng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37DD83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Khai báo gian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kinh phí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tháng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DD946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Khai báo gian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vào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nhân.</w:t>
      </w:r>
    </w:p>
    <w:p w14:paraId="7893BB3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683025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AFE25D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2FD84B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8.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đang trong quá trình xác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mua bán</w:t>
      </w:r>
    </w:p>
    <w:p w14:paraId="52D9268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FA84F9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đang trong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nhân;</w:t>
      </w:r>
    </w:p>
    <w:p w14:paraId="2702C52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đang trong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nhân;</w:t>
      </w:r>
    </w:p>
    <w:p w14:paraId="305131F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 phân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ang trong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nhân.</w:t>
      </w:r>
    </w:p>
    <w:p w14:paraId="35F6CCA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đe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đang trong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làm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giác, báo tin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cáo, khai báo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ngăn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nhưng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1659D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tên,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tài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nơi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nơi làm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quê quán,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e,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đang trong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khi chưa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nhưng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là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tính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6C8277C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4392CB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xóa,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thông tin,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đang trong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07516D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đang trong quá trình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nhân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mua bán,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làm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giác, báo tin,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cáo, khai báo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ngăn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khi có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6FAE07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9.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chăm sóc, nuôi dư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ra nh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hăm sóc, nuôi dư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xã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và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18240A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ra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chăm sóc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nhưng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CF7ED1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ăn;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 không cho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sinh cá nhân;</w:t>
      </w:r>
    </w:p>
    <w:p w14:paraId="4E4FBBC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nơi có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3E386E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Lăng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đãi,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hành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phân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2ABB1BF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ra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672BC61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55B3C8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82D7DD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ra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chăm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3440FAB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lôi kéo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BE024D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F303F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5EBA76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C819BE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do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347521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10.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các lo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i hình </w:t>
      </w:r>
      <w:r w:rsidRPr="00B250B6">
        <w:rPr>
          <w:rFonts w:ascii="Arial" w:hAnsi="Arial" w:cs="Arial"/>
          <w:b/>
          <w:i/>
          <w:color w:val="000000" w:themeColor="text1"/>
          <w:sz w:val="20"/>
          <w:szCs w:val="20"/>
        </w:rPr>
        <w:t>cơ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nhân,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cung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(g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là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1226619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sơ,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chăm sóc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7B31F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2.000.0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239264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báo cáo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tình hình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57E3F3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sinh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cá nhân thư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ngày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chăn, màn, chi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áo mùa hè,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áo mùa đông,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áo lót, khăn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giày, dép, bàn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đánh răng,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thông thư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sinh cá nhân hàng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là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sách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dùng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đang đi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các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dùng khác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74B2CF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1A09DF3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phí,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sai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đích;</w:t>
      </w:r>
    </w:p>
    <w:p w14:paraId="07C5442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Thu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ái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5D5749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nhân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E5F96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tuân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trình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do cơ quan nhà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ban hành.</w:t>
      </w:r>
    </w:p>
    <w:p w14:paraId="099DC1A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41A15D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7C445C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đã thu trái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FB59C0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nhân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52F0C4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11.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chi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68F632C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8066D8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tháng,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kinh phí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tháng,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hưu trí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tháng,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mai táng (g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chung là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sách)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A4DC9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sách không đúng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AE583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F7A9F3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sách cho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E3A5F5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sách không đúng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68511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CFBB9F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sác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 đúng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019439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12.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lý ti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n, hàng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</w:p>
    <w:p w14:paraId="3443E1F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B41555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thoát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hàng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kháng do thiên tai,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474C24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phân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hàng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đúng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đích, không đúng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E4EE4E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Tráo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B159F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pháp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5D490C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thoát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6C3D3E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1A6019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hàng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do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896E2A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13.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hành vi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nghiêm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F83003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FACBB2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phân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0950B0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hôn,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nuôi con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0D5048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hòa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71C7C7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tham gia bình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vào các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AE0135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3152A65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khôn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AC5376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thông tin cá nhân, tình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vì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EAEFF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4.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lôi kéo,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049B2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5C087B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622ACC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khi có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hành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B4B247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CC2985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14.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chăm sóc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e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khám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05BE50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không tư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và phát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6D1A3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sinh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sơ sinh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hình,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492F14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43E964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15.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giáo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017A35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hành vi sau:</w:t>
      </w:r>
    </w:p>
    <w:p w14:paraId="45E31FF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54D55B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phương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dành riêng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2DF10C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Không cho phép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môn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và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mà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năng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294337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hơn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A87D9B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ra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sinh có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8B807D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ưu tiên tuy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sinh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7118C1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g)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37FEB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5A325F7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phí, chi phí đào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và các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đóng góp khác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985DEB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FBD843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16.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4872B1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không tư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làm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08D193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00C9F6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duy trì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sau khi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06 tháng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2F4D1A0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chương trình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giáo trình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ngũ nhà giáo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BEB402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c)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B08DCF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có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114CB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8B9CF2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chương trình, giáo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rình,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ngũ nhà giáo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B4D7CA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6B449A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17.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tham gia giao thông dành cho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D7A082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D975F0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Không ưu tiên bán vé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325D62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mà không giúp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D966A9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chuyên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chuyên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giao thông công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E831DE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18.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và truy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thông dành cho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7202AD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phân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và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thông, bao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và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ông tin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và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thông.</w:t>
      </w:r>
    </w:p>
    <w:p w14:paraId="1817A1B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không đúng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chính sách ưu đãi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cho vay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lãi su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ưu đãi và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khác cho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và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và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thông.</w:t>
      </w:r>
    </w:p>
    <w:p w14:paraId="5DA2D04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A1C15F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849CF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19.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xác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485CA6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BB3A19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54C2B6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phương pháp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62AC63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2023EA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2AB2B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016B76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Gian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trong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285ADC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D676A5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367E31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phương pháp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3801F3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53A081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d)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xác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E558AC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2BB1E5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20.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F879BE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50743AB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chung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con, cháu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riêng;</w:t>
      </w:r>
    </w:p>
    <w:p w14:paraId="15FD63D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tham gia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văn hóa,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trí, du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ch,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ngơi và các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khác;</w:t>
      </w:r>
    </w:p>
    <w:p w14:paraId="34ECBF8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Không mi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các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đóng góp cho các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97D226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ưu tiên 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chăm sóc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và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khó khăn ban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khi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khó khăn do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thiên tai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ro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kháng khác;</w:t>
      </w:r>
    </w:p>
    <w:p w14:paraId="509E446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2B3F69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vi: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ăn;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 không cho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sinh cá nhân;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nơi có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các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08F04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AF5B3D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khi có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F0060B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đã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trái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C8A6B9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chính sách đúng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54EABB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do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61F65B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21.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chăm sóc,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dư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D8E51E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7E91A1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nghĩa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sóc,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49B5C1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cam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đã ký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727E55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chăm sóc,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9653C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2181DCF" w14:textId="77777777" w:rsidR="00287F3C" w:rsidRPr="00B250B6" w:rsidRDefault="00D20C65" w:rsidP="002E2C0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2CF71F4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3C49FF" w14:textId="78A59198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0F8FF0B5" w14:textId="2602AFCC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M, HÌNH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br/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PHÁP KHÁC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br/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7530CB05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012010F" w14:textId="6B534952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22.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chăm sóc, nuôi dư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6DBF63D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266A65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Cha,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chăm sóc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mình trong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cách ly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7094DE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b) Cha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chăm sóc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không quan tâm chăm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mình trong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chăm sóc,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sinh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quan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tình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và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không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cùng gia đình,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cách ly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AFD492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cha,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chăm sóc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có hành vi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ý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rơi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ECB25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23.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3082848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A230F7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ăn;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 không cho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sinh cá nhân;</w:t>
      </w:r>
    </w:p>
    <w:p w14:paraId="4E158C6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nơi có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2BB7C6B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Gây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lăng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đe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a, cách ly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444E89D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) Cô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xua đu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dùng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gây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tinh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140B85A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Thư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xuyên đe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các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âm thanh, con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làm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hãi,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914260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50293E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mà gây ra thương tích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EF1172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21308C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24.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ng, bóc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6F4424D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làm công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gia đình quá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quá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gian,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trí,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24470E1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54F3B60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đi xin ăn;</w:t>
      </w:r>
    </w:p>
    <w:p w14:paraId="249A530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Cho thuê, cho mư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xin ăn;</w:t>
      </w:r>
    </w:p>
    <w:p w14:paraId="4F70076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rê, xúi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lôi kéo, kích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làm trung gian giao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bóc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17D8449F" w14:textId="4FABE782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rê, xúi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lôi kéo, kích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lao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trái quy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CD519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thông tin cá nhân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ra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gây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và tinh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BEFE4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B2E5C3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C93683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trong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vi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mà gây ra thương tích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11EA7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25.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ng, 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rê, xúi gi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c, kích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ng,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ng, lôi kéo,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ép bu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xúc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danh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nhân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khác</w:t>
      </w:r>
    </w:p>
    <w:p w14:paraId="605C7A9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nhưng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56D80F3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khác;</w:t>
      </w:r>
    </w:p>
    <w:p w14:paraId="39CD277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rê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khác;</w:t>
      </w:r>
    </w:p>
    <w:p w14:paraId="0E70FD8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Xúi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ích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khác;</w:t>
      </w:r>
    </w:p>
    <w:p w14:paraId="1FBB7F2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lôi kéo,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khác;</w:t>
      </w:r>
    </w:p>
    <w:p w14:paraId="770919A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khác.</w:t>
      </w:r>
    </w:p>
    <w:p w14:paraId="332B42B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DAB2EF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mà gây ra thương tích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34797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26.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chăm sóc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e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3724A0A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1332DE2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dinh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tinh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theo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181A20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chăm sóc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ban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u, phòng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tư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trong chăm sóc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sinh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tình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53216A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D9ACC6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mang thai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sàng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sinh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66A10BF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hành các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pháp,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cơ quan, cá nhân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an toàn tính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4B5526E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phong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quán có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1CC21E6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ưu tiên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5E15D90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27.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giáo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0734639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FDDADE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sách,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dùng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7666A35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ý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đóng góp cho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A95CBE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3FBB26E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09D0D75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lôi kéo,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BE219D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C073DC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mua sách,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dùng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CD8E25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28.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đư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n thông tin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và tham gia ho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xã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i;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bày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ý ki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n;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gìn, phát huy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c;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vui chơi, gi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trí và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k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phân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0770EE0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1268D0D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tham gia các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thành, nhu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u, năng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vì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ích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5A1FE44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bày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nguy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và tham gia vào các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148639E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ìn, phát huy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C68749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trí, tham gia các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văn hóa,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thao, du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4E842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52F986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Ép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trù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khi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bày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nguy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và tham gia vào các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7DF6FDB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tôn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nghe, xem xét,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thích ý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nguy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07701BD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Không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nói nguy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2E8D02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công khai, công khai không chính xác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và rèn luy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nuôi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và các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đóng góp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886928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phân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vì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cá nhân, hoàn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gia đình,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tính, dân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ch, tín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tôn giáo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0DB12D8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12C42A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khi có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A05B36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chính thông tin sai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gây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7C0026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29.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can thi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có hoàn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có nguy cơ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bóc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c,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rơi và có nguy cơ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khác</w:t>
      </w:r>
    </w:p>
    <w:p w14:paraId="2C292C0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 mà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28A864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thông báo, không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che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có nguy cơ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bóc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có nguy cơ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khác cho cơ quan, cá nhân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74EDA3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Ngăn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có nguy cơ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bóc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có nguy cơ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khác cho cơ quan, cá nhân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7164A3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D292E5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che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cơ quan, cá nhân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mà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E29E3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thông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báo cho nơi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hành vi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23DC4DD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Ngăn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cơ quan, cá nhân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5A405B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thông tin và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tính xác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hành vi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tì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an toàn,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nguy cơ gây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khi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cơ quan, cá nhân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07CA6B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thông tin, thông báo,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giác hành vi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19153EE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hành vi sau:</w:t>
      </w:r>
    </w:p>
    <w:p w14:paraId="5F1C18F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can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nguy cơ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bóc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rơi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có hoàn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3F7644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b)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can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nguy cơ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bóc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rơi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có hoàn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4CF8EE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30.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bán cho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cho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gây nghi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n,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kích thích khác,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không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an to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àn, có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em;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an toàn, thân thi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mà không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truy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39A9FED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9A296E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an toàn, gây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7D8343F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Bán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gây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kích thích khác,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an toàn, có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2FD2B80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gây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kích thích khác,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không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an toàn, có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41EB2DB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646071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78B0B5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C3F10E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A7830F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hàng hoá,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FFBD67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mà gây ra thương tích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5F5F6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đã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tán, tiêu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4DCF4B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31.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các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văn hóa, thông tin, truy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thông có 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i dung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lành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3BA631E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1D5680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Internet và các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khác có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lành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23057B3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ghi chú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không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trên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chơi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chơi có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không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 không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báo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không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trong các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trên không gian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5595C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Không thông báo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không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xem,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nghe các chương trình phát thanh,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hình,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và các cu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trình di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có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không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025F92C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ghi thông tin trên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dành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278E27C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t trong các hành vi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sao chép, lưu hành,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hành, phát tán,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tàng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kinh doanh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chơi, trò chơi,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trên không gian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và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khác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có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phát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lành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theo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13987DB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10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C1CD65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50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956914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100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91139C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200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4E3267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500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948926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e)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1.000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0246E9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g)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1.000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70B2E75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không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không đúng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báo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dung không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trên các chương trình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kênh phát thanh, kênh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hình, báo chí và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A623B6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458D411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7081B4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D0B448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tin, bài trên báo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chí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báo nói, báo hình,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451427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tiêu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chơi, báo in và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C70A60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khi có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89E349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đã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85504E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32.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công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ti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riêng tư, bí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cá nhân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50A9457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công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thông tin sau đây mà không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cha,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chăm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óc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giám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07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lên,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tên,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 nhân;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và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tư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ghi trong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nh án;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 nhân;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thành viên trong gia đình,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chăm sóc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 tài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cá nhân;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thư tín cá nhân;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quê quán;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và các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bè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cho cá nhân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08DBC22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1B306C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khi có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C19347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xóa,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thông tin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riêng tư, bí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cá nhân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FE065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33.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vi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chăm sóc thay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xâm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em;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chính sách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Nhà nư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và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giúp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c, cá nhân dành cho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5469E2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12E614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gây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tình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tâm lý,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bóc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rơi,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và các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gây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khác;</w:t>
      </w:r>
    </w:p>
    <w:p w14:paraId="2B5717E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chính sách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giúp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cá nhân dành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73D698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A05A9F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mà gây ra thương tích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6557D3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8B1415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chăm sóc thay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325178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34.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t, kho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hàng hóa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có nguy cơ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phát sinh cháy, 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c, y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, văn hóa, 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vui chơi, gi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trí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ngư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103627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9E453D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công trình,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kho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hàng hóa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có nguy cơ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phát sinh cháy,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văn hóa,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4770D07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công trình,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văn hóa,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kho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hàng hóa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có nguy cơ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phát sinh cháy,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FB6D7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1A3DD4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kho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hàng hóa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có nguy cơ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phát sinh cháy,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văn hóa,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466BCAB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văn hóa,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kho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hàng hóa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có nguy cơ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phát sinh cháy,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4CF95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40577A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0CC631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01406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trình,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710258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kho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hàng hóa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có nguy cơ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phát sinh cháy,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văn hóa,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do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không đúng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17C86C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35.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và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cơ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dành cho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314B7F3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5.000.000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ngoài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đăng ký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85C7C0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chưa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đăng ký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không đăng ký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F0E2B7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DA5A2A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dành cho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và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065D021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ng dành cho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vui chơi,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trí và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sai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trái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926BD5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E39C1C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trình,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8CB40E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ôi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8861A2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36.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không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an toàn d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tai 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n, thương tích cho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</w:t>
      </w:r>
    </w:p>
    <w:p w14:paraId="6BA5955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hành vi sau:</w:t>
      </w:r>
    </w:p>
    <w:p w14:paraId="4A5F28A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Không thông báo,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báo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nơi nguy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cháy,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rơi, ngã và các nguy cơ khác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tai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thương tích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A6BCC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b) Không tuân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các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an toàn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kinh doanh, lưu hành các phương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giao thông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tai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thương tích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A4BD4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CFF878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an toàn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1FFC57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mà gây ra thương tích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4794F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37.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em trên môi trư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12A91B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khi kinh doanh,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trên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923CB2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gây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thông tin,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khiêu dâm,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xúi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xuyên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đe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D3481B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Không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báo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g</w:t>
      </w:r>
      <w:r w:rsidRPr="00B250B6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gây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thông tin,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khiêu dâm,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xúi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xuyên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đe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xúc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danh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6013E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Không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pháp, công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an toàn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bí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riêng tư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 không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thông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báo nguy cơ khi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thay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thông tin bí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iêng tư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6AE966E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xóa,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bí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riêng tư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khi cha,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chăm sóc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giám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yêu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71CA24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Không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thông tin, đánh giá phân lo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theo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an toàn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cá nhân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08A3DD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Không công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danh sách các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thông tin,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an toàn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1273E00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g) Không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hát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lo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hình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tài li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u, thông tin không phù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lành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0265AAA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h) Không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</w:t>
      </w:r>
    </w:p>
    <w:p w14:paraId="1151BC0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i) Không có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thông tin,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07A6A107" w14:textId="6A25662A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trò chơi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trên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khi không có công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soát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trò chơi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trò chơi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trên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hành vi không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pháp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chơi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trò chơi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="00EA744D">
        <w:rPr>
          <w:rFonts w:ascii="Arial" w:hAnsi="Arial" w:cs="Arial"/>
          <w:color w:val="000000" w:themeColor="text1"/>
          <w:sz w:val="20"/>
          <w:szCs w:val="20"/>
        </w:rPr>
        <w:t xml:space="preserve"> G1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thì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hành chính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bưu chính,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thông,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và giao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7C3D2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F437A3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AB4FA9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mà gây ra thương tích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e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nhưng chưa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FDF51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gây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em;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xuyên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xâm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trên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xóa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trên máy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kho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 đóng tên mi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khác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ngăn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dùng)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8B0D1AB" w14:textId="77777777" w:rsidR="00287F3C" w:rsidRPr="00B250B6" w:rsidRDefault="00D20C65" w:rsidP="002E2C0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d) Bu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xóa,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thông tin bí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riêng tư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166D95A1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686431" w14:textId="10DD575F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1D2DB412" w14:textId="460608A5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br/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VÀ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204532FF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61D6E6" w14:textId="05120B39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38. Phân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D7E36E2" w14:textId="623E5755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5E0C435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Bà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1780F04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88F5F3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Khám,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Dân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Phòng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toàn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dân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toàn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toàn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sinh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Chươ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II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F447F0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và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xuyên,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15, 16;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20;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27, 2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8, 34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1C9CBF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Văn hóa -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Báo chí,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Phát thanh,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hình và thông tin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In và Phát hành,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Văn hóa -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20;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26;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30, 31, 34;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5A1B05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13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18, 31, 32, 37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56F6167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8.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Tư pháp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Tư pháp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3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9C9145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9.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17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34, 35, 36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21D6AF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10.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Tôn giáo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ban Ban Tôn giáo Chính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Tôn giáo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6D9EB75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11.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làm,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CEC646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12. Các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danh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18,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30,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31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41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ao.</w:t>
      </w:r>
    </w:p>
    <w:p w14:paraId="13D602D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13. Các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danh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Công an nhân dân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7, 8, 9, 10, 11, 12, 13, 17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18;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19;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20, 21, 22, 23, 24, 25;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26;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27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28, 29, 30, 31, 32, 33, 34, 35, 36, 37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42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nh này và trong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436D59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14. Các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danh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Biên phòng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7, 8, 12, 13, 17;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20;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23, 29, 30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31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43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 trong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6AC7DD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15. Các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danh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17;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23;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24;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25;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29, 30, 31, 36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44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2634F6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16. Các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anh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hàng không,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17;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24;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25 và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36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6E92CA1" w14:textId="2A819768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39.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2E2C02" w:rsidRPr="00B250B6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</w:t>
      </w:r>
    </w:p>
    <w:p w14:paraId="1A620803" w14:textId="5D707E02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nhân dân xã, phư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khu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DDA27A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530970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41E9B1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530C05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3A505EB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384D7AE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F70B827" w14:textId="50BDB323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255678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171FBE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D91CE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036201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477A9E6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461A984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5518A2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40.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cơ quan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theo chuyên ngành, lĩnh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và m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danh khác</w:t>
      </w:r>
    </w:p>
    <w:p w14:paraId="242CEAC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dân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em,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toàn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A36D4F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495D6C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35EA86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17046A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3B531B1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7E43BB9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78169F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Văn hóa -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Tư pháp,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Tôn giáo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ACA691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22F759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BE3B6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ính;</w:t>
      </w:r>
    </w:p>
    <w:p w14:paraId="39FAB93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629F323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10554DC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95AC2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Khám,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Dân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Phòng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Dư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toàn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và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xuyên,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Báo chí,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Phát thanh,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hình và thông tin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In và Phát hành,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làm,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ban Ban Tôn giáo Chính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FFB0ED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D76304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A27785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ch thu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73FE22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78D35EA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5FE4571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EDB60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Bà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B6D8FAD" w14:textId="50959E6D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Văn hóa -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Tư pháp,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B4605">
        <w:rPr>
          <w:rFonts w:ascii="Arial" w:hAnsi="Arial" w:cs="Arial"/>
          <w:color w:val="000000" w:themeColor="text1"/>
          <w:sz w:val="20"/>
          <w:szCs w:val="20"/>
        </w:rPr>
        <w:t>Tôn giáo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EB4605">
        <w:rPr>
          <w:rFonts w:ascii="Arial" w:hAnsi="Arial" w:cs="Arial"/>
          <w:color w:val="000000" w:themeColor="text1"/>
          <w:sz w:val="20"/>
          <w:szCs w:val="20"/>
        </w:rPr>
        <w:t>Dân tộc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52DA4D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41.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lý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31A4A9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soát viên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đang thi hành công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2AB4A7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05443A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BB4D6C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quá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3A1750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thương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4135F7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64139F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5A3A6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37F9B0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d, e, q, r, x và y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6AF6B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thương,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F88AE7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999E41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D0626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85CFD8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0276657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d, e, q, r, x và y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31FDFD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8DA67B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DC99B9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62CDF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B845BF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FC8E76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d, e, q, r, x và y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96217C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42.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Công an nhân dân</w:t>
      </w:r>
    </w:p>
    <w:p w14:paraId="43374AC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sĩ Công an nhân dân đang thi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hành công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B3D206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310839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B94AA2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quá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1501E1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99E36B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5A6ABD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61BB71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04ADE2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đ, e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339ED0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Công an,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cơ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đoàn,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047752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066D8F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49EA6F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577474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1BF5BBC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3D3133A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đ, e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hành chính.</w:t>
      </w:r>
    </w:p>
    <w:p w14:paraId="23978BA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xã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7D4399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3B12B3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D4D2D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5AA9DD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2D75F91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21E1421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b, c, d, đ, e, g, h, i, k, n, q, r, s, t, u, v, x và y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9B2482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hàng không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An ninh báo chí,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An ninh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An ninh văn hóa,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thao và lao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ma túy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Phòng 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mua bán,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trái phép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ma túy,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Phòng 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trái phép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ma túy,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các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pháp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ma túy;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giao thông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tuyên truy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tra, gi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tai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giao thông,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soát giao thông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soát và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tranh phòng,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trên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đoàn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phòng cháy,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cháy,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-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phương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phòng cháy,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công dân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Trung tâm An ninh hàng không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Công an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An ninh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buôn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u,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ma túy,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giao thông,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phòng An ninh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cao, Chánh Văn p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hòng Cơ quan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Công an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787A09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927B9B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0B54B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1BD46F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trong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3558802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1F39D6E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b, c, d, đ, e, g, h, i, k, n, q, r, s, t, u, v, x và y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8F70BC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88AB3C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C2053E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F409B7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C99F5E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7C9E6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3CD5A15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a, b, c, d, đ, e, g, h, i, k, n, q, r, s, t, u, v, x và y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A9AA0C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7.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Chánh văn phòng Cơ quan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Công an,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túy,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giao thông,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phòng,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cao:</w:t>
      </w:r>
    </w:p>
    <w:p w14:paraId="4916D1E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B7F5C1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FBC72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913E7E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3BB36BD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6D3E0846" w14:textId="6EB3FCC6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e)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a, b, c, d, đ, e, g, h, i, k, n, q, r, s, t, u,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t>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y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FD0637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43.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 biên phòng</w:t>
      </w:r>
    </w:p>
    <w:p w14:paraId="78846D6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sĩ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biên phòng đang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hành công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B66B40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E16659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C44FA6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D47D8A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này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8503DB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95C594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6DA547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0E7E266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0AE55C9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phòng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Đoàn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C1DD85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000252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7.500.000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09EAD9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277A62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032DBD2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biên phòng,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biên phòng,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huy Biên phòng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CBF11C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91911F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1D36DC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26CD8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b, c, d, đ, e, h, i và q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6A6D99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5. Đoàn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9F6DFE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EF9986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57C92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hành chính có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ACCF06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732F765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b, c, d, đ, e, h, i và q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EDB8FB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huy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Biên phòng;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đoàn Biên phòng,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8245A0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59ED1E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8E855F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100.000.000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43637D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hành vi vi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5F09613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b, c, d, đ, e, h, i và q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5E4401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44.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07BB7E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viên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đang thi hành công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54A007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2FFB063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61EAEC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2459A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có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78FD5C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407F32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008E9A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0F9740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CE4224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702F3E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7549C8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20.000.000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066B58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1550E98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5C1CDD94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A6D4D4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E3BA1A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0B6126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không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vư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quá 30.000.000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3EC1DB5" w14:textId="7073C5A2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d, e, q, r và </w:t>
      </w:r>
      <w:r w:rsidR="009D5603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43C760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đoàn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n; Đoàn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oàn trinh sát, Đoàn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ma túy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E87E89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EF3D09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95E68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3B8BEC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lastRenderedPageBreak/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017C9372" w14:textId="3C0D7EC5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d, e, q, r và </w:t>
      </w:r>
      <w:r w:rsidR="009D5603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23312F25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6. Tư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Vùng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0EA50C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82A637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D37652C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131385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d, e, q, r và v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84C3541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7. Tư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EA3E6EA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0DE72D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0E8F8D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14:paraId="349F8D00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kinh doanh liên quan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67F11B3B" w14:textId="5E9E21F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đ,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d, e, q, r và </w:t>
      </w:r>
      <w:r w:rsidR="009D5603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7AE854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45.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hàng 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i,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hàng không, C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y</w:t>
      </w:r>
    </w:p>
    <w:p w14:paraId="6D3C666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hàng không,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y có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132A88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F776A8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12.500.000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33F8F92" w14:textId="6857A9C5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e và </w:t>
      </w:r>
      <w:r w:rsidR="00EB4605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73A08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hàng không, Giám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y có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6E2B96D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2F08EFE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AAA4FB" w14:textId="0161425E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c) Áp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và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m e và </w:t>
      </w:r>
      <w:r w:rsidR="00EB4605">
        <w:rPr>
          <w:rFonts w:ascii="Arial" w:hAnsi="Arial" w:cs="Arial"/>
          <w:color w:val="000000" w:themeColor="text1"/>
          <w:sz w:val="20"/>
          <w:szCs w:val="20"/>
        </w:rPr>
        <w:t>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87EAA7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46. Th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2B41EEB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39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45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phân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38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B6FF1D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thanh tra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thanh tra và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khác có liên quan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09CCB20" w14:textId="77777777" w:rsidR="00287F3C" w:rsidRPr="00B250B6" w:rsidRDefault="00D20C65" w:rsidP="002E2C0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3. Công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chuyên ngành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theo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 chuyên ngành và pháp lu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khác có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iên quan có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1BC58CB9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51A557" w14:textId="77777777" w:rsidR="002E2C02" w:rsidRPr="00B250B6" w:rsidRDefault="00D20C65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0A294932" w14:textId="59648AF4" w:rsidR="00287F3C" w:rsidRPr="00B250B6" w:rsidRDefault="00D20C65" w:rsidP="002E2C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072CB691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CE9A9F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47. 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5B2AB91B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ngày 16 tháng 5 năm 2026.</w:t>
      </w:r>
    </w:p>
    <w:p w14:paraId="110C2032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130/2021/NĐ-CP ngày 30 tháng 12 năm 2021 c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i và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em 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193BDA69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u 48. Trách nhi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2836A31F" w14:textId="77777777" w:rsidR="00287F3C" w:rsidRPr="00B250B6" w:rsidRDefault="00D20C65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1C9FD9" w14:textId="217F83B0" w:rsidR="00287F3C" w:rsidRPr="00B250B6" w:rsidRDefault="00D20C65" w:rsidP="002E2C0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0B6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E2C02" w:rsidRPr="00B250B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 trung ương, các t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c, cá nhân có liên qu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an ch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250B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0F1C43F" w14:textId="77777777" w:rsidR="002E2C02" w:rsidRPr="00B250B6" w:rsidRDefault="002E2C02" w:rsidP="002E2C0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961"/>
        <w:gridCol w:w="4065"/>
      </w:tblGrid>
      <w:tr w:rsidR="00B250B6" w:rsidRPr="00B250B6" w14:paraId="260502EA" w14:textId="77777777" w:rsidTr="00B250B6">
        <w:tc>
          <w:tcPr>
            <w:tcW w:w="2748" w:type="pct"/>
          </w:tcPr>
          <w:p w14:paraId="3985DFC3" w14:textId="0FA718F9" w:rsidR="00287F3C" w:rsidRPr="00B250B6" w:rsidRDefault="00D20C65" w:rsidP="002E2C0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50B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B250B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B250B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HĐND, UBND các tỉnh, thành phố trực thuộc trung ương; 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</w:t>
            </w:r>
            <w:r w:rsidR="00EB460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g, TGĐ Cổng TTĐT, các Vụ, Cục, đơn vị trực thuộc, Công báo; 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KGVX (2).</w:t>
            </w:r>
          </w:p>
        </w:tc>
        <w:tc>
          <w:tcPr>
            <w:tcW w:w="2252" w:type="pct"/>
          </w:tcPr>
          <w:p w14:paraId="45B403DD" w14:textId="245FBF6E" w:rsidR="00287F3C" w:rsidRPr="00B250B6" w:rsidRDefault="00D20C65" w:rsidP="00B627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E2C02"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250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Lê Thành Long</w:t>
            </w:r>
          </w:p>
        </w:tc>
      </w:tr>
    </w:tbl>
    <w:p w14:paraId="5C9831EE" w14:textId="08B95A01" w:rsidR="002E2C02" w:rsidRPr="00B250B6" w:rsidRDefault="002E2C02" w:rsidP="002E2C0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1B3F415" w14:textId="77777777" w:rsidR="002E2C02" w:rsidRPr="00B250B6" w:rsidRDefault="002E2C02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907747" w14:textId="77777777" w:rsidR="002E2C02" w:rsidRPr="00B250B6" w:rsidRDefault="002E2C02" w:rsidP="002E2C0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E2C02" w:rsidRPr="00B250B6" w:rsidSect="002E2C0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11D0" w14:textId="77777777" w:rsidR="00D20C65" w:rsidRDefault="00D20C65">
      <w:pPr>
        <w:spacing w:after="0" w:line="240" w:lineRule="auto"/>
      </w:pPr>
      <w:r>
        <w:separator/>
      </w:r>
    </w:p>
  </w:endnote>
  <w:endnote w:type="continuationSeparator" w:id="0">
    <w:p w14:paraId="173C3002" w14:textId="77777777" w:rsidR="00D20C65" w:rsidRDefault="00D2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CF95D" w14:textId="77777777" w:rsidR="00D20C65" w:rsidRDefault="00D20C65">
      <w:pPr>
        <w:spacing w:after="0" w:line="240" w:lineRule="auto"/>
      </w:pPr>
      <w:r>
        <w:separator/>
      </w:r>
    </w:p>
  </w:footnote>
  <w:footnote w:type="continuationSeparator" w:id="0">
    <w:p w14:paraId="3D85BC7A" w14:textId="77777777" w:rsidR="00D20C65" w:rsidRDefault="00D20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3C"/>
    <w:rsid w:val="00052B7A"/>
    <w:rsid w:val="00061EF0"/>
    <w:rsid w:val="00287F3C"/>
    <w:rsid w:val="002E2C02"/>
    <w:rsid w:val="005B01B7"/>
    <w:rsid w:val="00844EAC"/>
    <w:rsid w:val="009D5603"/>
    <w:rsid w:val="00AB482C"/>
    <w:rsid w:val="00B250B6"/>
    <w:rsid w:val="00B6272A"/>
    <w:rsid w:val="00B83F05"/>
    <w:rsid w:val="00D20C65"/>
    <w:rsid w:val="00D448D1"/>
    <w:rsid w:val="00D76788"/>
    <w:rsid w:val="00D80597"/>
    <w:rsid w:val="00DE7489"/>
    <w:rsid w:val="00E40521"/>
    <w:rsid w:val="00E605A8"/>
    <w:rsid w:val="00EA1642"/>
    <w:rsid w:val="00EA744D"/>
    <w:rsid w:val="00E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CB31"/>
  <w15:docId w15:val="{2334973E-98A9-4A7A-9F78-243F5E96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C02"/>
  </w:style>
  <w:style w:type="paragraph" w:styleId="Footer">
    <w:name w:val="footer"/>
    <w:basedOn w:val="Normal"/>
    <w:link w:val="FooterChar"/>
    <w:uiPriority w:val="99"/>
    <w:unhideWhenUsed/>
    <w:rsid w:val="002E2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11664</Words>
  <Characters>66485</Characters>
  <Application>Microsoft Office Word</Application>
  <DocSecurity>0</DocSecurity>
  <Lines>554</Lines>
  <Paragraphs>155</Paragraphs>
  <ScaleCrop>false</ScaleCrop>
  <Company/>
  <LinksUpToDate>false</LinksUpToDate>
  <CharactersWithSpaces>77994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35</cp:revision>
  <dcterms:created xsi:type="dcterms:W3CDTF">2026-04-02T16:19:00Z</dcterms:created>
  <dcterms:modified xsi:type="dcterms:W3CDTF">2026-04-03T06:58:00Z</dcterms:modified>
</cp:coreProperties>
</file>