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253"/>
        <w:gridCol w:w="5773"/>
      </w:tblGrid>
      <w:tr w:rsidR="00886DE2" w:rsidRPr="00886DE2" w14:paraId="7AAEF09F" w14:textId="77777777" w:rsidTr="00886DE2">
        <w:tc>
          <w:tcPr>
            <w:tcW w:w="1802" w:type="pct"/>
          </w:tcPr>
          <w:p w14:paraId="624B2127" w14:textId="326E1FAB" w:rsidR="00E91FF1" w:rsidRPr="00886DE2" w:rsidRDefault="00684C12" w:rsidP="00886D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>77/2026/NĐ-CP</w:t>
            </w:r>
          </w:p>
        </w:tc>
        <w:tc>
          <w:tcPr>
            <w:tcW w:w="3198" w:type="pct"/>
          </w:tcPr>
          <w:p w14:paraId="7743AF74" w14:textId="45C1BA6A" w:rsidR="00E91FF1" w:rsidRPr="00886DE2" w:rsidRDefault="00684C12" w:rsidP="00886D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886DE2"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886DE2"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886DE2"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886DE2"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17</w:t>
            </w:r>
            <w:r w:rsidR="00886DE2"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886DE2"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886DE2"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886DE2"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2A4C347E" w14:textId="77777777" w:rsidR="00886DE2" w:rsidRPr="00886DE2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FD139C4" w14:textId="77777777" w:rsidR="00886DE2" w:rsidRPr="00886DE2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51EACA" w14:textId="4886A0BC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5A917EE" w14:textId="77777777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và 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0960B4B6" w14:textId="77777777" w:rsidR="00886DE2" w:rsidRPr="00886DE2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07E96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c 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1926D5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t Khoa 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o s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93/2025/QH15;</w:t>
      </w:r>
    </w:p>
    <w:p w14:paraId="3979506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t Chuy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n giao công ngh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07/2017/QH14, đư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115/2025/QH15;</w:t>
      </w:r>
    </w:p>
    <w:p w14:paraId="7E0DBF2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Xét 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706A34AB" w14:textId="77777777" w:rsidR="00E91FF1" w:rsidRPr="00886DE2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 và ho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 gia.</w:t>
      </w:r>
    </w:p>
    <w:p w14:paraId="76E8F0F2" w14:textId="77777777" w:rsidR="00886DE2" w:rsidRPr="00886DE2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57382AD" w14:textId="77777777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B68F8BF" w14:textId="77777777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31A7DA22" w14:textId="77777777" w:rsidR="00886DE2" w:rsidRPr="00886DE2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51B7F5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AF02EA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gia (sau đây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là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2B3A899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FBE612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cơ quan,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A18DC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3. Nguyên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61C7D95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Công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công khai trên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ng thông tin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các quy trình,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gian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sơ, tiêu chí đánh giá và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E9A93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xét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các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dân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minh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tính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khách quan và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10E395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xem xét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hình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u đáp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9BA909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y;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kê khai và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tính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pháp, chính xác, trung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thông tin,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trong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494CAB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đã và đang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khác cho cùng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trùng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sau khi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bao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kinh phí và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80F055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trí tu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các công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trong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4D9CA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7.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 trong quá trình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380CA3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8.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 cho các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tham gia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tiêu chí,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này; không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 và không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vào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tương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đã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đang đư</w:t>
      </w:r>
      <w:bookmarkStart w:id="0" w:name="_GoBack"/>
      <w:bookmarkEnd w:id="0"/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 cho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khác.</w:t>
      </w:r>
    </w:p>
    <w:p w14:paraId="4EDB7474" w14:textId="77777777" w:rsidR="00E91FF1" w:rsidRPr="00886DE2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9.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xem xét,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vi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giao,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xét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82F7DEF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0F6E5D" w14:textId="28D4D657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67D7A2F4" w14:textId="0BA4000D" w:rsidR="00E91FF1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PHÁP LÝ,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NĂNG, NHI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886DE2" w:rsidRPr="00C4654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N, CƠ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6D196934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935A8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4.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pháp lý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6E040E5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(tên giao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 National Te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chnology Innovation Fund,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t: NATIF) là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2CA6BC4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nhân, có con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u,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riêng,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Kho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ngân hàng thương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Nam.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chính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Hà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392C5B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5.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năng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00B6EA7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m: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phát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nâng cao năng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ng;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o;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vay;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thông qua phi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(voucher).</w:t>
      </w:r>
    </w:p>
    <w:p w14:paraId="044DEF4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các chương trình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gia do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ban hành và các chương trình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khác trong lĩnh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do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CE0A5D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chương trình khoa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1483AC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kinh phí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o.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1B02D76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6. Nhi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570F5E3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tài chính:</w:t>
      </w:r>
    </w:p>
    <w:p w14:paraId="039E5A3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các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trong và ngoài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CF7E1F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 đóng góp (n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có) và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quy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A3E55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6A13D8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Công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ưu tiên, yêu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và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2C31E1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xét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sơ, công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6555D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các chương trình,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do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ban hành.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không hoàn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 Giám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phê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các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49A962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d)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tra, giám sát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chuyên môn và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phí.</w:t>
      </w:r>
    </w:p>
    <w:p w14:paraId="29805FC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hành chính,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CE6C21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cáo,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q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BB1993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tài chính, tài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giao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phân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74ED1A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trong và ngoài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5CDE06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d)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máy, viên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chính sách,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viên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26254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khác do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giao.</w:t>
      </w:r>
    </w:p>
    <w:p w14:paraId="10721E6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7. Quy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0504C23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các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tiêu,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giao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ưu tiên,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ngân sách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29C64D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tác, thuê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c, chuyên gia, nhà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các cá nhân khác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D48AC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đình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8DCE0D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 không đáp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yêu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u,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tiêu chí,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và thông báo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CAB5FB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chuyên môn,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ngoài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82E83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6.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quy trình và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do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xem xét,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có liên quan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công tác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tra theo yêu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1424F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7. Ban hành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và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DA98B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8.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A21192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8. Cơ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12CF502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Giám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các Phó Giám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máy giúp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c. Giám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 Giám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các Phó Giám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m. Cơ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641BCBC" w14:textId="77777777" w:rsidR="00E91FF1" w:rsidRPr="00C46540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o và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các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(sau đây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là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ng)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chuyên môn, xây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dài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trung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theo Quy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do Giám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ban hành.</w:t>
      </w:r>
    </w:p>
    <w:p w14:paraId="554FF2DE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F23B5C" w14:textId="77777777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1DC01B3" w14:textId="77777777" w:rsidR="00E91FF1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662D4DC4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3A229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9. Tài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hàng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chương trình, nhi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714DF0B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nâng cao năng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ng;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61891F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tiêu chí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tham gia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a, b, c,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8 và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 ngày 14 tháng 10 năm 2025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o; khuy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khích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trong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p; công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trung tâm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o; công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cá nhân,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o;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và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(sau đây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là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268/2025/NĐ-CP);</w:t>
      </w:r>
    </w:p>
    <w:p w14:paraId="07A4A9B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Thông báo, kêu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 đăng ký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10 và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53109EE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Xét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kinh phí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12 và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3FAD360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d)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1,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72FE54C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đ)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tra, đánh giá và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16 và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2208276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e) Thanh lý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2DDC2F5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g) Đánh giá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731050A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báo cáo, thông tin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theo yêu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cơ quan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3F2034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đôn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các thông tin,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công tác đánh giá, xây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chính sách, cơ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các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pháp khuy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khích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674D66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</w:t>
      </w:r>
    </w:p>
    <w:p w14:paraId="4B52AAF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tiêu chí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và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3D76061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u 20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và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73D3C4C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Quy trình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1E317AF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d)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B45FEE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thông qua phi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(voucher)</w:t>
      </w:r>
    </w:p>
    <w:p w14:paraId="7751138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và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kinh phí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n;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tiêu và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p; hình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phát hành,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voucher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7C67D91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Tiêu chí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thông qua phi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(voucher)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36FF611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Xây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chương trìn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voucher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268/2025/NĐ-CP.</w:t>
      </w:r>
    </w:p>
    <w:p w14:paraId="7E3C188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chương trình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 công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6284D75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5. Các chương trình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do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ban hành, các chương trìn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khác do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D4613B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10.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kinh phí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, chuy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giao công ngh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i sáng 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o;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phát tri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o,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sinh thái kh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o, thúc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y văn hóa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o và kh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246F885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kinh phí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65CEF754" w14:textId="77777777" w:rsidR="00E91FF1" w:rsidRPr="00C46540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59 và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60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268/2025/NĐ-CP.</w:t>
      </w:r>
    </w:p>
    <w:p w14:paraId="00CC07AB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346B77" w14:textId="77777777" w:rsidR="00886DE2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4FF33D69" w14:textId="500B78C0" w:rsidR="00E91FF1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LÝ TÀI CHÍNH VÀ GIÁM SÁT</w:t>
      </w:r>
    </w:p>
    <w:p w14:paraId="02F7B514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87D49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11. Ngu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tài chính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12F275F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7AA4AD3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giao,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ch tài chính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phát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kinh phí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chi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theo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A9710E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này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đa không quá 03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n. Kinh phí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căn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kinh phí do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nhưng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50%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kinh phí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năm và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giao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ngày 31 tháng 12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năm ngân sách. Các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theo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căn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vào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ngân kinh phí đã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ngày 01 tháng 9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3070E8B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05%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07%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trong năm và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tính theo phương pháp lũy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769C195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3.000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ng/năm: áp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tính 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07%;</w:t>
      </w:r>
    </w:p>
    <w:p w14:paraId="5D859B5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trên 3.000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5.000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ng/năm: áp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tính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06%;</w:t>
      </w:r>
    </w:p>
    <w:p w14:paraId="69A5260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trên 5.000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ng/năm: áp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tính 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05%.</w:t>
      </w:r>
    </w:p>
    <w:p w14:paraId="7FAFE68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theo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t, tương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trong năm,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kinh phí đã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A2CA88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và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sung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 cho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trong năm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đã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cho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trong năm, theo các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này.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theo q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này không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(ti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lương theo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biên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có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chi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máy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) do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trong năm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thì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kinh phí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các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chi này.</w:t>
      </w:r>
    </w:p>
    <w:p w14:paraId="3E4A463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Kinh phí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ngoài kinh phí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a, b, d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này do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4275946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) Kinh phí chi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CA67F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thu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7034BF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548534E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Các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ong và ngoài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c; thu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54AEEA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Lãi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i, các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6B2AF7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tài chính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001916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toán,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đích,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và tuân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336F3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12. N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dung chi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2B3F3CB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 ngày 14 tháng 10 năm 2025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t Khoa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(sau đây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là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265/2025/NĐ-CP).</w:t>
      </w:r>
    </w:p>
    <w:p w14:paraId="340841B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chương trình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3BCE0D8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6AE8E9A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thông qua phi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(voucher),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k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045872B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văn hóa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50351E5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6.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hành,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khác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10, 11, 12, 13, 14, 15, 16, 17, 18 và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19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20DA876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7. Chi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7A88C43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13. L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toán ngân sách nhà 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nư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cho 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6BDD723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kinh phí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kinh phí trung bình theo năm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29736CD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Năm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chưa có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quá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kinh phí trung bình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theo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năm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hai,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01 năm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kinh phí trung bình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theo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01 năm đó và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theo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năm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ba,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02 năm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kinh phí trung bình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theo bình quân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02 năm đó và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theo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234B3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năm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tư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đi, kinh phí trung bình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a3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010A933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 cho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sinh thái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thúc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văn hóa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DBF85D2" w14:textId="492C050D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="00C46540" w:rsidRPr="00C46540">
        <w:rPr>
          <w:rFonts w:ascii="Arial" w:hAnsi="Arial" w:cs="Arial"/>
          <w:color w:val="000000" w:themeColor="text1"/>
          <w:sz w:val="20"/>
          <w:szCs w:val="20"/>
        </w:rPr>
        <w:t>p trong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năm và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77D8A0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khác, chi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7625117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14.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kinh phí ngân sách nhà nư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o;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thông qua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071CA99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b, d, đ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265/2025/NĐ-CP.</w:t>
      </w:r>
    </w:p>
    <w:p w14:paraId="71A1BD9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phí:</w:t>
      </w:r>
    </w:p>
    <w:p w14:paraId="64F2761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44A9012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 và các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229D58B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vào thông báo thu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vào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chuyên dùng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01 ngày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ngày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 Sau khi thu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thông báo cho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kèm theo minh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đã thu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vay.</w:t>
      </w:r>
    </w:p>
    <w:p w14:paraId="0960EC0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vay trong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gian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phát sinh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quá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n. Trong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gian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chi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toàn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lãi vay cho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theo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đã ký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và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không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hoàn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lãi vay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đã chi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ng. Sau khi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hoàn thành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quá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có xác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tín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đã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theo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nh.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ra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ro,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không hoàn thành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quá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và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64C6F7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thông qua phi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(voucher),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1D5CD95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c5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265/2025/NĐ-CP;</w:t>
      </w:r>
    </w:p>
    <w:p w14:paraId="0E09849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ban hành quy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kinh phí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phí. Kho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phí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i, đúng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cam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, không làm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cá nhân có liên quan.</w:t>
      </w:r>
    </w:p>
    <w:p w14:paraId="1E2F727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hí:</w:t>
      </w:r>
    </w:p>
    <w:p w14:paraId="1D47E7A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268/2025/NĐ-CP;</w:t>
      </w:r>
    </w:p>
    <w:p w14:paraId="6A8E94A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phí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</w:t>
      </w:r>
    </w:p>
    <w:p w14:paraId="7AE9EA9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phí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 vào cu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năm tài chính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đã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trong năm tài chính.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năm cu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vào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thúc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theo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AD887F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bao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m: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nghĩa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p;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chuyên dùn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ng; các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 đã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kinh phí,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 liên quan khác (n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FE570C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chương trình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voucher</w:t>
      </w:r>
    </w:p>
    <w:p w14:paraId="0024CFA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phí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voucher,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ông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ng. Biên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voucher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thanh toán kinh phí cho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F3FCE9B" w14:textId="6915E4A2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="00886DE2"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265/2025/NĐ-CP.</w:t>
      </w:r>
    </w:p>
    <w:p w14:paraId="6DE5D0F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15. Ti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n,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kinh phí ngoài ngân sách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248EBF5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toán</w:t>
      </w:r>
    </w:p>
    <w:p w14:paraId="134E5EC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ngân hàng thương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i hình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này đúng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đích,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409664F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Toàn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toán, theo dõi riêng và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ánh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trong báo cáo tài chính, báo cáo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hàng năm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AC107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giá, ghi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iêu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FFF8E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71FB6ED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tài chính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năm và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thu ngoài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theo đúng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giao, quy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tiêu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5D7C9D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đúng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tiêu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66ABF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c)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chi tiêu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không áp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 tiêu như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7DF4C4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d)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 ngoài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lãi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 các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tăng cư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năng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sung thu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tăng thêm, chi phúc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chuyên gia, truy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thông, đào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các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khác cho cán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viên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chi trong quy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không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trong cơ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áp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C7D8F0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công khai, minh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và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trình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7E45CC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e)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thu ngoài ngân sách chưa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trong năm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phép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sang năm sau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và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toán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trong báo cáo tài chính hàng năm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C80D5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Báo cáo, giám sát và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toán</w:t>
      </w:r>
    </w:p>
    <w:p w14:paraId="0BB4B4A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m công khai thông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tin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toán,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các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công khai tài chính;</w:t>
      </w:r>
    </w:p>
    <w:p w14:paraId="2E83097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ngoài ngân sách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thanh tra,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khi có yêu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40EE6C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16.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chính, k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toán 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7AB95F1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và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báo cáo tài chính, báo cáo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và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482426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cơ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chi thư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xuyên khi xây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phương án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giá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A theo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60/2021/NĐ-CP ngày 21 tháng 6 năm 2021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43B7C0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thuê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toán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do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kinh phí thuê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trí trong kinh phí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1130D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Kinh phí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kinh phí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và kinh phí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sang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ăm sau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38B995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17. Giám sát, đánh giá và trách nhi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gi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trình</w:t>
      </w:r>
    </w:p>
    <w:p w14:paraId="3D85CA5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Giám sát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</w:p>
    <w:p w14:paraId="50AF2BA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giám sát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dõi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quy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và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tài chính,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6B29FE7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giám sát bao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giám sát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sau khi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thúc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giám sát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công khai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và báo cáo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148E9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Đánh giá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0AF5C3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đánh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iá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tiêu chi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271CBF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đánh giá là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2AB046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tra, đánh giá.</w:t>
      </w:r>
    </w:p>
    <w:p w14:paraId="75D56B7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</w:p>
    <w:p w14:paraId="178891F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công khai thông tin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và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54AA7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41D5D9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18. X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lý r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ro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trong quá trình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559D58E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ro:</w:t>
      </w:r>
    </w:p>
    <w:p w14:paraId="106976D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a)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 trong các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và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có liên quan;</w:t>
      </w:r>
    </w:p>
    <w:p w14:paraId="3900911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rõ ràng, minh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ch, có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 xác minh;</w:t>
      </w:r>
    </w:p>
    <w:p w14:paraId="65CACC4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Có ý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chuyên gia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(khi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300CF24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d)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hành chính,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dân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gây ra cho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khi đã tuân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quy trình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không có hành vi gian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ý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sai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tiêu, sai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vi.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cá nhân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hành chính, mi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dân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quy trình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không có hành vi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B85A9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Các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bao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các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A79801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ra nhưng đã tuân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quy trình,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234F09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Thi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chi phí do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kháng;</w:t>
      </w:r>
    </w:p>
    <w:p w14:paraId="53FDB33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c)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phá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không còn tư cách pháp nhân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năng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(không còn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năng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46D0CB8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khác do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báo cáo,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31BBFC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Cá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 bao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A98D35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Cho phép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dung,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 (n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p);</w:t>
      </w:r>
    </w:p>
    <w:p w14:paraId="03F0843B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đã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hàn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g,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không áp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m, không thu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đã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cá nhân đã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đúng,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này,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ra.</w:t>
      </w:r>
    </w:p>
    <w:p w14:paraId="3D0D73D2" w14:textId="77777777" w:rsidR="00E91FF1" w:rsidRPr="00886DE2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 không làm thay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trình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kinh phí và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xác minh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B3E748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211575" w14:textId="07F100AF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3840FEFF" w14:textId="77777777" w:rsidR="00E91FF1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6A16B80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83602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19. 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B0C274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thi hành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ngày 17 tháng 3 năm 2026.</w:t>
      </w:r>
    </w:p>
    <w:p w14:paraId="5C4CE08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26,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27,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28,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29,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30,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31,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32,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33 và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35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265/2025/NĐ-CP ngày 14 tháng 10 năm 2025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0C4FA62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các văn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66A584E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20. 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6E852E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04/2021/QĐ-TTg ngày 29 tháng 01 năm 2021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ban hành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gia (sau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đây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là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04/2021/QĐ-TTg)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năng, chi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trong năm 2025 và các năm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theo.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thanh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theo đúng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9C06E1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chi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2025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năm ngân sách 2025,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toán, báo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xét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64C0EA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dư còn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sau khi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này, Q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trình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DAA2D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Các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khen thư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phúc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ngày 01 tháng 7 năm 2025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ng theo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4A4DB8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Các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đang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04/2021/QĐ-TTg và các văn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khác có liên quan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khi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thúc,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các bên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khác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lãi thu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385CAD1" w14:textId="683E21C3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nguyên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viên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tài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sang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này;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các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viên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và các nghĩa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pháp lý khác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này,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t có liên quan. </w:t>
      </w:r>
    </w:p>
    <w:p w14:paraId="7EC27D6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phương án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 và các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có liên quan; giao biên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toán kinh phí cho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652C61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21. Trách nhi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3085639A" w14:textId="594E5D79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886DE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trung ương và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các cơ quan,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có liên quan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84AD43B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9BC814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tra, giám sát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tài chính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kinh phí ngân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cho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đúng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tiêu, đúng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công khai, minh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ch,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phòng ng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và ngăn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thoát, lãng phí;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trình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FB829DB" w14:textId="77777777" w:rsidR="00E91FF1" w:rsidRPr="00C46540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ành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1A470D4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86DE2" w:rsidRPr="00886DE2" w14:paraId="6DA6B0E3" w14:textId="77777777" w:rsidTr="00886DE2">
        <w:tc>
          <w:tcPr>
            <w:tcW w:w="2500" w:type="pct"/>
          </w:tcPr>
          <w:p w14:paraId="244C0940" w14:textId="36D39E3C" w:rsidR="00E91FF1" w:rsidRPr="00886DE2" w:rsidRDefault="00684C12" w:rsidP="00886D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6DE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886DE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886DE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886DE2" w:rsidRPr="00C4654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-Văn phòng Trung ương và các Ban của Đảng;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Hội đồng Dân tộc và các </w:t>
            </w:r>
            <w:r w:rsid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của Quốc hội;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Mặt trận Tổ quốc Việt Nam;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KTTH (2). 10</w:t>
            </w:r>
          </w:p>
        </w:tc>
        <w:tc>
          <w:tcPr>
            <w:tcW w:w="2500" w:type="pct"/>
          </w:tcPr>
          <w:p w14:paraId="1C89CDBE" w14:textId="7FD4EE93" w:rsidR="00E91FF1" w:rsidRPr="00886DE2" w:rsidRDefault="00684C12" w:rsidP="00886D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86DE2"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566C6182" w14:textId="77777777" w:rsidR="00886DE2" w:rsidRPr="00C46540" w:rsidRDefault="00886DE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7C0945" w14:textId="77777777" w:rsidR="00886DE2" w:rsidRPr="00886DE2" w:rsidRDefault="00886DE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886DE2" w:rsidRPr="00886DE2" w:rsidSect="00886DE2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475844A4" w14:textId="77777777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2F43A0E" w14:textId="036D873E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77/2026/NĐ-CP</w:t>
      </w:r>
      <w:r w:rsidR="00886DE2" w:rsidRPr="00886DE2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ngày 17 tháng 3 năm 2026 c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50CB0744" w14:textId="77777777" w:rsidR="00886DE2" w:rsidRPr="00886DE2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E6417F6" w14:textId="77777777" w:rsidR="00E91FF1" w:rsidRPr="00886DE2" w:rsidRDefault="00684C12" w:rsidP="00886DE2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01</w:t>
      </w:r>
    </w:p>
    <w:p w14:paraId="41B2540E" w14:textId="6EC3324B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886DE2" w:rsidRPr="00886DE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886DE2" w:rsidRPr="00886DE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886DE2" w:rsidRPr="00886DE2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</w:t>
      </w:r>
    </w:p>
    <w:p w14:paraId="5777964F" w14:textId="4A43D073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 TÁC</w:t>
      </w:r>
      <w:r w:rsidR="00886DE2" w:rsidRPr="00886DE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VAY</w:t>
      </w:r>
      <w:r w:rsidR="00886DE2" w:rsidRPr="00886DE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c gia và Ngân hàng 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(ghi rõ tên Ngân hàng)</w:t>
      </w:r>
    </w:p>
    <w:p w14:paraId="7DC3E705" w14:textId="0D93B13D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C46540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</w:t>
      </w:r>
    </w:p>
    <w:p w14:paraId="7E57350A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CE26A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: (Ghi rõ các căn c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i/>
          <w:color w:val="000000" w:themeColor="text1"/>
          <w:sz w:val="20"/>
          <w:szCs w:val="20"/>
        </w:rPr>
        <w:t xml:space="preserve"> pháp lý có liên quan)</w:t>
      </w:r>
    </w:p>
    <w:p w14:paraId="7CAE636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(sau đây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là “Th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n”)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ký ngày ... tháng ... năm...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các bên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9278AB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Bên A: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0D010F0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CA97D9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0D44F19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Email:</w:t>
      </w:r>
    </w:p>
    <w:p w14:paraId="28F4E39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Mã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5CB87A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i:                                                        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C20A25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0B00705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Bên B: (Ghi rõ tên Ngân hàng)</w:t>
      </w:r>
    </w:p>
    <w:p w14:paraId="2AE2B55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65293A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38F671F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Mã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17EC87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i:                                                        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7DDCF8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73704F41" w14:textId="77777777" w:rsidR="00E91FF1" w:rsidRPr="00886DE2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Theo đó, hai bên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ý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7430B566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9D5432" w14:textId="760335B7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4CB3C513" w14:textId="77777777" w:rsidR="00E91FF1" w:rsidRPr="00886DE2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F3278D4" w14:textId="77777777" w:rsidR="00886DE2" w:rsidRPr="00886DE2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79C4B9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m vi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20D741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Bên A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 B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77/2026/NĐ-CP ngày 17/3/2026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gia (sau đây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là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77/2026/NĐ-CP).</w:t>
      </w:r>
    </w:p>
    <w:p w14:paraId="492C719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2. Nguyên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90DE39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chính sách nhà nư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vay;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tuân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hành và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Bên;</w:t>
      </w:r>
    </w:p>
    <w:p w14:paraId="34E1649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Các bên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trên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công khai, minh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bình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5DBA514" w14:textId="77777777" w:rsidR="00E91FF1" w:rsidRPr="00C46540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(Các nguyên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khác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hai bên).</w:t>
      </w:r>
    </w:p>
    <w:p w14:paraId="7F3AE0FC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C5EAFD2" w14:textId="77777777" w:rsidR="00886DE2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1658D605" w14:textId="21851F40" w:rsidR="00E91FF1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DUNG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 TÁC</w:t>
      </w:r>
    </w:p>
    <w:p w14:paraId="008B40EB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9174AE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3. Tuyên truy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n, ph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chính sách</w:t>
      </w:r>
    </w:p>
    <w:p w14:paraId="3DA1EFB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Hai Bên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tuyên truy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chính sách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án, phương án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tư có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giao,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o, thông qua các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sau:</w:t>
      </w:r>
    </w:p>
    <w:p w14:paraId="0875165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- Bên A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Bên B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vay, tiêu chí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và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hai Bên,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EE7EF6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Bên B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 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A;</w:t>
      </w:r>
    </w:p>
    <w:p w14:paraId="72D8721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(Các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khác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hai bên).</w:t>
      </w:r>
    </w:p>
    <w:p w14:paraId="749F0D7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4. Ký k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vay</w:t>
      </w:r>
    </w:p>
    <w:p w14:paraId="14D37D6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ký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A,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và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p/chi nhánh cho va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B.</w:t>
      </w:r>
    </w:p>
    <w:p w14:paraId="107E615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B và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đã ký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B68EB5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5. Gi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 ngân kinh phí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 vay</w:t>
      </w:r>
    </w:p>
    <w:p w14:paraId="631882C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chuyên dùng:</w:t>
      </w:r>
    </w:p>
    <w:p w14:paraId="3E5DEBE7" w14:textId="4FEEB04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Bên A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chuyên dùng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C46540" w:rsidRPr="00C46540">
        <w:rPr>
          <w:rFonts w:ascii="Arial" w:hAnsi="Arial" w:cs="Arial"/>
          <w:color w:val="000000" w:themeColor="text1"/>
          <w:sz w:val="20"/>
          <w:szCs w:val="20"/>
        </w:rPr>
        <w:t>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ên B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B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vay.</w:t>
      </w:r>
    </w:p>
    <w:p w14:paraId="342FCE1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chuyên dùng này không phát sinh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lãi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901312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Bên B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ngày thu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trên toàn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vay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Bên A.</w:t>
      </w:r>
    </w:p>
    <w:p w14:paraId="2DC769E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Ngày thu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: (Ghi rõ phù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Ngân hàng)</w:t>
      </w:r>
    </w:p>
    <w:p w14:paraId="5635A5D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ngân</w:t>
      </w:r>
    </w:p>
    <w:p w14:paraId="63291A4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77/2026/NĐ-CP</w:t>
      </w:r>
    </w:p>
    <w:p w14:paraId="3AE1ED7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Các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vay,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cam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77/2026/NĐ-CP và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vay.</w:t>
      </w:r>
    </w:p>
    <w:p w14:paraId="085F8F4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6. Qu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lý tình hình s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vay</w:t>
      </w:r>
    </w:p>
    <w:p w14:paraId="55084E3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Bên B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ngân, theo dõi và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soát tình hình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vay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ng; thông báo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i cho Bên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vay không đúng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đích và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 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77/2026/NĐ-CP.</w:t>
      </w:r>
    </w:p>
    <w:p w14:paraId="3AAE63E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Bên A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Bên B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giám sát,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ro, x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và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toán kinh phí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77/2026/NĐ-CP và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vay.</w:t>
      </w:r>
    </w:p>
    <w:p w14:paraId="4F3ABA4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7. Quy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các bên</w:t>
      </w:r>
    </w:p>
    <w:p w14:paraId="1B0831B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A</w:t>
      </w:r>
    </w:p>
    <w:p w14:paraId="24674A9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Yêu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Bên B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ng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ng, đình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Bên B vi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m các quy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 và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vay;</w:t>
      </w:r>
    </w:p>
    <w:p w14:paraId="29A53CED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Các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vay;</w:t>
      </w:r>
    </w:p>
    <w:p w14:paraId="431F212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(Các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hai bên).</w:t>
      </w:r>
    </w:p>
    <w:p w14:paraId="1C485CF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Nghĩa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A</w:t>
      </w:r>
    </w:p>
    <w:p w14:paraId="1F24451B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Cung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chính sá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và các chính sách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khác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Bên B tuyên truy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khách hàng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B;</w:t>
      </w:r>
    </w:p>
    <w:p w14:paraId="4D7BE59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vay,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ngân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vay;</w:t>
      </w:r>
    </w:p>
    <w:p w14:paraId="2522AD7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Chuy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n kinh phí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vào tài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chuyên dùng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 B theo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5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3E657424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5254E9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lastRenderedPageBreak/>
        <w:t>- (Các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hai bên).</w:t>
      </w:r>
    </w:p>
    <w:p w14:paraId="1345A618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B</w:t>
      </w:r>
    </w:p>
    <w:p w14:paraId="72019E0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Tham gia, tuyên truy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chính sách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A;</w:t>
      </w:r>
    </w:p>
    <w:p w14:paraId="4317DB3E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đình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ng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ngân, thu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n;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vay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542A0A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 A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các hình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tài chính khác (n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81928C9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(Các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hai bên).</w:t>
      </w:r>
    </w:p>
    <w:p w14:paraId="283EA13B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4. Nghĩa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B</w:t>
      </w:r>
    </w:p>
    <w:p w14:paraId="05BC11BB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chính sách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A;</w:t>
      </w:r>
    </w:p>
    <w:p w14:paraId="1B00D66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iao đơn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p/chi nhánh đã ký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Bên B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vay;</w:t>
      </w:r>
    </w:p>
    <w:p w14:paraId="0A2CF77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 A thông báo thu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cho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vay theo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vay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5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này. Thông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báo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cho Bên A trong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thay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A1F75B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6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3F3B843" w14:textId="77777777" w:rsidR="00E91FF1" w:rsidRPr="00C46540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- (Các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hai bên).</w:t>
      </w:r>
    </w:p>
    <w:p w14:paraId="630102A6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2853D1C" w14:textId="77777777" w:rsidR="00886DE2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III </w:t>
      </w:r>
    </w:p>
    <w:p w14:paraId="57F0A09B" w14:textId="2C86340A" w:rsidR="00E91FF1" w:rsidRPr="00C46540" w:rsidRDefault="00684C1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CEEDB5B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54E31F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8. 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chung</w:t>
      </w:r>
    </w:p>
    <w:p w14:paraId="63E00B3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Thông báo</w:t>
      </w:r>
    </w:p>
    <w:p w14:paraId="251B8DE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(Quy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thông báo)</w:t>
      </w:r>
    </w:p>
    <w:p w14:paraId="2D1EDA77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3AFC606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(Quy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n)</w:t>
      </w:r>
    </w:p>
    <w:p w14:paraId="594C8FE5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69393B7A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(Quy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p)</w:t>
      </w:r>
    </w:p>
    <w:p w14:paraId="53AB97C1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9. T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8E9982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Trên cơ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Bên B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trên toàn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480317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Hai bên thư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xuyên thông tin cho nhau 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liên quan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này. Trư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hai bên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p, đánh giá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đã tri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khai và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gian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34F5AB52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3. Căn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y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, hai bên có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sung 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dung khác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tác nhưng không trái v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FBA3883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(Các 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dung chi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khác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hai bên)</w:t>
      </w:r>
    </w:p>
    <w:p w14:paraId="3616DD9F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10. Hi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2640E30C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có hi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ngày ký k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cho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khi hai bên ký văn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2530560" w14:textId="77777777" w:rsidR="00E91FF1" w:rsidRPr="00886DE2" w:rsidRDefault="00684C1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2. Các văn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này là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khôn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và có giá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theo 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01E853" w14:textId="77777777" w:rsidR="00E91FF1" w:rsidRPr="00C46540" w:rsidRDefault="00684C12" w:rsidP="00886D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6DE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p thành ...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t, có giá tr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pháp lý như nhau, m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i bên gi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 xml:space="preserve"> ... b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86DE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046CC58" w14:textId="77777777" w:rsidR="00886DE2" w:rsidRPr="00C46540" w:rsidRDefault="00886DE2" w:rsidP="00886D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886DE2" w:rsidRPr="00886DE2" w14:paraId="39B45A7F" w14:textId="77777777" w:rsidTr="00886DE2">
        <w:tc>
          <w:tcPr>
            <w:tcW w:w="2500" w:type="pct"/>
          </w:tcPr>
          <w:p w14:paraId="7E6EA85C" w14:textId="70D383C0" w:rsidR="00886DE2" w:rsidRPr="00C46540" w:rsidRDefault="00886DE2" w:rsidP="00886DE2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BÊN A</w:t>
            </w:r>
            <w:r w:rsidRPr="00C4654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86DE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đóng dấu)</w:t>
            </w:r>
          </w:p>
        </w:tc>
        <w:tc>
          <w:tcPr>
            <w:tcW w:w="2500" w:type="pct"/>
          </w:tcPr>
          <w:p w14:paraId="763DBE24" w14:textId="7983E4E3" w:rsidR="00886DE2" w:rsidRPr="00C46540" w:rsidRDefault="00886DE2" w:rsidP="00886DE2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BÊN B</w:t>
            </w:r>
            <w:r w:rsidRPr="00886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C4654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tên, đóng dấu)</w:t>
            </w:r>
          </w:p>
        </w:tc>
      </w:tr>
    </w:tbl>
    <w:p w14:paraId="0692A1AC" w14:textId="77777777" w:rsidR="00886DE2" w:rsidRPr="00886DE2" w:rsidRDefault="00886DE2" w:rsidP="00886D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886DE2" w:rsidRPr="00886DE2" w:rsidSect="00886DE2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25B53" w14:textId="77777777" w:rsidR="00684C12" w:rsidRDefault="00684C12">
      <w:pPr>
        <w:spacing w:after="0" w:line="240" w:lineRule="auto"/>
      </w:pPr>
      <w:r>
        <w:separator/>
      </w:r>
    </w:p>
  </w:endnote>
  <w:endnote w:type="continuationSeparator" w:id="0">
    <w:p w14:paraId="05156F59" w14:textId="77777777" w:rsidR="00684C12" w:rsidRDefault="0068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3E0CC" w14:textId="77777777" w:rsidR="00684C12" w:rsidRDefault="00684C12">
      <w:pPr>
        <w:spacing w:after="0" w:line="240" w:lineRule="auto"/>
      </w:pPr>
      <w:r>
        <w:separator/>
      </w:r>
    </w:p>
  </w:footnote>
  <w:footnote w:type="continuationSeparator" w:id="0">
    <w:p w14:paraId="3A61995C" w14:textId="77777777" w:rsidR="00684C12" w:rsidRDefault="0068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F1"/>
    <w:rsid w:val="00144930"/>
    <w:rsid w:val="00684C12"/>
    <w:rsid w:val="007A41DF"/>
    <w:rsid w:val="00886DE2"/>
    <w:rsid w:val="009407D8"/>
    <w:rsid w:val="00B71CD4"/>
    <w:rsid w:val="00BF1EAA"/>
    <w:rsid w:val="00C46540"/>
    <w:rsid w:val="00D75134"/>
    <w:rsid w:val="00E3226F"/>
    <w:rsid w:val="00E91FF1"/>
    <w:rsid w:val="00F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E97E2"/>
  <w15:docId w15:val="{E4E55503-93EC-41F4-94AA-8AC6ADFD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E2"/>
  </w:style>
  <w:style w:type="paragraph" w:styleId="Footer">
    <w:name w:val="footer"/>
    <w:basedOn w:val="Normal"/>
    <w:link w:val="FooterChar"/>
    <w:uiPriority w:val="99"/>
    <w:unhideWhenUsed/>
    <w:rsid w:val="00886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E2"/>
  </w:style>
  <w:style w:type="table" w:styleId="TableGrid">
    <w:name w:val="Table Grid"/>
    <w:basedOn w:val="TableNormal"/>
    <w:uiPriority w:val="39"/>
    <w:rsid w:val="0088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6225</Words>
  <Characters>35486</Characters>
  <Application>Microsoft Office Word</Application>
  <DocSecurity>0</DocSecurity>
  <Lines>295</Lines>
  <Paragraphs>83</Paragraphs>
  <ScaleCrop>false</ScaleCrop>
  <Company/>
  <LinksUpToDate>false</LinksUpToDate>
  <CharactersWithSpaces>41628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6</cp:revision>
  <dcterms:created xsi:type="dcterms:W3CDTF">2026-03-19T01:33:00Z</dcterms:created>
  <dcterms:modified xsi:type="dcterms:W3CDTF">2026-03-19T08:28:00Z</dcterms:modified>
</cp:coreProperties>
</file>