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4101"/>
        <w:gridCol w:w="4925"/>
      </w:tblGrid>
      <w:tr w:rsidR="00B67246" w:rsidRPr="00B67246" w14:paraId="1068FBFA" w14:textId="77777777" w:rsidTr="00B67246">
        <w:tc>
          <w:tcPr>
            <w:tcW w:w="2272" w:type="pct"/>
          </w:tcPr>
          <w:p w14:paraId="050DE098" w14:textId="5B384B6F" w:rsidR="006F1EE8" w:rsidRPr="00B67246" w:rsidRDefault="009B742F" w:rsidP="00B67246">
            <w:pPr>
              <w:adjustRightInd w:val="0"/>
              <w:snapToGrid w:val="0"/>
              <w:spacing w:after="0" w:line="240" w:lineRule="auto"/>
              <w:jc w:val="center"/>
              <w:rPr>
                <w:rFonts w:ascii="Arial" w:hAnsi="Arial" w:cs="Arial"/>
                <w:color w:val="000000" w:themeColor="text1"/>
                <w:sz w:val="20"/>
                <w:szCs w:val="20"/>
              </w:rPr>
            </w:pPr>
            <w:r w:rsidRPr="00B67246">
              <w:rPr>
                <w:rFonts w:ascii="Arial" w:hAnsi="Arial" w:cs="Arial"/>
                <w:b/>
                <w:color w:val="000000" w:themeColor="text1"/>
                <w:sz w:val="20"/>
                <w:szCs w:val="20"/>
              </w:rPr>
              <w:t>QUỐC</w:t>
            </w:r>
            <w:r w:rsidR="00B67246">
              <w:rPr>
                <w:rFonts w:ascii="Arial" w:hAnsi="Arial" w:cs="Arial"/>
                <w:b/>
                <w:color w:val="000000" w:themeColor="text1"/>
                <w:sz w:val="20"/>
                <w:szCs w:val="20"/>
              </w:rPr>
              <w:t xml:space="preserve"> </w:t>
            </w:r>
            <w:r w:rsidRPr="00B67246">
              <w:rPr>
                <w:rFonts w:ascii="Arial" w:hAnsi="Arial" w:cs="Arial"/>
                <w:b/>
                <w:color w:val="000000" w:themeColor="text1"/>
                <w:sz w:val="20"/>
                <w:szCs w:val="20"/>
              </w:rPr>
              <w:t>HỘI</w:t>
            </w:r>
            <w:r w:rsidRPr="00B67246">
              <w:rPr>
                <w:rFonts w:ascii="Arial" w:hAnsi="Arial" w:cs="Arial"/>
                <w:color w:val="000000" w:themeColor="text1"/>
                <w:sz w:val="20"/>
                <w:szCs w:val="20"/>
              </w:rPr>
              <w:br/>
            </w:r>
            <w:r w:rsidRPr="00B67246">
              <w:rPr>
                <w:rFonts w:ascii="Arial" w:hAnsi="Arial" w:cs="Arial"/>
                <w:color w:val="000000" w:themeColor="text1"/>
                <w:sz w:val="20"/>
                <w:szCs w:val="20"/>
                <w:vertAlign w:val="superscript"/>
              </w:rPr>
              <w:t>_______</w:t>
            </w:r>
            <w:r w:rsidRPr="00B67246">
              <w:rPr>
                <w:rFonts w:ascii="Arial" w:hAnsi="Arial" w:cs="Arial"/>
                <w:color w:val="000000" w:themeColor="text1"/>
                <w:sz w:val="20"/>
                <w:szCs w:val="20"/>
              </w:rPr>
              <w:br/>
            </w:r>
            <w:r w:rsidR="004D61D1">
              <w:rPr>
                <w:rFonts w:ascii="Arial" w:hAnsi="Arial" w:cs="Arial"/>
                <w:color w:val="000000" w:themeColor="text1"/>
                <w:sz w:val="20"/>
                <w:szCs w:val="20"/>
              </w:rPr>
              <w:br/>
            </w:r>
            <w:r w:rsidRPr="00B67246">
              <w:rPr>
                <w:rFonts w:ascii="Arial" w:hAnsi="Arial" w:cs="Arial"/>
                <w:color w:val="000000" w:themeColor="text1"/>
                <w:sz w:val="20"/>
                <w:szCs w:val="20"/>
              </w:rPr>
              <w:t>Luật</w:t>
            </w:r>
            <w:r w:rsidR="00B67246">
              <w:rPr>
                <w:rFonts w:ascii="Arial" w:hAnsi="Arial" w:cs="Arial"/>
                <w:color w:val="000000" w:themeColor="text1"/>
                <w:sz w:val="20"/>
                <w:szCs w:val="20"/>
              </w:rPr>
              <w:t xml:space="preserve"> </w:t>
            </w:r>
            <w:r w:rsidRPr="00B67246">
              <w:rPr>
                <w:rFonts w:ascii="Arial" w:hAnsi="Arial" w:cs="Arial"/>
                <w:color w:val="000000" w:themeColor="text1"/>
                <w:sz w:val="20"/>
                <w:szCs w:val="20"/>
              </w:rPr>
              <w:t>số:</w:t>
            </w:r>
            <w:r w:rsidR="00B67246">
              <w:rPr>
                <w:rFonts w:ascii="Arial" w:hAnsi="Arial" w:cs="Arial"/>
                <w:color w:val="000000" w:themeColor="text1"/>
                <w:sz w:val="20"/>
                <w:szCs w:val="20"/>
              </w:rPr>
              <w:t xml:space="preserve"> </w:t>
            </w:r>
            <w:r w:rsidRPr="00B67246">
              <w:rPr>
                <w:rFonts w:ascii="Arial" w:hAnsi="Arial" w:cs="Arial"/>
                <w:color w:val="000000" w:themeColor="text1"/>
                <w:sz w:val="20"/>
                <w:szCs w:val="20"/>
              </w:rPr>
              <w:t>01/2026/QH16</w:t>
            </w:r>
          </w:p>
        </w:tc>
        <w:tc>
          <w:tcPr>
            <w:tcW w:w="2728" w:type="pct"/>
          </w:tcPr>
          <w:p w14:paraId="006DD3F5" w14:textId="3A2E3D00" w:rsidR="006F1EE8" w:rsidRPr="00B67246" w:rsidRDefault="009B742F" w:rsidP="00B67246">
            <w:pPr>
              <w:adjustRightInd w:val="0"/>
              <w:snapToGrid w:val="0"/>
              <w:spacing w:after="0" w:line="240" w:lineRule="auto"/>
              <w:jc w:val="center"/>
              <w:rPr>
                <w:rFonts w:ascii="Arial" w:hAnsi="Arial" w:cs="Arial"/>
                <w:color w:val="000000" w:themeColor="text1"/>
                <w:sz w:val="20"/>
                <w:szCs w:val="20"/>
              </w:rPr>
            </w:pPr>
            <w:r w:rsidRPr="00B67246">
              <w:rPr>
                <w:rFonts w:ascii="Arial" w:hAnsi="Arial" w:cs="Arial"/>
                <w:b/>
                <w:color w:val="000000" w:themeColor="text1"/>
                <w:sz w:val="20"/>
                <w:szCs w:val="20"/>
              </w:rPr>
              <w:t>CỘNG</w:t>
            </w:r>
            <w:r w:rsidR="00B67246">
              <w:rPr>
                <w:rFonts w:ascii="Arial" w:hAnsi="Arial" w:cs="Arial"/>
                <w:b/>
                <w:color w:val="000000" w:themeColor="text1"/>
                <w:sz w:val="20"/>
                <w:szCs w:val="20"/>
              </w:rPr>
              <w:t xml:space="preserve"> </w:t>
            </w:r>
            <w:r w:rsidRPr="00B67246">
              <w:rPr>
                <w:rFonts w:ascii="Arial" w:hAnsi="Arial" w:cs="Arial"/>
                <w:b/>
                <w:color w:val="000000" w:themeColor="text1"/>
                <w:sz w:val="20"/>
                <w:szCs w:val="20"/>
              </w:rPr>
              <w:t>HÒA</w:t>
            </w:r>
            <w:r w:rsidR="00B67246">
              <w:rPr>
                <w:rFonts w:ascii="Arial" w:hAnsi="Arial" w:cs="Arial"/>
                <w:b/>
                <w:color w:val="000000" w:themeColor="text1"/>
                <w:sz w:val="20"/>
                <w:szCs w:val="20"/>
              </w:rPr>
              <w:t xml:space="preserve"> </w:t>
            </w:r>
            <w:r w:rsidRPr="00B67246">
              <w:rPr>
                <w:rFonts w:ascii="Arial" w:hAnsi="Arial" w:cs="Arial"/>
                <w:b/>
                <w:color w:val="000000" w:themeColor="text1"/>
                <w:sz w:val="20"/>
                <w:szCs w:val="20"/>
              </w:rPr>
              <w:t>XÃ</w:t>
            </w:r>
            <w:r w:rsidR="00B67246">
              <w:rPr>
                <w:rFonts w:ascii="Arial" w:hAnsi="Arial" w:cs="Arial"/>
                <w:b/>
                <w:color w:val="000000" w:themeColor="text1"/>
                <w:sz w:val="20"/>
                <w:szCs w:val="20"/>
              </w:rPr>
              <w:t xml:space="preserve"> </w:t>
            </w:r>
            <w:r w:rsidRPr="00B67246">
              <w:rPr>
                <w:rFonts w:ascii="Arial" w:hAnsi="Arial" w:cs="Arial"/>
                <w:b/>
                <w:color w:val="000000" w:themeColor="text1"/>
                <w:sz w:val="20"/>
                <w:szCs w:val="20"/>
              </w:rPr>
              <w:t>HỘI</w:t>
            </w:r>
            <w:r w:rsidR="00B67246">
              <w:rPr>
                <w:rFonts w:ascii="Arial" w:hAnsi="Arial" w:cs="Arial"/>
                <w:b/>
                <w:color w:val="000000" w:themeColor="text1"/>
                <w:sz w:val="20"/>
                <w:szCs w:val="20"/>
              </w:rPr>
              <w:t xml:space="preserve"> </w:t>
            </w:r>
            <w:r w:rsidRPr="00B67246">
              <w:rPr>
                <w:rFonts w:ascii="Arial" w:hAnsi="Arial" w:cs="Arial"/>
                <w:b/>
                <w:color w:val="000000" w:themeColor="text1"/>
                <w:sz w:val="20"/>
                <w:szCs w:val="20"/>
              </w:rPr>
              <w:t>CHỦ</w:t>
            </w:r>
            <w:r w:rsidR="00B67246">
              <w:rPr>
                <w:rFonts w:ascii="Arial" w:hAnsi="Arial" w:cs="Arial"/>
                <w:b/>
                <w:color w:val="000000" w:themeColor="text1"/>
                <w:sz w:val="20"/>
                <w:szCs w:val="20"/>
              </w:rPr>
              <w:t xml:space="preserve"> </w:t>
            </w:r>
            <w:r w:rsidRPr="00B67246">
              <w:rPr>
                <w:rFonts w:ascii="Arial" w:hAnsi="Arial" w:cs="Arial"/>
                <w:b/>
                <w:color w:val="000000" w:themeColor="text1"/>
                <w:sz w:val="20"/>
                <w:szCs w:val="20"/>
              </w:rPr>
              <w:t>NGHĨA</w:t>
            </w:r>
            <w:r w:rsidR="00B67246">
              <w:rPr>
                <w:rFonts w:ascii="Arial" w:hAnsi="Arial" w:cs="Arial"/>
                <w:b/>
                <w:color w:val="000000" w:themeColor="text1"/>
                <w:sz w:val="20"/>
                <w:szCs w:val="20"/>
              </w:rPr>
              <w:t xml:space="preserve"> </w:t>
            </w:r>
            <w:r w:rsidRPr="00B67246">
              <w:rPr>
                <w:rFonts w:ascii="Arial" w:hAnsi="Arial" w:cs="Arial"/>
                <w:b/>
                <w:color w:val="000000" w:themeColor="text1"/>
                <w:sz w:val="20"/>
                <w:szCs w:val="20"/>
              </w:rPr>
              <w:t>VIỆT</w:t>
            </w:r>
            <w:r w:rsidR="00B67246">
              <w:rPr>
                <w:rFonts w:ascii="Arial" w:hAnsi="Arial" w:cs="Arial"/>
                <w:b/>
                <w:color w:val="000000" w:themeColor="text1"/>
                <w:sz w:val="20"/>
                <w:szCs w:val="20"/>
              </w:rPr>
              <w:t xml:space="preserve"> </w:t>
            </w:r>
            <w:r w:rsidRPr="00B67246">
              <w:rPr>
                <w:rFonts w:ascii="Arial" w:hAnsi="Arial" w:cs="Arial"/>
                <w:b/>
                <w:color w:val="000000" w:themeColor="text1"/>
                <w:sz w:val="20"/>
                <w:szCs w:val="20"/>
              </w:rPr>
              <w:t>NAM</w:t>
            </w:r>
            <w:r w:rsidRPr="00B67246">
              <w:rPr>
                <w:rFonts w:ascii="Arial" w:hAnsi="Arial" w:cs="Arial"/>
                <w:color w:val="000000" w:themeColor="text1"/>
                <w:sz w:val="20"/>
                <w:szCs w:val="20"/>
              </w:rPr>
              <w:br/>
            </w:r>
            <w:r w:rsidR="00B67246">
              <w:rPr>
                <w:rFonts w:ascii="Arial" w:hAnsi="Arial" w:cs="Arial"/>
                <w:b/>
                <w:color w:val="000000" w:themeColor="text1"/>
                <w:sz w:val="20"/>
                <w:szCs w:val="20"/>
              </w:rPr>
              <w:t xml:space="preserve"> </w:t>
            </w:r>
            <w:r w:rsidRPr="00B67246">
              <w:rPr>
                <w:rFonts w:ascii="Arial" w:hAnsi="Arial" w:cs="Arial"/>
                <w:b/>
                <w:color w:val="000000" w:themeColor="text1"/>
                <w:sz w:val="20"/>
                <w:szCs w:val="20"/>
              </w:rPr>
              <w:t>Độc</w:t>
            </w:r>
            <w:r w:rsidR="00B67246">
              <w:rPr>
                <w:rFonts w:ascii="Arial" w:hAnsi="Arial" w:cs="Arial"/>
                <w:b/>
                <w:color w:val="000000" w:themeColor="text1"/>
                <w:sz w:val="20"/>
                <w:szCs w:val="20"/>
              </w:rPr>
              <w:t xml:space="preserve"> </w:t>
            </w:r>
            <w:r w:rsidRPr="00B67246">
              <w:rPr>
                <w:rFonts w:ascii="Arial" w:hAnsi="Arial" w:cs="Arial"/>
                <w:b/>
                <w:color w:val="000000" w:themeColor="text1"/>
                <w:sz w:val="20"/>
                <w:szCs w:val="20"/>
              </w:rPr>
              <w:t>lập</w:t>
            </w:r>
            <w:r w:rsidR="00B67246">
              <w:rPr>
                <w:rFonts w:ascii="Arial" w:hAnsi="Arial" w:cs="Arial"/>
                <w:b/>
                <w:color w:val="000000" w:themeColor="text1"/>
                <w:sz w:val="20"/>
                <w:szCs w:val="20"/>
              </w:rPr>
              <w:t xml:space="preserve"> </w:t>
            </w:r>
            <w:r w:rsidRPr="00B67246">
              <w:rPr>
                <w:rFonts w:ascii="Arial" w:hAnsi="Arial" w:cs="Arial"/>
                <w:b/>
                <w:color w:val="000000" w:themeColor="text1"/>
                <w:sz w:val="20"/>
                <w:szCs w:val="20"/>
              </w:rPr>
              <w:t>–</w:t>
            </w:r>
            <w:r w:rsidR="00B67246">
              <w:rPr>
                <w:rFonts w:ascii="Arial" w:hAnsi="Arial" w:cs="Arial"/>
                <w:b/>
                <w:color w:val="000000" w:themeColor="text1"/>
                <w:sz w:val="20"/>
                <w:szCs w:val="20"/>
              </w:rPr>
              <w:t xml:space="preserve"> </w:t>
            </w:r>
            <w:r w:rsidRPr="00B67246">
              <w:rPr>
                <w:rFonts w:ascii="Arial" w:hAnsi="Arial" w:cs="Arial"/>
                <w:b/>
                <w:color w:val="000000" w:themeColor="text1"/>
                <w:sz w:val="20"/>
                <w:szCs w:val="20"/>
              </w:rPr>
              <w:t>Tự</w:t>
            </w:r>
            <w:r w:rsidR="00B67246">
              <w:rPr>
                <w:rFonts w:ascii="Arial" w:hAnsi="Arial" w:cs="Arial"/>
                <w:b/>
                <w:color w:val="000000" w:themeColor="text1"/>
                <w:sz w:val="20"/>
                <w:szCs w:val="20"/>
              </w:rPr>
              <w:t xml:space="preserve"> </w:t>
            </w:r>
            <w:r w:rsidRPr="00B67246">
              <w:rPr>
                <w:rFonts w:ascii="Arial" w:hAnsi="Arial" w:cs="Arial"/>
                <w:b/>
                <w:color w:val="000000" w:themeColor="text1"/>
                <w:sz w:val="20"/>
                <w:szCs w:val="20"/>
              </w:rPr>
              <w:t>do</w:t>
            </w:r>
            <w:r w:rsidR="00B67246">
              <w:rPr>
                <w:rFonts w:ascii="Arial" w:hAnsi="Arial" w:cs="Arial"/>
                <w:b/>
                <w:color w:val="000000" w:themeColor="text1"/>
                <w:sz w:val="20"/>
                <w:szCs w:val="20"/>
              </w:rPr>
              <w:t xml:space="preserve"> </w:t>
            </w:r>
            <w:r w:rsidRPr="00B67246">
              <w:rPr>
                <w:rFonts w:ascii="Arial" w:hAnsi="Arial" w:cs="Arial"/>
                <w:b/>
                <w:color w:val="000000" w:themeColor="text1"/>
                <w:sz w:val="20"/>
                <w:szCs w:val="20"/>
              </w:rPr>
              <w:t>–</w:t>
            </w:r>
            <w:r w:rsidR="00B67246">
              <w:rPr>
                <w:rFonts w:ascii="Arial" w:hAnsi="Arial" w:cs="Arial"/>
                <w:b/>
                <w:color w:val="000000" w:themeColor="text1"/>
                <w:sz w:val="20"/>
                <w:szCs w:val="20"/>
              </w:rPr>
              <w:t xml:space="preserve"> </w:t>
            </w:r>
            <w:r w:rsidRPr="00B67246">
              <w:rPr>
                <w:rFonts w:ascii="Arial" w:hAnsi="Arial" w:cs="Arial"/>
                <w:b/>
                <w:color w:val="000000" w:themeColor="text1"/>
                <w:sz w:val="20"/>
                <w:szCs w:val="20"/>
              </w:rPr>
              <w:t>Hạnh</w:t>
            </w:r>
            <w:r w:rsidR="00B67246">
              <w:rPr>
                <w:rFonts w:ascii="Arial" w:hAnsi="Arial" w:cs="Arial"/>
                <w:b/>
                <w:color w:val="000000" w:themeColor="text1"/>
                <w:sz w:val="20"/>
                <w:szCs w:val="20"/>
              </w:rPr>
              <w:t xml:space="preserve"> </w:t>
            </w:r>
            <w:r w:rsidRPr="00B67246">
              <w:rPr>
                <w:rFonts w:ascii="Arial" w:hAnsi="Arial" w:cs="Arial"/>
                <w:b/>
                <w:color w:val="000000" w:themeColor="text1"/>
                <w:sz w:val="20"/>
                <w:szCs w:val="20"/>
              </w:rPr>
              <w:t>phúc</w:t>
            </w:r>
            <w:r w:rsidRPr="00B67246">
              <w:rPr>
                <w:rFonts w:ascii="Arial" w:hAnsi="Arial" w:cs="Arial"/>
                <w:color w:val="000000" w:themeColor="text1"/>
                <w:sz w:val="20"/>
                <w:szCs w:val="20"/>
              </w:rPr>
              <w:br/>
            </w:r>
            <w:r w:rsidRPr="00B67246">
              <w:rPr>
                <w:rFonts w:ascii="Arial" w:hAnsi="Arial" w:cs="Arial"/>
                <w:color w:val="000000" w:themeColor="text1"/>
                <w:sz w:val="20"/>
                <w:szCs w:val="20"/>
                <w:vertAlign w:val="superscript"/>
              </w:rPr>
              <w:t>_________________</w:t>
            </w:r>
          </w:p>
        </w:tc>
      </w:tr>
    </w:tbl>
    <w:p w14:paraId="24E5184C" w14:textId="77777777" w:rsidR="00B67246" w:rsidRPr="00B67246" w:rsidRDefault="00B67246" w:rsidP="00B67246">
      <w:pPr>
        <w:adjustRightInd w:val="0"/>
        <w:snapToGrid w:val="0"/>
        <w:spacing w:after="0" w:line="240" w:lineRule="auto"/>
        <w:jc w:val="center"/>
        <w:rPr>
          <w:rFonts w:ascii="Arial" w:hAnsi="Arial" w:cs="Arial"/>
          <w:b/>
          <w:color w:val="000000" w:themeColor="text1"/>
          <w:sz w:val="20"/>
          <w:szCs w:val="20"/>
        </w:rPr>
      </w:pPr>
    </w:p>
    <w:p w14:paraId="0B5353D4" w14:textId="77777777" w:rsidR="00B67246" w:rsidRPr="00B67246" w:rsidRDefault="00B67246" w:rsidP="00B67246">
      <w:pPr>
        <w:adjustRightInd w:val="0"/>
        <w:snapToGrid w:val="0"/>
        <w:spacing w:after="0" w:line="240" w:lineRule="auto"/>
        <w:jc w:val="center"/>
        <w:rPr>
          <w:rFonts w:ascii="Arial" w:hAnsi="Arial" w:cs="Arial"/>
          <w:b/>
          <w:color w:val="000000" w:themeColor="text1"/>
          <w:sz w:val="20"/>
          <w:szCs w:val="20"/>
        </w:rPr>
      </w:pPr>
    </w:p>
    <w:p w14:paraId="1B0F6A55" w14:textId="06AFAAD3" w:rsidR="006F1EE8" w:rsidRPr="00B67246" w:rsidRDefault="009B742F" w:rsidP="00B67246">
      <w:pPr>
        <w:adjustRightInd w:val="0"/>
        <w:snapToGrid w:val="0"/>
        <w:spacing w:after="0" w:line="240" w:lineRule="auto"/>
        <w:jc w:val="center"/>
        <w:rPr>
          <w:rFonts w:ascii="Arial" w:hAnsi="Arial" w:cs="Arial"/>
          <w:b/>
          <w:color w:val="000000" w:themeColor="text1"/>
          <w:sz w:val="20"/>
          <w:szCs w:val="20"/>
        </w:rPr>
      </w:pPr>
      <w:r w:rsidRPr="00B67246">
        <w:rPr>
          <w:rFonts w:ascii="Arial" w:hAnsi="Arial" w:cs="Arial"/>
          <w:b/>
          <w:color w:val="000000" w:themeColor="text1"/>
          <w:sz w:val="20"/>
          <w:szCs w:val="20"/>
        </w:rPr>
        <w:t xml:space="preserve">LUẬT </w:t>
      </w:r>
      <w:r w:rsidR="00B67246">
        <w:rPr>
          <w:rFonts w:ascii="Arial" w:hAnsi="Arial" w:cs="Arial"/>
          <w:b/>
          <w:color w:val="000000" w:themeColor="text1"/>
          <w:sz w:val="20"/>
          <w:szCs w:val="20"/>
        </w:rPr>
        <w:br/>
      </w:r>
      <w:r w:rsidRPr="00B67246">
        <w:rPr>
          <w:rFonts w:ascii="Arial" w:hAnsi="Arial" w:cs="Arial"/>
          <w:b/>
          <w:color w:val="000000" w:themeColor="text1"/>
          <w:sz w:val="20"/>
          <w:szCs w:val="20"/>
        </w:rPr>
        <w:t>TIẾP CẬN THÔNG TIN</w:t>
      </w:r>
    </w:p>
    <w:p w14:paraId="69FB543F" w14:textId="77777777" w:rsidR="00B67246" w:rsidRPr="00B67246" w:rsidRDefault="00B67246" w:rsidP="00B67246">
      <w:pPr>
        <w:adjustRightInd w:val="0"/>
        <w:snapToGrid w:val="0"/>
        <w:spacing w:after="0" w:line="240" w:lineRule="auto"/>
        <w:jc w:val="center"/>
        <w:rPr>
          <w:rFonts w:ascii="Arial" w:hAnsi="Arial" w:cs="Arial"/>
          <w:color w:val="000000" w:themeColor="text1"/>
          <w:sz w:val="20"/>
          <w:szCs w:val="20"/>
        </w:rPr>
      </w:pPr>
    </w:p>
    <w:p w14:paraId="396EFCF5"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i/>
          <w:color w:val="000000" w:themeColor="text1"/>
          <w:sz w:val="20"/>
          <w:szCs w:val="20"/>
        </w:rPr>
        <w:t>Căn cứ Hiến pháp nước Cộng hòa xã hội chủ nghĩa Việt Nam đã được sửa đổi, bổ sung một số điều theo Nghị quyết số 203/2025/QH15;</w:t>
      </w:r>
    </w:p>
    <w:p w14:paraId="71EB1C6E" w14:textId="69DBD4F1" w:rsidR="006F1EE8" w:rsidRPr="00B67246" w:rsidRDefault="009B742F" w:rsidP="00B67246">
      <w:pPr>
        <w:adjustRightInd w:val="0"/>
        <w:snapToGrid w:val="0"/>
        <w:spacing w:after="0" w:line="240" w:lineRule="auto"/>
        <w:ind w:firstLine="720"/>
        <w:jc w:val="both"/>
        <w:rPr>
          <w:rFonts w:ascii="Arial" w:hAnsi="Arial" w:cs="Arial"/>
          <w:i/>
          <w:color w:val="000000" w:themeColor="text1"/>
          <w:sz w:val="20"/>
          <w:szCs w:val="20"/>
        </w:rPr>
      </w:pPr>
      <w:r w:rsidRPr="00B67246">
        <w:rPr>
          <w:rFonts w:ascii="Arial" w:hAnsi="Arial" w:cs="Arial"/>
          <w:i/>
          <w:color w:val="000000" w:themeColor="text1"/>
          <w:sz w:val="20"/>
          <w:szCs w:val="20"/>
        </w:rPr>
        <w:t>Quốc hội ban hành Luật Tiếp cận thông tin.</w:t>
      </w:r>
    </w:p>
    <w:p w14:paraId="31851C82" w14:textId="77777777" w:rsidR="00B67246" w:rsidRPr="00B67246" w:rsidRDefault="00B67246" w:rsidP="00B67246">
      <w:pPr>
        <w:adjustRightInd w:val="0"/>
        <w:snapToGrid w:val="0"/>
        <w:spacing w:after="0" w:line="240" w:lineRule="auto"/>
        <w:jc w:val="center"/>
        <w:rPr>
          <w:rFonts w:ascii="Arial" w:hAnsi="Arial" w:cs="Arial"/>
          <w:color w:val="000000" w:themeColor="text1"/>
          <w:sz w:val="20"/>
          <w:szCs w:val="20"/>
        </w:rPr>
      </w:pPr>
    </w:p>
    <w:p w14:paraId="63AE8CD0" w14:textId="77777777" w:rsidR="006F1EE8" w:rsidRPr="00B67246" w:rsidRDefault="009B742F" w:rsidP="00B67246">
      <w:pPr>
        <w:adjustRightInd w:val="0"/>
        <w:snapToGrid w:val="0"/>
        <w:spacing w:after="0" w:line="240" w:lineRule="auto"/>
        <w:jc w:val="center"/>
        <w:rPr>
          <w:rFonts w:ascii="Arial" w:hAnsi="Arial" w:cs="Arial"/>
          <w:color w:val="000000" w:themeColor="text1"/>
          <w:sz w:val="20"/>
          <w:szCs w:val="20"/>
        </w:rPr>
      </w:pPr>
      <w:r w:rsidRPr="00B67246">
        <w:rPr>
          <w:rFonts w:ascii="Arial" w:hAnsi="Arial" w:cs="Arial"/>
          <w:b/>
          <w:color w:val="000000" w:themeColor="text1"/>
          <w:sz w:val="20"/>
          <w:szCs w:val="20"/>
        </w:rPr>
        <w:t>Chương I</w:t>
      </w:r>
    </w:p>
    <w:p w14:paraId="3A5CF449" w14:textId="5AA383D6" w:rsidR="006F1EE8" w:rsidRPr="00B67246" w:rsidRDefault="009B742F" w:rsidP="00B67246">
      <w:pPr>
        <w:adjustRightInd w:val="0"/>
        <w:snapToGrid w:val="0"/>
        <w:spacing w:after="0" w:line="240" w:lineRule="auto"/>
        <w:jc w:val="center"/>
        <w:rPr>
          <w:rFonts w:ascii="Arial" w:hAnsi="Arial" w:cs="Arial"/>
          <w:b/>
          <w:color w:val="000000" w:themeColor="text1"/>
          <w:sz w:val="20"/>
          <w:szCs w:val="20"/>
        </w:rPr>
      </w:pPr>
      <w:r w:rsidRPr="00B67246">
        <w:rPr>
          <w:rFonts w:ascii="Arial" w:hAnsi="Arial" w:cs="Arial"/>
          <w:b/>
          <w:color w:val="000000" w:themeColor="text1"/>
          <w:sz w:val="20"/>
          <w:szCs w:val="20"/>
        </w:rPr>
        <w:t>NHỮNG QUY ĐỊNH CHUNG</w:t>
      </w:r>
    </w:p>
    <w:p w14:paraId="4E059610" w14:textId="77777777" w:rsidR="00B67246" w:rsidRPr="00B67246" w:rsidRDefault="00B67246" w:rsidP="00B67246">
      <w:pPr>
        <w:adjustRightInd w:val="0"/>
        <w:snapToGrid w:val="0"/>
        <w:spacing w:after="0" w:line="240" w:lineRule="auto"/>
        <w:jc w:val="center"/>
        <w:rPr>
          <w:rFonts w:ascii="Arial" w:hAnsi="Arial" w:cs="Arial"/>
          <w:color w:val="000000" w:themeColor="text1"/>
          <w:sz w:val="20"/>
          <w:szCs w:val="20"/>
        </w:rPr>
      </w:pPr>
    </w:p>
    <w:p w14:paraId="1B145D81"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b/>
          <w:color w:val="000000" w:themeColor="text1"/>
          <w:sz w:val="20"/>
          <w:szCs w:val="20"/>
        </w:rPr>
        <w:t>Điều 1. Phạm vi điều chỉnh.</w:t>
      </w:r>
    </w:p>
    <w:p w14:paraId="7753CE30"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Luật này quy định về việc thực hiện quyền tiếp cận thông tin của công dân; trách nhiệm của cơ quan nhà nước, đơn vị sự nghiệp công lập có nhiệm vụ cung ứng dịch vụ sự nghiệp công cơ bản, thiết yếu (sau đây gọi là cơ quan, đơn vị) trong việc bảo đảm quyền tiếp cận thông tin của công dân.</w:t>
      </w:r>
    </w:p>
    <w:p w14:paraId="651A0DB5"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b/>
          <w:color w:val="000000" w:themeColor="text1"/>
          <w:sz w:val="20"/>
          <w:szCs w:val="20"/>
        </w:rPr>
        <w:t>Điều 2. Giải thích từ ngữ</w:t>
      </w:r>
    </w:p>
    <w:p w14:paraId="338CC5C7"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Trong Luật này, các từ ngữ dưới đây được hiểu như sau:</w:t>
      </w:r>
    </w:p>
    <w:p w14:paraId="3A8C21C9"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 xml:space="preserve">1. </w:t>
      </w:r>
      <w:r w:rsidRPr="00B67246">
        <w:rPr>
          <w:rFonts w:ascii="Arial" w:hAnsi="Arial" w:cs="Arial"/>
          <w:i/>
          <w:color w:val="000000" w:themeColor="text1"/>
          <w:sz w:val="20"/>
          <w:szCs w:val="20"/>
        </w:rPr>
        <w:t>Thông tin</w:t>
      </w:r>
      <w:r w:rsidRPr="00B67246">
        <w:rPr>
          <w:rFonts w:ascii="Arial" w:hAnsi="Arial" w:cs="Arial"/>
          <w:color w:val="000000" w:themeColor="text1"/>
          <w:sz w:val="20"/>
          <w:szCs w:val="20"/>
        </w:rPr>
        <w:t xml:space="preserve"> là tin, dữ liệu được chứa đựng trong văn bản, hồ sơ, tài liệu có sẵn, tồn tại dưới dạng bản viết, bản in, bản điện tử, tranh, ảnh, bản vẽ, băng, đĩa, bản ghi hình, ghi âm hoặc các dạng khác do cơ quan, đơn vị tạo ra hoặc nắm giữ</w:t>
      </w:r>
    </w:p>
    <w:p w14:paraId="2CF8E23B"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 xml:space="preserve">2. </w:t>
      </w:r>
      <w:r w:rsidRPr="00B67246">
        <w:rPr>
          <w:rFonts w:ascii="Arial" w:hAnsi="Arial" w:cs="Arial"/>
          <w:i/>
          <w:color w:val="000000" w:themeColor="text1"/>
          <w:sz w:val="20"/>
          <w:szCs w:val="20"/>
        </w:rPr>
        <w:t>Thông tin do cơ quan, đơn vị tạo ra</w:t>
      </w:r>
      <w:r w:rsidRPr="00B67246">
        <w:rPr>
          <w:rFonts w:ascii="Arial" w:hAnsi="Arial" w:cs="Arial"/>
          <w:color w:val="000000" w:themeColor="text1"/>
          <w:sz w:val="20"/>
          <w:szCs w:val="20"/>
        </w:rPr>
        <w:t xml:space="preserve"> là thông tin được tạo ra trong quá trình cơ quan, đơn vị thực hiện chức năng, nhiệm vụ, quyền hạn theo quy định của pháp luật, được người có thẩm quyền của cơ quan, đơn vị đó ký, đóng dấu hoặc xác nhận bằng văn bản.</w:t>
      </w:r>
    </w:p>
    <w:p w14:paraId="630BAC7A"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 xml:space="preserve">3. </w:t>
      </w:r>
      <w:r w:rsidRPr="00B67246">
        <w:rPr>
          <w:rFonts w:ascii="Arial" w:hAnsi="Arial" w:cs="Arial"/>
          <w:i/>
          <w:color w:val="000000" w:themeColor="text1"/>
          <w:sz w:val="20"/>
          <w:szCs w:val="20"/>
        </w:rPr>
        <w:t>Thông tin do cơ quan, đơn vị nắm giữ</w:t>
      </w:r>
      <w:r w:rsidRPr="00B67246">
        <w:rPr>
          <w:rFonts w:ascii="Arial" w:hAnsi="Arial" w:cs="Arial"/>
          <w:color w:val="000000" w:themeColor="text1"/>
          <w:sz w:val="20"/>
          <w:szCs w:val="20"/>
        </w:rPr>
        <w:t xml:space="preserve"> là thông tin do cơ quan, đơn vị nhận được trong quá trình thực hiện chức năng, nhiệm vụ, quyền hạn theo quy định của pháp luật.</w:t>
      </w:r>
    </w:p>
    <w:p w14:paraId="51E4A341"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 xml:space="preserve">4. </w:t>
      </w:r>
      <w:r w:rsidRPr="00B67246">
        <w:rPr>
          <w:rFonts w:ascii="Arial" w:hAnsi="Arial" w:cs="Arial"/>
          <w:i/>
          <w:color w:val="000000" w:themeColor="text1"/>
          <w:sz w:val="20"/>
          <w:szCs w:val="20"/>
        </w:rPr>
        <w:t>Tiếp cận thông tin</w:t>
      </w:r>
      <w:r w:rsidRPr="00B67246">
        <w:rPr>
          <w:rFonts w:ascii="Arial" w:hAnsi="Arial" w:cs="Arial"/>
          <w:color w:val="000000" w:themeColor="text1"/>
          <w:sz w:val="20"/>
          <w:szCs w:val="20"/>
        </w:rPr>
        <w:t xml:space="preserve"> là việc đọc, xem, nghe, ghi chép, sao chép, chụp, tải về thông tin.</w:t>
      </w:r>
    </w:p>
    <w:p w14:paraId="4B57D3C6"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 xml:space="preserve">5. </w:t>
      </w:r>
      <w:r w:rsidRPr="00B67246">
        <w:rPr>
          <w:rFonts w:ascii="Arial" w:hAnsi="Arial" w:cs="Arial"/>
          <w:i/>
          <w:color w:val="000000" w:themeColor="text1"/>
          <w:sz w:val="20"/>
          <w:szCs w:val="20"/>
        </w:rPr>
        <w:t>Cung cấp thông tin</w:t>
      </w:r>
      <w:r w:rsidRPr="00B67246">
        <w:rPr>
          <w:rFonts w:ascii="Arial" w:hAnsi="Arial" w:cs="Arial"/>
          <w:color w:val="000000" w:themeColor="text1"/>
          <w:sz w:val="20"/>
          <w:szCs w:val="20"/>
        </w:rPr>
        <w:t xml:space="preserve"> bao gồm việc cơ quan, đơn vị công khai thông tin và cung cấp thông tin theo yêu cầu của công dân.</w:t>
      </w:r>
    </w:p>
    <w:p w14:paraId="036420A2"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b/>
          <w:color w:val="000000" w:themeColor="text1"/>
          <w:sz w:val="20"/>
          <w:szCs w:val="20"/>
        </w:rPr>
        <w:t>Điều 3. Nguyên tắc bảo đảm quyền tiếp cận thông tin</w:t>
      </w:r>
    </w:p>
    <w:p w14:paraId="3344A831"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1. Mọi công dân đều bình đẳng, không bị phân biệt đối xử trong việc thực hiện quyền tiếp cận thông tin. Người khuyết tật, người dân tộc thiểu số, người sinh sống ở khu vực biên giới, hải đảo, miền núi, vùng đồng bào dân tộc thiểu số, vùng có điều kiện kinh tế - xã hội khó khăn và đặc biệt khó khăn được Nhà nước hỗ trợ, tạo điều kiện thuận lợi khi thực hiện quyền tiếp cận thông tin.</w:t>
      </w:r>
    </w:p>
    <w:p w14:paraId="6BF52243"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2. Thông tin được cung cấp phải chính xác, đầy đủ.</w:t>
      </w:r>
    </w:p>
    <w:p w14:paraId="3630429A"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3. Việc cung cấp thông tin phải đúng trình tự, thủ tục theo quy định của pháp luật; đẩy mạnh ứng dụng công nghệ thông tin, chuyển đổi số, tăng cường cung cấp thông tin trên môi trường số; bảo đảm việc cung cấp thông tin kịp thời, minh bạch, thuận lợi cho công dân.</w:t>
      </w:r>
    </w:p>
    <w:p w14:paraId="342F7C48" w14:textId="65478A46"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4. Việc hạn chế quyền tiếp cận thông tin phải do luật định trong trường</w:t>
      </w:r>
      <w:r w:rsidR="00B67246">
        <w:rPr>
          <w:rFonts w:ascii="Arial" w:hAnsi="Arial" w:cs="Arial"/>
          <w:color w:val="000000" w:themeColor="text1"/>
          <w:sz w:val="20"/>
          <w:szCs w:val="20"/>
        </w:rPr>
        <w:t xml:space="preserve"> </w:t>
      </w:r>
      <w:r w:rsidRPr="00B67246">
        <w:rPr>
          <w:rFonts w:ascii="Arial" w:hAnsi="Arial" w:cs="Arial"/>
          <w:color w:val="000000" w:themeColor="text1"/>
          <w:sz w:val="20"/>
          <w:szCs w:val="20"/>
        </w:rPr>
        <w:t>hợp cần thiết vì lý do quốc phòng, an ninh quốc gia, trật tự, an toàn xã hội, đạo đức xã hội, sức khỏe của cộng đồng.</w:t>
      </w:r>
    </w:p>
    <w:p w14:paraId="012B972D" w14:textId="3AB1E923"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5. Việc thực hiện quyền tiếp cận thông tin của công dân không được xâm</w:t>
      </w:r>
      <w:r w:rsidR="00B67246">
        <w:rPr>
          <w:rFonts w:ascii="Arial" w:hAnsi="Arial" w:cs="Arial"/>
          <w:color w:val="000000" w:themeColor="text1"/>
          <w:sz w:val="20"/>
          <w:szCs w:val="20"/>
        </w:rPr>
        <w:t xml:space="preserve"> </w:t>
      </w:r>
      <w:r w:rsidRPr="00B67246">
        <w:rPr>
          <w:rFonts w:ascii="Arial" w:hAnsi="Arial" w:cs="Arial"/>
          <w:color w:val="000000" w:themeColor="text1"/>
          <w:sz w:val="20"/>
          <w:szCs w:val="20"/>
        </w:rPr>
        <w:t>phạm lợi ích quốc gia, dân tộc, quyền và lợi ích hợp pháp của cơ quan, tổ chức hoặc của người khác.</w:t>
      </w:r>
    </w:p>
    <w:p w14:paraId="00533B98"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b/>
          <w:color w:val="000000" w:themeColor="text1"/>
          <w:sz w:val="20"/>
          <w:szCs w:val="20"/>
        </w:rPr>
        <w:t>Điều 4. Áp dụng pháp luật.</w:t>
      </w:r>
    </w:p>
    <w:p w14:paraId="1421EA13"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Luật này áp dụng chung cho việc tiếp cận thông tin của công dân. Trường hợp luật khác có quy định về việc tiếp cận thông tin mà không trái với nguyên tắc tại Điều 3 của Luật này thì được thực hiện theo quy định của luật đó.</w:t>
      </w:r>
    </w:p>
    <w:p w14:paraId="741D8E30"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b/>
          <w:color w:val="000000" w:themeColor="text1"/>
          <w:sz w:val="20"/>
          <w:szCs w:val="20"/>
        </w:rPr>
        <w:t>Điề</w:t>
      </w:r>
      <w:bookmarkStart w:id="0" w:name="_GoBack"/>
      <w:bookmarkEnd w:id="0"/>
      <w:r w:rsidRPr="00B67246">
        <w:rPr>
          <w:rFonts w:ascii="Arial" w:hAnsi="Arial" w:cs="Arial"/>
          <w:b/>
          <w:color w:val="000000" w:themeColor="text1"/>
          <w:sz w:val="20"/>
          <w:szCs w:val="20"/>
        </w:rPr>
        <w:t>u 5. Các hành vi bị nghiêm cấm</w:t>
      </w:r>
    </w:p>
    <w:p w14:paraId="2CE4AD1E"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lastRenderedPageBreak/>
        <w:t>1. Cố ý cung cấp thông tin sai lệch, không đầy đủ, trì hoãn cung cấp thông tin; không cung cấp thông tin theo quy định; hủy hoại thông tin; làm giả thông tin.</w:t>
      </w:r>
    </w:p>
    <w:p w14:paraId="5BD21E1B"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2. Cung cấp, sử dụng thông tin để chống lại Nhà nước Cộng hòa xã hội chủ nghĩa Việt Nam, phá hoại chính sách đoàn kết, xúc phạm tín ngưỡng, tôn giáo, kỳ thị, chia rẽ dân tộc, kích động bạo lực, gây ảnh hưởng đến quốc phòng, an ninh quốc gia, đối ngoại, trật tự, an toàn xã hội.</w:t>
      </w:r>
    </w:p>
    <w:p w14:paraId="26D9D338"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3. Cung cấp, sử dụng thông tin nhằm xúc phạm danh dự, nhân phẩm, uy tín, gây kỳ thị về giới, gây thiệt hại về tính mạng, sức khỏe, tài sản, xâm phạm các quyền và lợi ích hợp pháp khác của cơ quan, tổ chức, cá nhân.</w:t>
      </w:r>
    </w:p>
    <w:p w14:paraId="0D88C3EB"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4. Cản trở, đe dọa, trù dập người yêu cầu, người cung cấp thông tin; cản trở hoạt động cung cấp thông tin.</w:t>
      </w:r>
    </w:p>
    <w:p w14:paraId="2E758A53" w14:textId="5A11C3CD"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5. Phát tán, mua bán trái pháp luật hoặc cố ý làm lộ thông tin được cung</w:t>
      </w:r>
      <w:r w:rsidR="00B67246">
        <w:rPr>
          <w:rFonts w:ascii="Arial" w:hAnsi="Arial" w:cs="Arial"/>
          <w:color w:val="000000" w:themeColor="text1"/>
          <w:sz w:val="20"/>
          <w:szCs w:val="20"/>
        </w:rPr>
        <w:t xml:space="preserve"> </w:t>
      </w:r>
      <w:r w:rsidRPr="00B67246">
        <w:rPr>
          <w:rFonts w:ascii="Arial" w:hAnsi="Arial" w:cs="Arial"/>
          <w:color w:val="000000" w:themeColor="text1"/>
          <w:sz w:val="20"/>
          <w:szCs w:val="20"/>
        </w:rPr>
        <w:t>cấp liên quan đến đời sống riêng tư, bí mật cá nhân, dữ liệu cá nhân, bí mật gia đình, bí mật kinh doanh theo quy định tại Điều 16 của Luật này.;</w:t>
      </w:r>
    </w:p>
    <w:p w14:paraId="6E48537D"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6. Lợi dụng việc thực hiện quyền tiếp cận thông tin để thực hiện hành vi vi phạm pháp luật, gây cản trở đến hoạt động bình thường của cơ quan, tổ chức.</w:t>
      </w:r>
    </w:p>
    <w:p w14:paraId="67B7CB3C"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b/>
          <w:color w:val="000000" w:themeColor="text1"/>
          <w:sz w:val="20"/>
          <w:szCs w:val="20"/>
        </w:rPr>
        <w:t>Điều 6. Xử lý vi phạm</w:t>
      </w:r>
    </w:p>
    <w:p w14:paraId="10FC9B23"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1. Người nào có hành vi vi phạm quy định của pháp luật về tiếp cận thông tin thì tùy theo tính chất, mức độ vi phạm mà bị xử lý kỷ luật, xử lý vi phạm hành chính hoặc bị truy cứu trách nhiệm hình sự.</w:t>
      </w:r>
    </w:p>
    <w:p w14:paraId="45D83521"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2. Người cung cấp thông tin có hành vi vi phạm pháp luật, nếu gây thiệt hại thì phải chịu trách nhiệm bồi thường theo quy định của pháp luật.</w:t>
      </w:r>
    </w:p>
    <w:p w14:paraId="127AFB4C" w14:textId="04909226" w:rsidR="006F1EE8" w:rsidRDefault="009B742F" w:rsidP="00B67246">
      <w:pPr>
        <w:adjustRightInd w:val="0"/>
        <w:snapToGrid w:val="0"/>
        <w:spacing w:after="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3. Người thực hiện quyền tiếp cận thông tin sử dụng thông tin được cung cấp gây ảnh hưởng xấu đến quyền và lợi ích hợp pháp của cơ quan, tổ chức hoặc của người khác thì phải chịu trách nhiệm theo quy định của pháp luật.</w:t>
      </w:r>
    </w:p>
    <w:p w14:paraId="394372CE" w14:textId="77777777" w:rsidR="00B67246" w:rsidRPr="00B67246" w:rsidRDefault="00B67246" w:rsidP="00B67246">
      <w:pPr>
        <w:adjustRightInd w:val="0"/>
        <w:snapToGrid w:val="0"/>
        <w:spacing w:after="0" w:line="240" w:lineRule="auto"/>
        <w:jc w:val="center"/>
        <w:rPr>
          <w:rFonts w:ascii="Arial" w:hAnsi="Arial" w:cs="Arial"/>
          <w:color w:val="000000" w:themeColor="text1"/>
          <w:sz w:val="20"/>
          <w:szCs w:val="20"/>
        </w:rPr>
      </w:pPr>
    </w:p>
    <w:p w14:paraId="130750F4" w14:textId="77777777" w:rsidR="006F1EE8" w:rsidRPr="00B67246" w:rsidRDefault="009B742F" w:rsidP="00B67246">
      <w:pPr>
        <w:adjustRightInd w:val="0"/>
        <w:snapToGrid w:val="0"/>
        <w:spacing w:after="0" w:line="240" w:lineRule="auto"/>
        <w:jc w:val="center"/>
        <w:rPr>
          <w:rFonts w:ascii="Arial" w:hAnsi="Arial" w:cs="Arial"/>
          <w:color w:val="000000" w:themeColor="text1"/>
          <w:sz w:val="20"/>
          <w:szCs w:val="20"/>
        </w:rPr>
      </w:pPr>
      <w:r w:rsidRPr="00B67246">
        <w:rPr>
          <w:rFonts w:ascii="Arial" w:hAnsi="Arial" w:cs="Arial"/>
          <w:b/>
          <w:color w:val="000000" w:themeColor="text1"/>
          <w:sz w:val="20"/>
          <w:szCs w:val="20"/>
        </w:rPr>
        <w:t>Chương II</w:t>
      </w:r>
    </w:p>
    <w:p w14:paraId="1AB958EA" w14:textId="570AAD89" w:rsidR="006F1EE8" w:rsidRDefault="009B742F" w:rsidP="00B67246">
      <w:pPr>
        <w:adjustRightInd w:val="0"/>
        <w:snapToGrid w:val="0"/>
        <w:spacing w:after="0" w:line="240" w:lineRule="auto"/>
        <w:jc w:val="center"/>
        <w:rPr>
          <w:rFonts w:ascii="Arial" w:hAnsi="Arial" w:cs="Arial"/>
          <w:b/>
          <w:color w:val="000000" w:themeColor="text1"/>
          <w:sz w:val="20"/>
          <w:szCs w:val="20"/>
        </w:rPr>
      </w:pPr>
      <w:r w:rsidRPr="00B67246">
        <w:rPr>
          <w:rFonts w:ascii="Arial" w:hAnsi="Arial" w:cs="Arial"/>
          <w:b/>
          <w:color w:val="000000" w:themeColor="text1"/>
          <w:sz w:val="20"/>
          <w:szCs w:val="20"/>
        </w:rPr>
        <w:t xml:space="preserve">QUYỀN VÀ NGHĨA VỤ CỦA CÔNG DÂN TRONG VIỆC TIẾP CẬN </w:t>
      </w:r>
      <w:r w:rsidR="00B67246">
        <w:rPr>
          <w:rFonts w:ascii="Arial" w:hAnsi="Arial" w:cs="Arial"/>
          <w:b/>
          <w:color w:val="000000" w:themeColor="text1"/>
          <w:sz w:val="20"/>
          <w:szCs w:val="20"/>
        </w:rPr>
        <w:br/>
      </w:r>
      <w:r w:rsidRPr="00B67246">
        <w:rPr>
          <w:rFonts w:ascii="Arial" w:hAnsi="Arial" w:cs="Arial"/>
          <w:b/>
          <w:color w:val="000000" w:themeColor="text1"/>
          <w:sz w:val="20"/>
          <w:szCs w:val="20"/>
        </w:rPr>
        <w:t xml:space="preserve">THÔNG TIN; TRÁCH NHIỆM CỦA CƠ QUAN, ĐƠN VỊ TRONG VIỆC </w:t>
      </w:r>
      <w:r w:rsidR="00B67246">
        <w:rPr>
          <w:rFonts w:ascii="Arial" w:hAnsi="Arial" w:cs="Arial"/>
          <w:b/>
          <w:color w:val="000000" w:themeColor="text1"/>
          <w:sz w:val="20"/>
          <w:szCs w:val="20"/>
        </w:rPr>
        <w:br/>
      </w:r>
      <w:r w:rsidRPr="00B67246">
        <w:rPr>
          <w:rFonts w:ascii="Arial" w:hAnsi="Arial" w:cs="Arial"/>
          <w:b/>
          <w:color w:val="000000" w:themeColor="text1"/>
          <w:sz w:val="20"/>
          <w:szCs w:val="20"/>
        </w:rPr>
        <w:t>BẢO ĐẢM THỰC HIỆN QUYỀN TIẾP CẬN THÔNG TIN</w:t>
      </w:r>
    </w:p>
    <w:p w14:paraId="42948544" w14:textId="77777777" w:rsidR="00B67246" w:rsidRPr="00B67246" w:rsidRDefault="00B67246" w:rsidP="00B67246">
      <w:pPr>
        <w:adjustRightInd w:val="0"/>
        <w:snapToGrid w:val="0"/>
        <w:spacing w:after="0" w:line="240" w:lineRule="auto"/>
        <w:jc w:val="center"/>
        <w:rPr>
          <w:rFonts w:ascii="Arial" w:hAnsi="Arial" w:cs="Arial"/>
          <w:color w:val="000000" w:themeColor="text1"/>
          <w:sz w:val="20"/>
          <w:szCs w:val="20"/>
        </w:rPr>
      </w:pPr>
    </w:p>
    <w:p w14:paraId="5394CC4B"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b/>
          <w:color w:val="000000" w:themeColor="text1"/>
          <w:sz w:val="20"/>
          <w:szCs w:val="20"/>
        </w:rPr>
        <w:t>Điều 7. Người thực hiện quyền tiếp cận thông tin</w:t>
      </w:r>
    </w:p>
    <w:p w14:paraId="0E6E376F"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1. Công dân thực hiện quyền tiếp cận thông tin theo quy định của Luật này.</w:t>
      </w:r>
    </w:p>
    <w:p w14:paraId="35515D2A"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2. Người mất năng lực hành vi dân sự thực hiện yêu cầu cung cấp thông tin thông qua người đại diện theo pháp luật.</w:t>
      </w:r>
    </w:p>
    <w:p w14:paraId="0D6FE4CF"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Người có khó khăn trong nhận thức, làm chủ hành vi thực hiện yêu cầu cung cấp thông tin thông qua người giám hộ.</w:t>
      </w:r>
    </w:p>
    <w:p w14:paraId="18A996CB"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3. Người dưới 18 tuổi có thể tự mình hoặc được sự đồng ý của người đại diện hoặc thông qua người đại diện theo quy định của pháp luật dân sự để thực hiện việc yêu cầu cung cấp thông tin, trừ trường hợp Luật Trẻ em và luật khác có quy định khác.</w:t>
      </w:r>
    </w:p>
    <w:p w14:paraId="3D0AA910"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b/>
          <w:color w:val="000000" w:themeColor="text1"/>
          <w:sz w:val="20"/>
          <w:szCs w:val="20"/>
        </w:rPr>
        <w:t>Điều 8. Quyền và nghĩa vụ của công dân trong việc tiếp cận thông tin</w:t>
      </w:r>
    </w:p>
    <w:p w14:paraId="5D0490F2"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1. Công dân có các quyền sau đây:</w:t>
      </w:r>
    </w:p>
    <w:p w14:paraId="13396E5B"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a) Được cung cấp thông tin chính xác, đầy đủ, kịp thời, minh bạch, thuận lợi;</w:t>
      </w:r>
    </w:p>
    <w:p w14:paraId="1D4B55C1"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b) Khiếu nại, tố cáo, khởi kiện hành vi vi phạm pháp luật về tiếp cận thông tin theo quy định tại Điều 13 của Luật này.</w:t>
      </w:r>
    </w:p>
    <w:p w14:paraId="6E258588"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2. Công dân có các nghĩa vụ sau đây:</w:t>
      </w:r>
    </w:p>
    <w:p w14:paraId="3080A9FE"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a) Tuân thủ quy định của pháp luật về tiếp cận thông tin;</w:t>
      </w:r>
    </w:p>
    <w:p w14:paraId="53064B37"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b) Không làm sai lệch nội dung thông tin đã được cung cấp;</w:t>
      </w:r>
    </w:p>
    <w:p w14:paraId="338063EF"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c) Không xâm phạm quyền và lợi ích hợp pháp của cơ quan, tổ chức hoặc của người khác khi thực hiện quyền tiếp cận thông tin</w:t>
      </w:r>
    </w:p>
    <w:p w14:paraId="5F869154"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b/>
          <w:color w:val="000000" w:themeColor="text1"/>
          <w:sz w:val="20"/>
          <w:szCs w:val="20"/>
        </w:rPr>
        <w:lastRenderedPageBreak/>
        <w:t>Điều 9. Phương thức tiếp cận thông tin</w:t>
      </w:r>
    </w:p>
    <w:p w14:paraId="4882249F"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Công dân thực hiện tiếp cận thông tin bằng các phương thức sau đây:</w:t>
      </w:r>
    </w:p>
    <w:p w14:paraId="43C3D130"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1. Tự do tiếp cận thông tin được cơ quan, đơn vị công khai;</w:t>
      </w:r>
    </w:p>
    <w:p w14:paraId="4A3CE7B8"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2. Yêu cầu cơ quan, đơn vị cung cấp thông tin.</w:t>
      </w:r>
    </w:p>
    <w:p w14:paraId="1D924A0C"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b/>
          <w:color w:val="000000" w:themeColor="text1"/>
          <w:sz w:val="20"/>
          <w:szCs w:val="20"/>
        </w:rPr>
        <w:t>Điều 10. Phạm vi và trách nhiệm cung cấp thông tin</w:t>
      </w:r>
    </w:p>
    <w:p w14:paraId="102F7DC9"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1. Cơ quan, đơn vị có trách nhiệm cung cấp thông tin do mình tạo ra, trừ trường hợp quy định tại Điều 15 của Luật này; đối với trường hợp quy định tại Điều 16 của Luật này thì cung cấp thông tin khi có đủ điều kiện theo quy định.</w:t>
      </w:r>
    </w:p>
    <w:p w14:paraId="08F9502E"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2. Cơ quan, đơn vị trực tiếp tổ chức thực hiện việc cung cấp thông tin, trừ các trường hợp sau đây:</w:t>
      </w:r>
    </w:p>
    <w:p w14:paraId="5F85A51D" w14:textId="753B734D"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 xml:space="preserve">a) Văn phòng Quốc hội có trách nhiệm cung cấp thông tin do Quốc hội, </w:t>
      </w:r>
      <w:r w:rsidR="00B67246">
        <w:rPr>
          <w:rFonts w:ascii="Arial" w:hAnsi="Arial" w:cs="Arial"/>
          <w:color w:val="000000" w:themeColor="text1"/>
          <w:sz w:val="20"/>
          <w:szCs w:val="20"/>
        </w:rPr>
        <w:t>Ủy ban</w:t>
      </w:r>
      <w:r w:rsidRPr="00B67246">
        <w:rPr>
          <w:rFonts w:ascii="Arial" w:hAnsi="Arial" w:cs="Arial"/>
          <w:color w:val="000000" w:themeColor="text1"/>
          <w:sz w:val="20"/>
          <w:szCs w:val="20"/>
        </w:rPr>
        <w:t xml:space="preserve"> Thường vụ Quốc hội, cơ quan của Quốc hội, Hội đồng bầu cử quốc gia tạo ra và thông tin do mình tạo ra;</w:t>
      </w:r>
    </w:p>
    <w:p w14:paraId="251C306A"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b) Văn phòng Chủ tịch nước có trách nhiệm cung cấp thông tin do Chủ tịch nước tạo ra và thông tin do mình tạo ra;</w:t>
      </w:r>
    </w:p>
    <w:p w14:paraId="457A150B"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c) Văn phòng Chính phủ có trách nhiệm cung cấp thông tin do Chính phủ, Thủ tướng Chính phủ tạo ra và thông tin do mình tạo ra;</w:t>
      </w:r>
    </w:p>
    <w:p w14:paraId="77862C39"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d) Văn phòng Đoàn đại biểu Quốc hội và Hội đồng nhân dân cấp tỉnh có trách nhiệm cung cấp thông tin do Đoàn đại biểu Quốc hội, Hội đồng nhân dân, Thường trực Hội đồng nhân dân, các cơ quan của Hội đồng nhân dân cấp tỉnh tạo ra và thông tin do mình tạo ra;</w:t>
      </w:r>
    </w:p>
    <w:p w14:paraId="715B6FC1" w14:textId="5064E741"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 xml:space="preserve">đ) Đơn vị đầu mối do </w:t>
      </w:r>
      <w:r w:rsidR="00B67246">
        <w:rPr>
          <w:rFonts w:ascii="Arial" w:hAnsi="Arial" w:cs="Arial"/>
          <w:color w:val="000000" w:themeColor="text1"/>
          <w:sz w:val="20"/>
          <w:szCs w:val="20"/>
        </w:rPr>
        <w:t>Ủy ban</w:t>
      </w:r>
      <w:r w:rsidRPr="00B67246">
        <w:rPr>
          <w:rFonts w:ascii="Arial" w:hAnsi="Arial" w:cs="Arial"/>
          <w:color w:val="000000" w:themeColor="text1"/>
          <w:sz w:val="20"/>
          <w:szCs w:val="20"/>
        </w:rPr>
        <w:t xml:space="preserve"> nhân dân cấp tỉnh xác định có trách nhiệm cung cấp thông tin do </w:t>
      </w:r>
      <w:r w:rsidR="00B67246">
        <w:rPr>
          <w:rFonts w:ascii="Arial" w:hAnsi="Arial" w:cs="Arial"/>
          <w:color w:val="000000" w:themeColor="text1"/>
          <w:sz w:val="20"/>
          <w:szCs w:val="20"/>
        </w:rPr>
        <w:t>Ủy ban</w:t>
      </w:r>
      <w:r w:rsidRPr="00B67246">
        <w:rPr>
          <w:rFonts w:ascii="Arial" w:hAnsi="Arial" w:cs="Arial"/>
          <w:color w:val="000000" w:themeColor="text1"/>
          <w:sz w:val="20"/>
          <w:szCs w:val="20"/>
        </w:rPr>
        <w:t xml:space="preserve"> nhân dân, Chủ tịch </w:t>
      </w:r>
      <w:r w:rsidR="00B67246">
        <w:rPr>
          <w:rFonts w:ascii="Arial" w:hAnsi="Arial" w:cs="Arial"/>
          <w:color w:val="000000" w:themeColor="text1"/>
          <w:sz w:val="20"/>
          <w:szCs w:val="20"/>
        </w:rPr>
        <w:t>Ủy ban</w:t>
      </w:r>
      <w:r w:rsidRPr="00B67246">
        <w:rPr>
          <w:rFonts w:ascii="Arial" w:hAnsi="Arial" w:cs="Arial"/>
          <w:color w:val="000000" w:themeColor="text1"/>
          <w:sz w:val="20"/>
          <w:szCs w:val="20"/>
        </w:rPr>
        <w:t xml:space="preserve"> nhân dân cấp tỉnh tạo ra và thông tin do mình tạo ra;</w:t>
      </w:r>
    </w:p>
    <w:p w14:paraId="5BDB326D" w14:textId="404D6AED"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 xml:space="preserve">e) Đơn vị đầu mối do </w:t>
      </w:r>
      <w:r w:rsidR="00B67246">
        <w:rPr>
          <w:rFonts w:ascii="Arial" w:hAnsi="Arial" w:cs="Arial"/>
          <w:color w:val="000000" w:themeColor="text1"/>
          <w:sz w:val="20"/>
          <w:szCs w:val="20"/>
        </w:rPr>
        <w:t>Ủy ban</w:t>
      </w:r>
      <w:r w:rsidRPr="00B67246">
        <w:rPr>
          <w:rFonts w:ascii="Arial" w:hAnsi="Arial" w:cs="Arial"/>
          <w:color w:val="000000" w:themeColor="text1"/>
          <w:sz w:val="20"/>
          <w:szCs w:val="20"/>
        </w:rPr>
        <w:t xml:space="preserve"> nhân dân cấp xã xác định có trách nhiệm cung cấp cho công dân cư trú trên địa bàn thông tin do Hội đồng nhân dân, Thường trực Hội đồng nhân dân, các cơ quan của Hội đồng nhân dân, </w:t>
      </w:r>
      <w:r w:rsidR="00B67246">
        <w:rPr>
          <w:rFonts w:ascii="Arial" w:hAnsi="Arial" w:cs="Arial"/>
          <w:color w:val="000000" w:themeColor="text1"/>
          <w:sz w:val="20"/>
          <w:szCs w:val="20"/>
        </w:rPr>
        <w:t>Ủy ban</w:t>
      </w:r>
      <w:r w:rsidRPr="00B67246">
        <w:rPr>
          <w:rFonts w:ascii="Arial" w:hAnsi="Arial" w:cs="Arial"/>
          <w:color w:val="000000" w:themeColor="text1"/>
          <w:sz w:val="20"/>
          <w:szCs w:val="20"/>
        </w:rPr>
        <w:t xml:space="preserve"> nhân dân, Chủ tịch </w:t>
      </w:r>
      <w:r w:rsidR="00B67246">
        <w:rPr>
          <w:rFonts w:ascii="Arial" w:hAnsi="Arial" w:cs="Arial"/>
          <w:color w:val="000000" w:themeColor="text1"/>
          <w:sz w:val="20"/>
          <w:szCs w:val="20"/>
        </w:rPr>
        <w:t>Ủy ban</w:t>
      </w:r>
      <w:r w:rsidRPr="00B67246">
        <w:rPr>
          <w:rFonts w:ascii="Arial" w:hAnsi="Arial" w:cs="Arial"/>
          <w:color w:val="000000" w:themeColor="text1"/>
          <w:sz w:val="20"/>
          <w:szCs w:val="20"/>
        </w:rPr>
        <w:t xml:space="preserve"> nhân dân, các cơ quan chuyên môn, tổ chức hành chính khác của cấp mình tạo ra và thông tin do mình tạo ra; cung cấp cho công dân khác thông tin này trong trường hợp liên quan trực tiếp đến quyền và lợi ích hợp pháp của họ;</w:t>
      </w:r>
    </w:p>
    <w:p w14:paraId="032A6E6C"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g) Bộ trưởng Bộ Quốc phòng, Bộ trưởng Bộ Công an quy định đầu mối thực hiện cung cấp thông tin trong hệ thống tổ chức của mình.</w:t>
      </w:r>
    </w:p>
    <w:p w14:paraId="0DDACB27"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3. Cơ quan, đơn vị có trách nhiệm cung cấp thông tin do mình nắm giữ trong trường hợp việc cung cấp thông tin là cần thiết để bảo vệ lợi ích công cộng, sức khỏe của cộng đồng.</w:t>
      </w:r>
    </w:p>
    <w:p w14:paraId="1DB04734"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4. Đối với hồ sơ, tài liệu có chứa cả thông tin công dân không được tiếp cận, thông tin công dân được tiếp cận và các phần thông tin có thể được phân tách hợp lý, các cơ quan, đơn vị xem xét, quyết định cung cấp một phần hồ sơ, tài liệu chứa thông tin công dân được tiếp cận.</w:t>
      </w:r>
    </w:p>
    <w:p w14:paraId="0EA84A92"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b/>
          <w:color w:val="000000" w:themeColor="text1"/>
          <w:sz w:val="20"/>
          <w:szCs w:val="20"/>
        </w:rPr>
        <w:t>Điều 11. Trách nhiệm của cơ quan, đơn vị trong việc bảo đảm thực hiện quyền tiếp cận thông tin</w:t>
      </w:r>
    </w:p>
    <w:p w14:paraId="69416AC0"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1. Cơ quan, đơn vị có trách nhiệm thực hiện các biện pháp bảo đảm quyền tiếp cận thông tin; tạo điều kiện thuận lợi để người khuyết tật, người dân tộc thiểu số, người sinh sống ở khu vực biên giới, hải đảo, miền núi, vùng đồng bào dân tộc thiểu số, vùng có điều kiện kinh tế - xã hội khó khăn và đặc biệt khó khăn thực hiện quyền tiếp cận thông tin.</w:t>
      </w:r>
    </w:p>
    <w:p w14:paraId="0DA92BEF"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2. Cơ quan, đơn vị tạo điều kiện và khuyến khích doanh nghiệp, tổ chức, cá nhân nghiên cứu, áp dụng tiến bộ khoa học, công nghệ vào việc xây dựng hệ thống thông tin công cộng; có trách nhiệm nâng cấp, đầu tư các trang thiết bị chuyên dùng phục vụ cho hoạt động cung cấp thông tin của cơ quan, đơn vị ở khu vực biên giới, hải đảo, miền núi, vùng đồng bào dân tộc thiểu số, vùng có điều kiện kinh tế - xã hội khó khăn và đặc biệt khó khăn theo quy định của pháp luật có liên quan.</w:t>
      </w:r>
    </w:p>
    <w:p w14:paraId="2E071DAF"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3. Cổng thông tin điện tử, trang thông tin điện tử của cơ quan, đơn vị được kết nối, tích hợp với cổng thông tin điện tử, trang thông tin điện tử của cơ quan, đơn vị trực thuộc để cập nhật, chia sẻ thông tin, tạo thuận lợi cho công dân.</w:t>
      </w:r>
    </w:p>
    <w:p w14:paraId="620A7C58"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Các cơ quan, đơn vị có trách nhiệm duy trì, lưu giữ, cập nhật cơ sở dữ liệu thông tin, bảo đảm thông tin có hệ thống, đầy đủ, toàn diện, dễ dàng tra cứu, tải về, sử dụng.</w:t>
      </w:r>
    </w:p>
    <w:p w14:paraId="47511788"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lastRenderedPageBreak/>
        <w:t>4. Cơ quan, đơn vị có trách nhiệm rà soát, phân loại, kiểm tra và bảo đảm tính bí mật của thông tin trước khi cung cấp.</w:t>
      </w:r>
    </w:p>
    <w:p w14:paraId="0D0094E6" w14:textId="615EC598"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 xml:space="preserve">5. Bộ, cơ quan ngang Bộ, cơ quan thuộc Chính phủ, </w:t>
      </w:r>
      <w:r w:rsidR="00B67246">
        <w:rPr>
          <w:rFonts w:ascii="Arial" w:hAnsi="Arial" w:cs="Arial"/>
          <w:color w:val="000000" w:themeColor="text1"/>
          <w:sz w:val="20"/>
          <w:szCs w:val="20"/>
        </w:rPr>
        <w:t>Ủy ban</w:t>
      </w:r>
      <w:r w:rsidRPr="00B67246">
        <w:rPr>
          <w:rFonts w:ascii="Arial" w:hAnsi="Arial" w:cs="Arial"/>
          <w:color w:val="000000" w:themeColor="text1"/>
          <w:sz w:val="20"/>
          <w:szCs w:val="20"/>
        </w:rPr>
        <w:t xml:space="preserve"> nhân dân các cấp có trách nhiệm lập và công khai danh mục đơn vị sự nghiệp công lập có nhiệm vụ cung ứng dịch vụ sự nghiệp công cơ bản, thiết yếu thuộc phạm vi quản lý. Cơ quan, đơn vị có trách nhiệm công bố thủ tục hành chính về cung cấp thông tin theo quy định.</w:t>
      </w:r>
    </w:p>
    <w:p w14:paraId="6A5D02E2" w14:textId="28DCA2CF"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 xml:space="preserve">6. Theo chức năng, nhiệm vụ được giao, các Bộ, cơ quan ngang Bộ, cơ quan thuộc Chính phủ, </w:t>
      </w:r>
      <w:r w:rsidR="00B67246">
        <w:rPr>
          <w:rFonts w:ascii="Arial" w:hAnsi="Arial" w:cs="Arial"/>
          <w:color w:val="000000" w:themeColor="text1"/>
          <w:sz w:val="20"/>
          <w:szCs w:val="20"/>
        </w:rPr>
        <w:t>Ủy ban</w:t>
      </w:r>
      <w:r w:rsidRPr="00B67246">
        <w:rPr>
          <w:rFonts w:ascii="Arial" w:hAnsi="Arial" w:cs="Arial"/>
          <w:color w:val="000000" w:themeColor="text1"/>
          <w:sz w:val="20"/>
          <w:szCs w:val="20"/>
        </w:rPr>
        <w:t xml:space="preserve"> nhân dân các cấp thực hiện các biện pháp bảo đảm quyền tiếp cận thông tin theo quy định của Chính phủ.</w:t>
      </w:r>
    </w:p>
    <w:p w14:paraId="0D44954F"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7. Chính phủ thống nhất quản lý nhà nước về tiếp cận thông tin; quy định chi tiết khoản 1 và khoản 4 của Điều này.</w:t>
      </w:r>
    </w:p>
    <w:p w14:paraId="1B20BF2F"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b/>
          <w:color w:val="000000" w:themeColor="text1"/>
          <w:sz w:val="20"/>
          <w:szCs w:val="20"/>
        </w:rPr>
        <w:t>Điều 12. Giám sát việc bảo đảm thực hiện quyền tiếp cận thông tin</w:t>
      </w:r>
    </w:p>
    <w:p w14:paraId="52532C7D" w14:textId="52BCD403"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 xml:space="preserve">Quốc hội, </w:t>
      </w:r>
      <w:r w:rsidR="00B67246">
        <w:rPr>
          <w:rFonts w:ascii="Arial" w:hAnsi="Arial" w:cs="Arial"/>
          <w:color w:val="000000" w:themeColor="text1"/>
          <w:sz w:val="20"/>
          <w:szCs w:val="20"/>
        </w:rPr>
        <w:t>Ủy ban</w:t>
      </w:r>
      <w:r w:rsidRPr="00B67246">
        <w:rPr>
          <w:rFonts w:ascii="Arial" w:hAnsi="Arial" w:cs="Arial"/>
          <w:color w:val="000000" w:themeColor="text1"/>
          <w:sz w:val="20"/>
          <w:szCs w:val="20"/>
        </w:rPr>
        <w:t xml:space="preserve"> Thường vụ Quốc hội, Hội đồng nhân dân các cấp, Mặt trận Tổ quốc Việt Nam và các cơ quan, tổ chức có thẩm quyền, trong phạm vi nhiệm vụ, quyền hạn của mình, thực hiện giám sát việc bảo đảm thực hiện quyền tiếp cận thông tin của công dân theo quy định của pháp luật.</w:t>
      </w:r>
    </w:p>
    <w:p w14:paraId="5BDE9D03"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b/>
          <w:color w:val="000000" w:themeColor="text1"/>
          <w:sz w:val="20"/>
          <w:szCs w:val="20"/>
        </w:rPr>
        <w:t>Điều 13. Khiếu nại, tố cáo, khởi kiện</w:t>
      </w:r>
    </w:p>
    <w:p w14:paraId="08BFC8F6" w14:textId="3C93B61B"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1. Người yêu cầu cung cấp thông tin có quyền khiếu nại, khởi kiện đối</w:t>
      </w:r>
      <w:r w:rsidR="00B67246">
        <w:rPr>
          <w:rFonts w:ascii="Arial" w:hAnsi="Arial" w:cs="Arial"/>
          <w:color w:val="000000" w:themeColor="text1"/>
          <w:sz w:val="20"/>
          <w:szCs w:val="20"/>
        </w:rPr>
        <w:t xml:space="preserve"> </w:t>
      </w:r>
      <w:r w:rsidRPr="00B67246">
        <w:rPr>
          <w:rFonts w:ascii="Arial" w:hAnsi="Arial" w:cs="Arial"/>
          <w:color w:val="000000" w:themeColor="text1"/>
          <w:sz w:val="20"/>
          <w:szCs w:val="20"/>
        </w:rPr>
        <w:t>với cơ quan, đơn vị, người có trách nhiệm cung cấp thông tin quy định tại Điều 10 của Luật này.</w:t>
      </w:r>
    </w:p>
    <w:p w14:paraId="408D41AF"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2. Công dân có quyền tố cáo hành vi vi phạm pháp luật về tiếp cận thông tin.</w:t>
      </w:r>
    </w:p>
    <w:p w14:paraId="061DB8E2" w14:textId="4FB045B3" w:rsidR="006F1EE8" w:rsidRDefault="009B742F" w:rsidP="00B67246">
      <w:pPr>
        <w:adjustRightInd w:val="0"/>
        <w:snapToGrid w:val="0"/>
        <w:spacing w:after="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3. Khiếu nại, tố cáo, khởi kiện trong việc tiếp cận thông tin được thực hiện theo quy định của pháp luật về khiếu nại, tố cáo, tố tụng hành chính, trừ trường hợp pháp luật có liên quan quy định khác.</w:t>
      </w:r>
    </w:p>
    <w:p w14:paraId="386EB134" w14:textId="77777777" w:rsidR="00B67246" w:rsidRPr="00B67246" w:rsidRDefault="00B67246" w:rsidP="00B67246">
      <w:pPr>
        <w:adjustRightInd w:val="0"/>
        <w:snapToGrid w:val="0"/>
        <w:spacing w:after="0" w:line="240" w:lineRule="auto"/>
        <w:jc w:val="center"/>
        <w:rPr>
          <w:rFonts w:ascii="Arial" w:hAnsi="Arial" w:cs="Arial"/>
          <w:color w:val="000000" w:themeColor="text1"/>
          <w:sz w:val="20"/>
          <w:szCs w:val="20"/>
        </w:rPr>
      </w:pPr>
    </w:p>
    <w:p w14:paraId="3D4A7591" w14:textId="77777777" w:rsidR="006F1EE8" w:rsidRPr="00B67246" w:rsidRDefault="009B742F" w:rsidP="00B67246">
      <w:pPr>
        <w:adjustRightInd w:val="0"/>
        <w:snapToGrid w:val="0"/>
        <w:spacing w:after="0" w:line="240" w:lineRule="auto"/>
        <w:jc w:val="center"/>
        <w:rPr>
          <w:rFonts w:ascii="Arial" w:hAnsi="Arial" w:cs="Arial"/>
          <w:color w:val="000000" w:themeColor="text1"/>
          <w:sz w:val="20"/>
          <w:szCs w:val="20"/>
        </w:rPr>
      </w:pPr>
      <w:r w:rsidRPr="00B67246">
        <w:rPr>
          <w:rFonts w:ascii="Arial" w:hAnsi="Arial" w:cs="Arial"/>
          <w:b/>
          <w:color w:val="000000" w:themeColor="text1"/>
          <w:sz w:val="20"/>
          <w:szCs w:val="20"/>
        </w:rPr>
        <w:t>Chương III</w:t>
      </w:r>
    </w:p>
    <w:p w14:paraId="6C8D0FBE" w14:textId="0990F52E" w:rsidR="006F1EE8" w:rsidRDefault="009B742F" w:rsidP="00B67246">
      <w:pPr>
        <w:adjustRightInd w:val="0"/>
        <w:snapToGrid w:val="0"/>
        <w:spacing w:after="0" w:line="240" w:lineRule="auto"/>
        <w:jc w:val="center"/>
        <w:rPr>
          <w:rFonts w:ascii="Arial" w:hAnsi="Arial" w:cs="Arial"/>
          <w:b/>
          <w:color w:val="000000" w:themeColor="text1"/>
          <w:sz w:val="20"/>
          <w:szCs w:val="20"/>
        </w:rPr>
      </w:pPr>
      <w:r w:rsidRPr="00B67246">
        <w:rPr>
          <w:rFonts w:ascii="Arial" w:hAnsi="Arial" w:cs="Arial"/>
          <w:b/>
          <w:color w:val="000000" w:themeColor="text1"/>
          <w:sz w:val="20"/>
          <w:szCs w:val="20"/>
        </w:rPr>
        <w:t>CÔNG KHAI THÔNG TIN, CUNG CẤP THÔNG TIN THEO YÊU CẦU</w:t>
      </w:r>
    </w:p>
    <w:p w14:paraId="191A9EA9" w14:textId="77777777" w:rsidR="00B67246" w:rsidRPr="00B67246" w:rsidRDefault="00B67246" w:rsidP="00B67246">
      <w:pPr>
        <w:adjustRightInd w:val="0"/>
        <w:snapToGrid w:val="0"/>
        <w:spacing w:after="0" w:line="240" w:lineRule="auto"/>
        <w:jc w:val="center"/>
        <w:rPr>
          <w:rFonts w:ascii="Arial" w:hAnsi="Arial" w:cs="Arial"/>
          <w:color w:val="000000" w:themeColor="text1"/>
          <w:sz w:val="20"/>
          <w:szCs w:val="20"/>
        </w:rPr>
      </w:pPr>
    </w:p>
    <w:p w14:paraId="7AA1E494" w14:textId="77777777" w:rsidR="006F1EE8" w:rsidRPr="00B67246" w:rsidRDefault="009B742F" w:rsidP="00B67246">
      <w:pPr>
        <w:adjustRightInd w:val="0"/>
        <w:snapToGrid w:val="0"/>
        <w:spacing w:after="0" w:line="240" w:lineRule="auto"/>
        <w:jc w:val="center"/>
        <w:rPr>
          <w:rFonts w:ascii="Arial" w:hAnsi="Arial" w:cs="Arial"/>
          <w:color w:val="000000" w:themeColor="text1"/>
          <w:sz w:val="20"/>
          <w:szCs w:val="20"/>
        </w:rPr>
      </w:pPr>
      <w:r w:rsidRPr="00B67246">
        <w:rPr>
          <w:rFonts w:ascii="Arial" w:hAnsi="Arial" w:cs="Arial"/>
          <w:b/>
          <w:color w:val="000000" w:themeColor="text1"/>
          <w:sz w:val="20"/>
          <w:szCs w:val="20"/>
        </w:rPr>
        <w:t>Mục 1</w:t>
      </w:r>
    </w:p>
    <w:p w14:paraId="2FCB0C02" w14:textId="2D456EAC" w:rsidR="006F1EE8" w:rsidRDefault="009B742F" w:rsidP="00B67246">
      <w:pPr>
        <w:adjustRightInd w:val="0"/>
        <w:snapToGrid w:val="0"/>
        <w:spacing w:after="0" w:line="240" w:lineRule="auto"/>
        <w:jc w:val="center"/>
        <w:rPr>
          <w:rFonts w:ascii="Arial" w:hAnsi="Arial" w:cs="Arial"/>
          <w:b/>
          <w:color w:val="000000" w:themeColor="text1"/>
          <w:sz w:val="20"/>
          <w:szCs w:val="20"/>
        </w:rPr>
      </w:pPr>
      <w:r w:rsidRPr="00B67246">
        <w:rPr>
          <w:rFonts w:ascii="Arial" w:hAnsi="Arial" w:cs="Arial"/>
          <w:b/>
          <w:color w:val="000000" w:themeColor="text1"/>
          <w:sz w:val="20"/>
          <w:szCs w:val="20"/>
        </w:rPr>
        <w:t>PHẠM VI THÔNG TIN ĐƯỢC TIẾP CẬN</w:t>
      </w:r>
    </w:p>
    <w:p w14:paraId="5BB37594" w14:textId="77777777" w:rsidR="00B67246" w:rsidRPr="00B67246" w:rsidRDefault="00B67246" w:rsidP="00B67246">
      <w:pPr>
        <w:adjustRightInd w:val="0"/>
        <w:snapToGrid w:val="0"/>
        <w:spacing w:after="0" w:line="240" w:lineRule="auto"/>
        <w:jc w:val="center"/>
        <w:rPr>
          <w:rFonts w:ascii="Arial" w:hAnsi="Arial" w:cs="Arial"/>
          <w:color w:val="000000" w:themeColor="text1"/>
          <w:sz w:val="20"/>
          <w:szCs w:val="20"/>
        </w:rPr>
      </w:pPr>
    </w:p>
    <w:p w14:paraId="1B988783"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b/>
          <w:color w:val="000000" w:themeColor="text1"/>
          <w:sz w:val="20"/>
          <w:szCs w:val="20"/>
        </w:rPr>
        <w:t>Điều 14. Thông tin công dân được tiếp cận</w:t>
      </w:r>
    </w:p>
    <w:p w14:paraId="45937DD0"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Công dân được tiếp cận thông tin của cơ quan, đơn vị, trừ thông tin không được tiếp cận quy định tại Điều 15 của Luật này; được tiếp cận có điều kiện đối với thông tin quy định tại Điều 16 của Luật này.</w:t>
      </w:r>
    </w:p>
    <w:p w14:paraId="464E6A81"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b/>
          <w:color w:val="000000" w:themeColor="text1"/>
          <w:sz w:val="20"/>
          <w:szCs w:val="20"/>
        </w:rPr>
        <w:t>Điều 15. Thông tin công dân không được tiếp cận</w:t>
      </w:r>
    </w:p>
    <w:p w14:paraId="4958BDD1"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1. Thông tin thuộc bí mật nhà nước theo quy định của pháp luật về bảo vệ bí mật nhà nước.</w:t>
      </w:r>
    </w:p>
    <w:p w14:paraId="6C76C46E"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Khi thông tin thuộc bí mật nhà nước được giải mật thì công dân được tiếp cận theo quy định của Luật này.</w:t>
      </w:r>
    </w:p>
    <w:p w14:paraId="235A9112"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2. Thông tin về đời sống riêng tư, bí mật cá nhân, bí mật gia đình theo quy định của pháp luật dân sự và dữ liệu cá nhân theo quy định của pháp luật về bảo vệ dữ liệu cá nhân, trừ trường hợp quy định tại khoản 1 Điều 16 của Luật này.</w:t>
      </w:r>
    </w:p>
    <w:p w14:paraId="647C2299"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3. Bí mật kinh doanh theo quy định của pháp luật về sở hữu trí tuệ, trừ trường hợp quy định tại khoản 2 Điều 16 của Luật này.</w:t>
      </w:r>
    </w:p>
    <w:p w14:paraId="0948373B"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4. Thông tin mà nếu cung cấp sẽ gây nguy hại đến lợi ích của Nhà nước, ảnh hưởng đến quốc phòng, an ninh quốc gia, đối ngoại, trật tự, an toàn xã hội, đạo đức xã hội, sức khỏe của cộng đồng, gây nguy hại đến tính mạng, sức khỏe, quyền và lợi ích hợp pháp hoặc tài sản của cơ quan, tổ chức hoặc người khác.</w:t>
      </w:r>
    </w:p>
    <w:p w14:paraId="327B7846"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Việc xác định thông tin tại khoản này thực hiện theo quy định của pháp luật có liên quan; trường hợp pháp luật chưa quy định, căn cứ vào điều kiện thực tế, người đứng đầu cơ quan, đơn vị có trách nhiệm xem xét, quyết định việc cung cấp thông tin.</w:t>
      </w:r>
    </w:p>
    <w:p w14:paraId="45C1E4DB"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5. Thông tin thuộc bí mật công tác do cơ quan, đơn vị xác định theo quy định của pháp luật.</w:t>
      </w:r>
    </w:p>
    <w:p w14:paraId="3A756DB7"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lastRenderedPageBreak/>
        <w:t>6. Thông tin về cuộc họp nội bộ của cơ quan, đơn vị; tài liệu do cơ quan, đơn vị soạn thảo cho công việc nội bộ.</w:t>
      </w:r>
    </w:p>
    <w:p w14:paraId="45FEDC3F"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b/>
          <w:color w:val="000000" w:themeColor="text1"/>
          <w:sz w:val="20"/>
          <w:szCs w:val="20"/>
        </w:rPr>
        <w:t>Điều 16. Thông tin công dân được tiếp cận có điều kiện</w:t>
      </w:r>
    </w:p>
    <w:p w14:paraId="5D5443C3"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1. Thông tin liên quan đến đời sống riêng tư, bí mật cá nhân được tiếp cận trong trường hợp được người đó đồng ý. Thông tin liên quan đến bí mật gia đình được tiếp cận trong trường hợp được các thành viên gia đình đồng ý.</w:t>
      </w:r>
    </w:p>
    <w:p w14:paraId="04B878BE"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Việc tiếp cận thông tin thuộc dữ liệu cá nhân thực hiện theo quy định của pháp luật về bảo vệ dữ liệu cá nhân.</w:t>
      </w:r>
    </w:p>
    <w:p w14:paraId="33FCCFE4"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2. Thông tin liên quan đến bí mật kinh doanh được tiếp cận trong trường hợp chủ sở hữu bí mật kinh doanh đó đồng ý.</w:t>
      </w:r>
    </w:p>
    <w:p w14:paraId="04C02085"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3. Việc tiếp cận có điều kiện đối với tài liệu lưu trữ tại lưu trữ lịch sử thực hiện theo quy định của pháp luật về lưu trữ.</w:t>
      </w:r>
    </w:p>
    <w:p w14:paraId="59AC34C1" w14:textId="0EB29858" w:rsidR="006F1EE8" w:rsidRDefault="009B742F" w:rsidP="00B67246">
      <w:pPr>
        <w:adjustRightInd w:val="0"/>
        <w:snapToGrid w:val="0"/>
        <w:spacing w:after="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4. Trong quá trình thực hiện chức năng, nhiệm vụ, quyền hạn của mình, người đứng đầu cơ quan, đơn vị quyết định việc cung cấp thông tin liên quan đến đời sống riêng tư, bí mật cá nhân, dữ liệu cá nhân, bí mật gia đình, bí mật kinh doanh trong trường hợp cần thiết vì lợi ích công cộng, sức khỏe của cộng đồng theo quy định của luật có liên quan mà không cần có sự đồng ý theo quy định tại khoản 1 và khoản 2 Điều này.</w:t>
      </w:r>
    </w:p>
    <w:p w14:paraId="748B18D2" w14:textId="77777777" w:rsidR="00B67246" w:rsidRPr="00B67246" w:rsidRDefault="00B67246" w:rsidP="00B67246">
      <w:pPr>
        <w:adjustRightInd w:val="0"/>
        <w:snapToGrid w:val="0"/>
        <w:spacing w:after="0" w:line="240" w:lineRule="auto"/>
        <w:jc w:val="center"/>
        <w:rPr>
          <w:rFonts w:ascii="Arial" w:hAnsi="Arial" w:cs="Arial"/>
          <w:color w:val="000000" w:themeColor="text1"/>
          <w:sz w:val="20"/>
          <w:szCs w:val="20"/>
        </w:rPr>
      </w:pPr>
    </w:p>
    <w:p w14:paraId="3E70B0EC" w14:textId="77777777" w:rsidR="006F1EE8" w:rsidRPr="00B67246" w:rsidRDefault="009B742F" w:rsidP="00B67246">
      <w:pPr>
        <w:adjustRightInd w:val="0"/>
        <w:snapToGrid w:val="0"/>
        <w:spacing w:after="0" w:line="240" w:lineRule="auto"/>
        <w:jc w:val="center"/>
        <w:rPr>
          <w:rFonts w:ascii="Arial" w:hAnsi="Arial" w:cs="Arial"/>
          <w:color w:val="000000" w:themeColor="text1"/>
          <w:sz w:val="20"/>
          <w:szCs w:val="20"/>
        </w:rPr>
      </w:pPr>
      <w:r w:rsidRPr="00B67246">
        <w:rPr>
          <w:rFonts w:ascii="Arial" w:hAnsi="Arial" w:cs="Arial"/>
          <w:b/>
          <w:color w:val="000000" w:themeColor="text1"/>
          <w:sz w:val="20"/>
          <w:szCs w:val="20"/>
        </w:rPr>
        <w:t>Mục 2</w:t>
      </w:r>
    </w:p>
    <w:p w14:paraId="04401B4A" w14:textId="17441A9D" w:rsidR="006F1EE8" w:rsidRDefault="009B742F" w:rsidP="00B67246">
      <w:pPr>
        <w:adjustRightInd w:val="0"/>
        <w:snapToGrid w:val="0"/>
        <w:spacing w:after="0" w:line="240" w:lineRule="auto"/>
        <w:jc w:val="center"/>
        <w:rPr>
          <w:rFonts w:ascii="Arial" w:hAnsi="Arial" w:cs="Arial"/>
          <w:b/>
          <w:color w:val="000000" w:themeColor="text1"/>
          <w:sz w:val="20"/>
          <w:szCs w:val="20"/>
        </w:rPr>
      </w:pPr>
      <w:r w:rsidRPr="00B67246">
        <w:rPr>
          <w:rFonts w:ascii="Arial" w:hAnsi="Arial" w:cs="Arial"/>
          <w:b/>
          <w:color w:val="000000" w:themeColor="text1"/>
          <w:sz w:val="20"/>
          <w:szCs w:val="20"/>
        </w:rPr>
        <w:t>CÔNG KHAI THÔNG TIN</w:t>
      </w:r>
    </w:p>
    <w:p w14:paraId="2ABDC949" w14:textId="77777777" w:rsidR="00B67246" w:rsidRPr="00B67246" w:rsidRDefault="00B67246" w:rsidP="00B67246">
      <w:pPr>
        <w:adjustRightInd w:val="0"/>
        <w:snapToGrid w:val="0"/>
        <w:spacing w:after="0" w:line="240" w:lineRule="auto"/>
        <w:jc w:val="center"/>
        <w:rPr>
          <w:rFonts w:ascii="Arial" w:hAnsi="Arial" w:cs="Arial"/>
          <w:color w:val="000000" w:themeColor="text1"/>
          <w:sz w:val="20"/>
          <w:szCs w:val="20"/>
        </w:rPr>
      </w:pPr>
    </w:p>
    <w:p w14:paraId="2A639949"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b/>
          <w:color w:val="000000" w:themeColor="text1"/>
          <w:sz w:val="20"/>
          <w:szCs w:val="20"/>
        </w:rPr>
        <w:t>Điều 17. Thông tin phải được công khai</w:t>
      </w:r>
    </w:p>
    <w:p w14:paraId="49FC5039"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1. Các thông tin sau đây phải được công khai:</w:t>
      </w:r>
    </w:p>
    <w:p w14:paraId="6F9E7837" w14:textId="52CC147C" w:rsidR="006F1EE8" w:rsidRPr="00B67246" w:rsidRDefault="00B67246" w:rsidP="00B67246">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a</w:t>
      </w:r>
      <w:r w:rsidR="009B742F" w:rsidRPr="00B67246">
        <w:rPr>
          <w:rFonts w:ascii="Arial" w:hAnsi="Arial" w:cs="Arial"/>
          <w:color w:val="000000" w:themeColor="text1"/>
          <w:sz w:val="20"/>
          <w:szCs w:val="20"/>
        </w:rPr>
        <w:t>) Chiến lược, chương trình, dự án, đề án, kế hoạch phát triển kinh tế - xã hội của quốc gia, địa phương; chương trình, kế hoạch công tác hằng năm của cơ quan, đơn vị; báo cáo công tác định kỳ; cơ sở dữ liệu quốc gia ngành, lĩnh vực; thông tin thống kê về ngành, lĩnh vực quản lý;</w:t>
      </w:r>
    </w:p>
    <w:p w14:paraId="4137AF83" w14:textId="0684266E"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b) Văn bản quy phạm pháp luật; văn bản hành chính có giá trị áp dụng</w:t>
      </w:r>
      <w:r w:rsidR="00B67246">
        <w:rPr>
          <w:rFonts w:ascii="Arial" w:hAnsi="Arial" w:cs="Arial"/>
          <w:color w:val="000000" w:themeColor="text1"/>
          <w:sz w:val="20"/>
          <w:szCs w:val="20"/>
        </w:rPr>
        <w:t xml:space="preserve"> </w:t>
      </w:r>
      <w:r w:rsidRPr="00B67246">
        <w:rPr>
          <w:rFonts w:ascii="Arial" w:hAnsi="Arial" w:cs="Arial"/>
          <w:color w:val="000000" w:themeColor="text1"/>
          <w:sz w:val="20"/>
          <w:szCs w:val="20"/>
        </w:rPr>
        <w:t>chung; điều ước quốc tế mà nước Cộng hòa xã hội chủ nghĩa Việt Nam là thành viên, thỏa thuận quốc tế mà Việt Nam là một bên; thủ tục hành chính, quy trình giải quyết công việc của cơ quan, đơn vị.</w:t>
      </w:r>
    </w:p>
    <w:p w14:paraId="10551C25"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Hồ sơ dự án, dự thảo văn bản quy phạm pháp luật theo quy định của pháp luật; nội dung và kết quả trưng cầu ý dân, tiếp thu ý kiến Nhân dân đối với những vấn đề thuộc thẩm quyền quyết định của cơ quan nhà nước đưa ra lấy ý kiến Nhân dân theo quy định của pháp luật; đề án và dự thảo đề án thành lập, giải thể, nhập, chia đơn vị hành chính, điều chỉnh địa giới và đổi tên đơn vị hành chính; thông tin phổ biến, hướng dẫn thực hiện pháp luật, chế độ, chính sách đối với những lĩnh vực thuộc phạm vi quản lý của cơ quan nhà nước;</w:t>
      </w:r>
    </w:p>
    <w:p w14:paraId="2C256BF8"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c) Thông tin về chức năng, nhiệm vụ, quyền hạn, cơ cấu tổ chức của cơ quan, đơn vị và của cơ quan, đơn vị trực thuộc; nhiệm vụ, quyền hạn của cán bộ, công chức, viên chức trực tiếp giải quyết các công việc của Nhân dân; nội quy, quy chế do cơ quan, đơn vị ban hành; kế hoạch chuyển đổi vị trí công tác; định mức, tiêu chuẩn, chế độ, kết quả thực hiện quy định về định mức, tiêu chuẩn, chế độ;</w:t>
      </w:r>
    </w:p>
    <w:p w14:paraId="32ABC93C"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d) Thông tin về dự toán ngân sách nhà nước; báo cáo tình hình thực hiện dự toán ngân sách nhà nước; quyết toán ngân sách nhà nước; báo cáo tài chính năm; dự toán ngân sách nhà nước, tình hình thực hiện dự toán ngân sách nhà nước, quyết toán ngân sách nhà nước của các đơn vị dự toán ngân sách, các tổ chức được ngân sách nhà nước hỗ trợ; các khoản hỗ trợ trực tiếp của ngân sách nhà nước cho người dân trên địa bàn; kế hoạch tài chính, tình hình thực hiện kế hoạch tài chính và quyết toán tài chính hằng năm của các quỹ tài chính nhà nước ngoài ngân sách; thủ tục ngân sách nhà nước; thông tin về thuế, phí, lệ phí;</w:t>
      </w:r>
    </w:p>
    <w:p w14:paraId="0353C8DC"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đ) Thông tin về phân bổ, quản lý, sử dụng nguồn vốn hỗ trợ phát triển chính thức và nguồn viện trợ phi chính phủ theo quy định; thông tin về quản lý, sử dụng các khoản cứu trợ, trợ cấp xã hội; quản lý, sử dụng các khoản đóng góp của Nhân dân, các loại quỹ;</w:t>
      </w:r>
    </w:p>
    <w:p w14:paraId="404D4D07"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e) Thông tin về hoạt động đầu tư, quản lý, sử dụng vốn nhà nước tại doanh nghiệp; báo cáo đánh giá kết quả hoạt động và xếp loại doanh nghiệp; báo cáo giám sát tình hình thực hiện công khai thông tin tài chính của doanh nghiệp và cơ quan nhà nước đại diện chủ sở hữu; thông tin về tổ chức và hoạt động của doanh nghiệp nhà nước;</w:t>
      </w:r>
    </w:p>
    <w:p w14:paraId="7090ECB8"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lastRenderedPageBreak/>
        <w:t>g) Thông tin về tài sản công theo quy định của pháp luật; việc bố trí, quản lý, sử dụng tài chính công hoặc kinh phí huy động từ các nguồn hợp pháp khác; danh mục dự án, chương trình đầu tư công, mua sắm công và quản lý, sử dụng vốn đầu tư công, tình hình và kết quả thực hiện kế hoạch, chương trình, dự án đầu tư công; thông tin về dự án đầu tư kinh doanh; kết quả lựa chọn nhà thầu và giải thích lý do nhà thầu không trúng thầu theo yêu cầu của nhà thầu;</w:t>
      </w:r>
    </w:p>
    <w:p w14:paraId="02D64443" w14:textId="7AF84120" w:rsidR="006F1EE8" w:rsidRPr="00B67246" w:rsidRDefault="009B742F" w:rsidP="00E9403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 xml:space="preserve">h) Kết luận thanh tra; báo cáo về công tác phòng, chống tham nhũng; báo cáo kiểm toán sau khi phát hành, báo cáo kết quả thực hiện kết luận, kiến nghị kiểm toán của Kiểm toán Nhà nước sau khi báo cáo Quốc hội; Chiến lược quốc gia về phòng, chống lãng phí; </w:t>
      </w:r>
      <w:r w:rsidR="00E94036">
        <w:rPr>
          <w:rFonts w:ascii="Arial" w:hAnsi="Arial" w:cs="Arial"/>
          <w:color w:val="000000" w:themeColor="text1"/>
          <w:sz w:val="20"/>
          <w:szCs w:val="20"/>
        </w:rPr>
        <w:t xml:space="preserve">kế hoạch tổ chức thực hiện Chiến lược quốc gia về phòng, chống lãng phí; chương trình tiết kiệm, chống lãng phí; báo cáo kết </w:t>
      </w:r>
      <w:r w:rsidRPr="00B67246">
        <w:rPr>
          <w:rFonts w:ascii="Arial" w:hAnsi="Arial" w:cs="Arial"/>
          <w:color w:val="000000" w:themeColor="text1"/>
          <w:sz w:val="20"/>
          <w:szCs w:val="20"/>
        </w:rPr>
        <w:t>quả công tác tiết kiệm, chống lãng phí; kết quả xử lý hành vi gây lãng phí;</w:t>
      </w:r>
    </w:p>
    <w:p w14:paraId="710563BA"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i) Thông tin việc xử phạt vi phạm hành chính về an toàn thực phẩm, chất lượng sản phẩm, hàng hóa, dược, lao động, xây dựng, bảo hiểm xã hội, bảo hiểm y tế, bảo vệ môi trường, thuế, chứng khoán, sở hữu trí tuệ, đo lường, sản xuất, buôn bán hàng giả mà gây hậu quả lớn hoặc gây ảnh hưởng xấu về dư luận xã hội; thông tin về việc người sử dụng lao động chậm đóng, trốn đóng bảo hiểm xã hội bắt buộc, bảo hiểm thất nghiệp;</w:t>
      </w:r>
    </w:p>
    <w:p w14:paraId="76CFC8E9"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k) Thông tin về quy hoạch cấp quốc gia, quy hoạch vùng, quy hoạch tỉnh, quy hoạch chi tiết ngành, quy hoạch đô thị và nông thôn, quy hoạch đơn vị hành chính - kinh tế đặc biệt;</w:t>
      </w:r>
    </w:p>
    <w:p w14:paraId="1C5B8A9B"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l) Thông tin về kế hoạch sử dụng đất; giá đất; thu hồi đất; phương án bồi thường, hỗ trợ, tái định cư liên quan đến dự án, công trình trên địa bàn; kết quả điều tra, đánh giá đất đai; quyết định cưỡng chế thực hiện quyết định kiểm đếm bắt buộc; mốc giới sử dụng đất trong hành lang bảo vệ an toàn;</w:t>
      </w:r>
    </w:p>
    <w:p w14:paraId="7EE12ECD"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m) Danh mục dự án đầu tư xây dựng nhà ở trên địa bàn cho phép tổ chức, cá nhân nước ngoài được sở hữu nhà ở; chương trình, kế hoạch phát triển nhà ở; danh mục dự án đầu tư xây dựng nhà ở đang triển khai thực hiện trên địa bàn tỉnh, thành phố; kết luận kiểm định, đánh giá chất lượng nhà chung cư; kế hoạch cải tạo, xây dựng lại nhà chung cư; thu hồi, cưỡng chế bàn giao nhà ở công vụ; quyết định di dời nhà chung cư; cưỡng chế thu hồi nhà ở xã hội;</w:t>
      </w:r>
    </w:p>
    <w:p w14:paraId="1FCD6E27"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n) Thông tin về sản phẩm, hàng hóa, dịch vụ có tác động tiêu cực đến sức khỏe, môi trường; kết luận kiểm tra, giám sát liên quan đến việc bảo vệ môi trường, sức khỏe của cộng đồng, an toàn thực phẩm, an toàn lao động; thông tin về an toàn hóa chất; thông tin về danh sách các cơ sở khám bệnh, chữa bệnh đã được cấp giấy phép hoạt động; kết quả đánh giá chất lượng cơ sở khám bệnh, chữa bệnh; thời gian làm việc và danh sách người hành nghề tại cơ sở khám bệnh, chữa bệnh; thông tin về giá dịch vụ khám bệnh, chữa bệnh; các cơ sở khám bệnh, chữa bệnh vi phạm pháp luật về y tế;</w:t>
      </w:r>
    </w:p>
    <w:p w14:paraId="2707956D"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o) Thông tin chung về cơ sở giáo dục; thu, chi tài chính của cơ sở giáo dục; điều kiện bảo đảm chất lượng, kế hoạch và kết quả hoạt động đối với giáo dục mầm non, giáo dục phổ thông, giáo dục thường xuyên; điều kiện bảo đảm chất lượng đào tạo, nghiên cứu, kế hoạch và kết quả hoạt động đào tạo, khoa học và công nghệ đối với giáo dục đại học, giáo dục nghề nghiệp;</w:t>
      </w:r>
    </w:p>
    <w:p w14:paraId="68FC4678"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p) Thông tin về chất lượng môi trường, ô nhiễm môi trường; kế hoạch ứng</w:t>
      </w:r>
    </w:p>
    <w:p w14:paraId="31285B90"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phó sự cố môi trường; thông tin về sự cố môi trường; thông tin về các nguồn thải vào môi trường nước mặt và các nguồn có nguy cơ gây ra sự cố môi trường trên địa bàn tỉnh, thành phố; báo cáo đánh giá tác động môi trường; giấy phép môi trường; thông tin về di sản thiên nhiên, hệ sinh thái tự nhiên, loài sinh vật và nguồn gen; khu bảo tồn thiên nhiên và cơ sở bảo tồn đa dạng sinh học; vùng đất ngập nước quan trọng; kết quả quan trắc chất lượng môi trường đất, không khí, nước mặt, nước dưới đất, nước biển, trầm tích, môi trường thủy sinh của nguồn nước mặt;</w:t>
      </w:r>
    </w:p>
    <w:p w14:paraId="579CA2D2" w14:textId="5EB9A9D4"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q) Danh mục, danh sách về di sản văn hóa, nội dung bảo quản, tu bổ, phục</w:t>
      </w:r>
      <w:r w:rsidR="00546AFB">
        <w:rPr>
          <w:rFonts w:ascii="Arial" w:hAnsi="Arial" w:cs="Arial"/>
          <w:color w:val="000000" w:themeColor="text1"/>
          <w:sz w:val="20"/>
          <w:szCs w:val="20"/>
        </w:rPr>
        <w:t xml:space="preserve"> </w:t>
      </w:r>
      <w:r w:rsidRPr="00B67246">
        <w:rPr>
          <w:rFonts w:ascii="Arial" w:hAnsi="Arial" w:cs="Arial"/>
          <w:color w:val="000000" w:themeColor="text1"/>
          <w:sz w:val="20"/>
          <w:szCs w:val="20"/>
        </w:rPr>
        <w:t>hồi di tích đã được phê duyệt, công bố tại địa phương nơi có di tích;</w:t>
      </w:r>
    </w:p>
    <w:p w14:paraId="2F1F2623"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r) Thông tin thị trường lao động theo quy định của pháp luật về việc làm; thông tin về tuyển dụng, sử dụng, quản lý cán bộ, công chức, viên chức; thông tin về danh mục và kết quả chương trình, đề tài khoa học; danh mục hồ sơ, tài liệu lưu trữ;</w:t>
      </w:r>
    </w:p>
    <w:p w14:paraId="5906CA01"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s) Thông tin về dịch vụ và quy trình, thời hạn xử lý và kết quả cung ứng dịch vụ sự nghiệp công cơ bản, thiết yếu của đơn vị; quy trình, thời hạn xử lý và kết quả xử lý cung cấp dịch vụ công trực tuyến; thông tin về bảo đảm chất lượng dịch vụ công trực tuyến theo quy định; kết quả đánh giá mức độ phổ cập và khả năng tiếp cận dịch vụ công trực tuyến;</w:t>
      </w:r>
    </w:p>
    <w:p w14:paraId="74807887"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lastRenderedPageBreak/>
        <w:t>t) Kế hoạch chuyển đổi số được phê duyệt; thông tin về tiêu chuẩn, quy chuẩn kỹ thuật về nền tảng số dùng chung; kết quả đánh giá mức độ chuyển đổi số;</w:t>
      </w:r>
    </w:p>
    <w:p w14:paraId="7F9CD005"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u) Danh mục thông tin phải được công khai theo quy định; tên, địa chỉ, số điện thoại, địa chỉ thư điện tử của cơ quan, đơn vị đầu mối tiếp nhận yêu cầu cung cấp thông tin; địa chỉ các kênh công khai, cung cấp thông tin theo yêu cầu;</w:t>
      </w:r>
    </w:p>
    <w:p w14:paraId="3DE54F1F"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v) Thông tin khác phải được công khai theo quy định của pháp luật.</w:t>
      </w:r>
    </w:p>
    <w:p w14:paraId="2119231E"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2. Ngoài thông tin quy định tại khoản 1 Điều này, căn cứ vào điều kiện và khả năng thực tế, cơ quan, đơn vị chủ động công khai thông tin khác do mình tạo ra hoặc nắm giữ để bảo vệ lợi ích công cộng, sức khỏe của cộng đồng.</w:t>
      </w:r>
    </w:p>
    <w:p w14:paraId="5C64FAFB"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b/>
          <w:color w:val="000000" w:themeColor="text1"/>
          <w:sz w:val="20"/>
          <w:szCs w:val="20"/>
        </w:rPr>
        <w:t>Điều 18. Hình thức, thời điểm công khai thông tin</w:t>
      </w:r>
    </w:p>
    <w:p w14:paraId="28FD5B28"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 xml:space="preserve">1. Các hình thức công khai thông tin bao gồm: </w:t>
      </w:r>
    </w:p>
    <w:p w14:paraId="1A9EDD8F"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a) Đăng tải trên cổng thông tin điện tử, trang thông tin điện tử, cổng dữ liệu, các kênh thông tin, trang cộng đồng chính thức của cơ quan, đơn vị;</w:t>
      </w:r>
    </w:p>
    <w:p w14:paraId="5BA66A20"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b) Công khai trên phương tiện thông tin đại chúng;</w:t>
      </w:r>
    </w:p>
    <w:p w14:paraId="1A4229CA"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c) Đăng Công báo, niêm yết;</w:t>
      </w:r>
    </w:p>
    <w:p w14:paraId="7749EDE4"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d) Thông qua việc tiếp công dân, họp báo, thông cáo báo chí, hoạt động của người phát ngôn;</w:t>
      </w:r>
    </w:p>
    <w:p w14:paraId="6A3836EA"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đ) Các hình thức khác thuận lợi cho công dân do cơ quan, đơn vị có trách nhiệm công khai thông tin xác định.</w:t>
      </w:r>
    </w:p>
    <w:p w14:paraId="099FAF37"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2. Trường hợp pháp luật có quy định về hình thức công khai đối với thông tin cụ thể thì áp dụng quy định đó.</w:t>
      </w:r>
    </w:p>
    <w:p w14:paraId="4E117C4A"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Trường hợp pháp luật không quy định cụ thể hình thức công khai thông tin thì căn cứ vào điều kiện và khả năng thực tế, cơ quan, đơn vị có thể lựa chọn một hoặc một số hình thức công khai thông tin quy định tại khoản 1 Điều này bảo đảm để công dân tiếp cận được thông tin.</w:t>
      </w:r>
    </w:p>
    <w:p w14:paraId="0FD9FC47"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3. Đối với đối tượng là người khuyết tật, người dân tộc thiểu số, người sinh sống ở khu vực biên giới, hải đảo, miền núi, vùng đồng bào dân tộc thiểu số, vùng có điều kiện kinh tế - xã hội khó khăn và đặc biệt khó khăn, ngoài các hình thức quy định tại khoản 1 Điều này, cơ quan, đơn vị xác định hình thức công khai thông tin phù hợp với khả năng, điều kiện tiếp cận thông tin của công dân.</w:t>
      </w:r>
    </w:p>
    <w:p w14:paraId="38AFD7A8"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4. Thời điểm công khai thông tin đối với từng lĩnh vực được thực hiện theo quy định của pháp luật có liên quan; trường hợp pháp luật chưa có quy định thì chậm nhất là 05 ngày làm việc kể từ ngày tạo ra thông tin, cơ quan, đơn vị có thẩm quyền phải công khai thông tin.</w:t>
      </w:r>
    </w:p>
    <w:p w14:paraId="4CF113C9"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b/>
          <w:color w:val="000000" w:themeColor="text1"/>
          <w:sz w:val="20"/>
          <w:szCs w:val="20"/>
        </w:rPr>
        <w:t>Điều 19. Công khai thông tin trên cổng thông tin điện tử, trang thông tin điện tử, cổng dữ liệu, các kênh nội dung, trang cộng đồng chính thức</w:t>
      </w:r>
    </w:p>
    <w:p w14:paraId="5790D1FF"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1. Cơ quan, đơn vị phải công khai trên cổng thông tin điện tử, trang thông tin điện tử của cơ quan, đơn vị mình các thông tin quy định tại khoản 1 Điều 17 của Luật này và các thông tin khác theo quy định của pháp luật.</w:t>
      </w:r>
    </w:p>
    <w:p w14:paraId="69D50484"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Căn cứ điều kiện thực tế, cơ quan, đơn vị công khai các thông tin do mình tạo ra hoặc nắm giữ trên cổng dữ liệu, các kênh nội dung, trang cộng đồng chính thức.</w:t>
      </w:r>
    </w:p>
    <w:p w14:paraId="2C1B36D6"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2. Trường hợp chưa có cổng thông tin điện tử, trang thông tin điện tử, cổng dữ liệu, cơ quan, đơn vị có trách nhiệm công khai thông tin quy định tại khoản 1 Điều này trên các kênh nội dung, trang cộng đồng chính thức hoặc bằng hình thức thích hợp khác.</w:t>
      </w:r>
    </w:p>
    <w:p w14:paraId="2B138563"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b/>
          <w:color w:val="000000" w:themeColor="text1"/>
          <w:sz w:val="20"/>
          <w:szCs w:val="20"/>
        </w:rPr>
        <w:t>Điều 20. Công khai thông tin trên phương tiện thông tin đại chúng</w:t>
      </w:r>
    </w:p>
    <w:p w14:paraId="26F0F20B"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1. Cơ quan, đơn vị có trách nhiệm cung cấp đầy đủ, chính xác, kịp thời cho cơ quan thông tin đại chúng những thông tin theo quy định của pháp luật phải được công khai trên phương tiện thông tin đại chúng.</w:t>
      </w:r>
    </w:p>
    <w:p w14:paraId="048269FD"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2. Việc đăng, phát thông tin trên báo chí thực hiện theo quy định của pháp luật về báo chí.</w:t>
      </w:r>
    </w:p>
    <w:p w14:paraId="1A28C828" w14:textId="580EA1AC"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b/>
          <w:color w:val="000000" w:themeColor="text1"/>
          <w:sz w:val="20"/>
          <w:szCs w:val="20"/>
        </w:rPr>
        <w:t xml:space="preserve">Điều 21. </w:t>
      </w:r>
      <w:r w:rsidR="00EE7F89">
        <w:rPr>
          <w:rFonts w:ascii="Arial" w:hAnsi="Arial" w:cs="Arial"/>
          <w:b/>
          <w:color w:val="000000" w:themeColor="text1"/>
          <w:sz w:val="20"/>
          <w:szCs w:val="20"/>
        </w:rPr>
        <w:t>Đăn</w:t>
      </w:r>
      <w:r w:rsidRPr="00B67246">
        <w:rPr>
          <w:rFonts w:ascii="Arial" w:hAnsi="Arial" w:cs="Arial"/>
          <w:b/>
          <w:color w:val="000000" w:themeColor="text1"/>
          <w:sz w:val="20"/>
          <w:szCs w:val="20"/>
        </w:rPr>
        <w:t>g Công báo, niêm yết</w:t>
      </w:r>
    </w:p>
    <w:p w14:paraId="299377AE"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1. Việc công khai thông tin bằng hình thức đăng Công báo, niêm yết được thực hiện theo quy định của pháp luật.</w:t>
      </w:r>
    </w:p>
    <w:p w14:paraId="19631D30"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lastRenderedPageBreak/>
        <w:t>2. Đối với những thông tin được công khai bằng hình thức niêm yết mà pháp luật chưa quy định cụ thể về địa điểm, thời hạn niêm yết thì phải được niêm yết tại trụ sở cơ quan, đơn vị hoặc địa điểm sinh hoạt cộng đồng trong thời hạn ít nhất là 30 ngày.</w:t>
      </w:r>
    </w:p>
    <w:p w14:paraId="0A637F26"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b/>
          <w:color w:val="000000" w:themeColor="text1"/>
          <w:sz w:val="20"/>
          <w:szCs w:val="20"/>
        </w:rPr>
        <w:t>Điều 22. Xử lý thông tin công khai không chính xác</w:t>
      </w:r>
    </w:p>
    <w:p w14:paraId="26119DF0"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1. Trường hợp phát hiện thông tin do mình tạo ra và đã được công khai không chính xác thì cơ quan, đơn vị có trách nhiệm kịp thời đính chính, công khai thông tin đã được đính chính.</w:t>
      </w:r>
    </w:p>
    <w:p w14:paraId="0CE4BE75"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2. Trường hợp phát hiện thông tin do cơ quan, đơn vị khác tạo ra nhưng do mình công khai không chính xác thì cơ quan, đơn vị đã công khai thông tin có trách nhiệm kịp thời đính chính, công khai thông tin đã được đính chính.</w:t>
      </w:r>
    </w:p>
    <w:p w14:paraId="3E6B3FCF"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3. Trường hợp phát hiện thông tin do mình tạo ra nhưng được cơ quan, đơn vị khác công khai không chính xác thì cơ quan, đơn vị tạo ra thông tin có trách nhiệm yêu cầu cơ quan, đơn vị đã công khai thông tin kịp thời đính chính, công khai thông tin đã được đính chính.</w:t>
      </w:r>
    </w:p>
    <w:p w14:paraId="337BAF9B"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4. Trường hợp công dân cho rằng thông tin công khai không chính xác thì kiến nghị với cơ quan, đơn vị đã công khai thông tin đó. Chậm nhất là 10 ngày kể từ ngày nhận được kiến nghị, cơ quan, đơn vị có trách nhiệm kiểm tra tính chính xác của thông tin và trả lời cho công dân; trường hợp xác định thông tin công khai không chính xác thì phải kịp thời đính chính, công khai thông tin đã được đính chính.</w:t>
      </w:r>
    </w:p>
    <w:p w14:paraId="2B0CAB1F" w14:textId="4DDFBD9A" w:rsidR="006F1EE8" w:rsidRDefault="009B742F" w:rsidP="00B67246">
      <w:pPr>
        <w:adjustRightInd w:val="0"/>
        <w:snapToGrid w:val="0"/>
        <w:spacing w:after="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5. Thông tin công khai không chính xác bằng hình thức nào thì phải được đính chính bằng hình thức đó, đồng thời công khai thông tin đã được đính chính trên cổng dữ liệu, cổng thông tin điện tử, trang thông tin điện tử, kênh nội dung, trang cộng đồng chính thức của cơ quan, đơn vị đã công khai thông tin không chính xác.</w:t>
      </w:r>
    </w:p>
    <w:p w14:paraId="1B798CBF" w14:textId="77777777" w:rsidR="00B67246" w:rsidRPr="00B67246" w:rsidRDefault="00B67246" w:rsidP="00B67246">
      <w:pPr>
        <w:adjustRightInd w:val="0"/>
        <w:snapToGrid w:val="0"/>
        <w:spacing w:after="0" w:line="240" w:lineRule="auto"/>
        <w:jc w:val="center"/>
        <w:rPr>
          <w:rFonts w:ascii="Arial" w:hAnsi="Arial" w:cs="Arial"/>
          <w:color w:val="000000" w:themeColor="text1"/>
          <w:sz w:val="20"/>
          <w:szCs w:val="20"/>
        </w:rPr>
      </w:pPr>
    </w:p>
    <w:p w14:paraId="200D87A0" w14:textId="77777777" w:rsidR="006F1EE8" w:rsidRPr="00B67246" w:rsidRDefault="009B742F" w:rsidP="00B67246">
      <w:pPr>
        <w:adjustRightInd w:val="0"/>
        <w:snapToGrid w:val="0"/>
        <w:spacing w:after="0" w:line="240" w:lineRule="auto"/>
        <w:jc w:val="center"/>
        <w:rPr>
          <w:rFonts w:ascii="Arial" w:hAnsi="Arial" w:cs="Arial"/>
          <w:color w:val="000000" w:themeColor="text1"/>
          <w:sz w:val="20"/>
          <w:szCs w:val="20"/>
        </w:rPr>
      </w:pPr>
      <w:r w:rsidRPr="00B67246">
        <w:rPr>
          <w:rFonts w:ascii="Arial" w:hAnsi="Arial" w:cs="Arial"/>
          <w:b/>
          <w:color w:val="000000" w:themeColor="text1"/>
          <w:sz w:val="20"/>
          <w:szCs w:val="20"/>
        </w:rPr>
        <w:t>Mục 3</w:t>
      </w:r>
    </w:p>
    <w:p w14:paraId="4218C3EA" w14:textId="21194006" w:rsidR="006F1EE8" w:rsidRDefault="009B742F" w:rsidP="00B67246">
      <w:pPr>
        <w:adjustRightInd w:val="0"/>
        <w:snapToGrid w:val="0"/>
        <w:spacing w:after="0" w:line="240" w:lineRule="auto"/>
        <w:jc w:val="center"/>
        <w:rPr>
          <w:rFonts w:ascii="Arial" w:hAnsi="Arial" w:cs="Arial"/>
          <w:b/>
          <w:color w:val="000000" w:themeColor="text1"/>
          <w:sz w:val="20"/>
          <w:szCs w:val="20"/>
        </w:rPr>
      </w:pPr>
      <w:r w:rsidRPr="00B67246">
        <w:rPr>
          <w:rFonts w:ascii="Arial" w:hAnsi="Arial" w:cs="Arial"/>
          <w:b/>
          <w:color w:val="000000" w:themeColor="text1"/>
          <w:sz w:val="20"/>
          <w:szCs w:val="20"/>
        </w:rPr>
        <w:t>CUNG CẤP THÔNG TIN THEO YÊU CẦU</w:t>
      </w:r>
    </w:p>
    <w:p w14:paraId="60B9E857" w14:textId="77777777" w:rsidR="00B67246" w:rsidRPr="00B67246" w:rsidRDefault="00B67246" w:rsidP="00B67246">
      <w:pPr>
        <w:adjustRightInd w:val="0"/>
        <w:snapToGrid w:val="0"/>
        <w:spacing w:after="0" w:line="240" w:lineRule="auto"/>
        <w:jc w:val="center"/>
        <w:rPr>
          <w:rFonts w:ascii="Arial" w:hAnsi="Arial" w:cs="Arial"/>
          <w:color w:val="000000" w:themeColor="text1"/>
          <w:sz w:val="20"/>
          <w:szCs w:val="20"/>
        </w:rPr>
      </w:pPr>
    </w:p>
    <w:p w14:paraId="4B20CA17"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b/>
          <w:color w:val="000000" w:themeColor="text1"/>
          <w:sz w:val="20"/>
          <w:szCs w:val="20"/>
        </w:rPr>
        <w:t>Điều 23. Thông tin được cung cấp theo yêu cầu</w:t>
      </w:r>
    </w:p>
    <w:p w14:paraId="43F5A547"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Thông tin được cung cấp theo yêu cầu bao gồm:</w:t>
      </w:r>
    </w:p>
    <w:p w14:paraId="41D2753A"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1. Thông tin phải được công khai theo quy định tại khoản 1 Điều 17 của Luật này nếu thuộc một trong các trường hợp sau đây:</w:t>
      </w:r>
    </w:p>
    <w:p w14:paraId="41E80325"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a) Thông tin trong thời hạn công khai nhưng chưa được công khai;</w:t>
      </w:r>
    </w:p>
    <w:p w14:paraId="7CCD6A72"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b) Thông tin hết thời hạn công khai theo quy định của pháp luật;</w:t>
      </w:r>
    </w:p>
    <w:p w14:paraId="6F79869B"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c) Thông tin đang được công khai nhưng vì lý do bất khả kháng người yêu cầu không thể tiếp cận được;</w:t>
      </w:r>
    </w:p>
    <w:p w14:paraId="242DD76E"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2. Thông tin liên quan đến đời sống riêng tư, bí mật cá nhân, dữ liệu cá nhân, bí mật gia đình, bí mật kinh doanh đủ điều kiện cung cấp theo quy định tại Điều 16 của Luật này;</w:t>
      </w:r>
    </w:p>
    <w:p w14:paraId="0DAE58D4"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3. Thông tin liên quan đến đời sống, sinh hoạt, sản xuất, kinh doanh của người yêu cầu cung cấp thông tin nhưng không thuộc loại thông tin quy định tại Điều 17 của Luật này và khoản 2 Điều này;</w:t>
      </w:r>
    </w:p>
    <w:p w14:paraId="74926387"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4. Ngoài thông tin quy định tại các khoản 1, 2 và 3 Điều này, căn cứ vào nhiệm vụ, quyền hạn, điều kiện và khả năng thực tế của mình, cơ quan, đơn vị có thể cung cấp thông tin khác do mình tạo ra hoặc nắm giữ để bảo vệ lợi ích công cộng, sức khỏe của cộng đồng.</w:t>
      </w:r>
    </w:p>
    <w:p w14:paraId="2F0119D2"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b/>
          <w:color w:val="000000" w:themeColor="text1"/>
          <w:sz w:val="20"/>
          <w:szCs w:val="20"/>
        </w:rPr>
        <w:t>Điều 24. Hình thức yêu cầu, cung cấp thông tin</w:t>
      </w:r>
    </w:p>
    <w:p w14:paraId="584856CB"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1. Người yêu cầu có thể trực tiếp hoặc thông qua người đại diện yêu cầu cung cấp thông tin bằng một trong các hình thức sau đây:</w:t>
      </w:r>
    </w:p>
    <w:p w14:paraId="6A368ADA"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a) Tại cơ quan, đơn vị;</w:t>
      </w:r>
    </w:p>
    <w:p w14:paraId="4979B69F"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b) Qua dịch vụ bưu chính;</w:t>
      </w:r>
    </w:p>
    <w:p w14:paraId="5D5FBB0A"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c) Qua mạng Internet, bao gồm qua thư điện tử, cổng thông tin điện tử, trang thông tin điện tử, cổng dữ liệu, cổng dịch vụ công quốc gia, ứng dụng di động hoặc các nền tảng số khác do cơ quan, đơn vị có thẩm quyền công bố.</w:t>
      </w:r>
    </w:p>
    <w:p w14:paraId="3C976133"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lastRenderedPageBreak/>
        <w:t>2. Người yêu cầu cung cấp thông tin tại trụ sở cơ quan, đơn vị được sử dụng điện thoại di động và các phương tiện kỹ thuật khác của cá nhân để sao, chụp, tải về văn bản, hồ sơ, tài liệu, trừ trường hợp pháp luật có liên quan quy định khác.</w:t>
      </w:r>
    </w:p>
    <w:p w14:paraId="1678B0F4"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3. Cơ quan, đơn vị được yêu cầu có trách nhiệm cung cấp thông tin theo hình thức mà người yêu cầu đề nghị phù hợp với tính chất của thông tin được yêu cầu cung cấp, điều kiện và khả năng của cơ quan, đơn vị, trừ trường hợp pháp luật có quy định khác.</w:t>
      </w:r>
    </w:p>
    <w:p w14:paraId="2F2948CC"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4. Khuyến khích việc cung cấp thông tin theo hình thức quy định tại điểm c khoản 1 Điều này.</w:t>
      </w:r>
    </w:p>
    <w:p w14:paraId="5DDA90E0"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b/>
          <w:color w:val="000000" w:themeColor="text1"/>
          <w:sz w:val="20"/>
          <w:szCs w:val="20"/>
        </w:rPr>
        <w:t>Điều 25. Chi phí tiếp cận thông tin</w:t>
      </w:r>
    </w:p>
    <w:p w14:paraId="24F4C841"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1. Công dân được cung cấp thông tin không phải trả phí, lệ phí, trừ trường hợp pháp luật có liên quan quy định khác.</w:t>
      </w:r>
    </w:p>
    <w:p w14:paraId="5DB32826"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2. Người yêu cầu cung cấp thông tin có trách nhiệm thanh toán chi phí thực tế để in, sao, chụp, gửi thông tin.</w:t>
      </w:r>
    </w:p>
    <w:p w14:paraId="3D181F09"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Trường hợp người yêu cầu cung cấp thông tin theo quy định tại điểm a và điểm c khoản 1 Điều 23 của Luật này thì không phải trả chi phí.</w:t>
      </w:r>
    </w:p>
    <w:p w14:paraId="616B5EF4"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Bộ trưởng Bộ Tài chính quy định chi tiết khoản này.</w:t>
      </w:r>
    </w:p>
    <w:p w14:paraId="6F26A9CE"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b/>
          <w:color w:val="000000" w:themeColor="text1"/>
          <w:sz w:val="20"/>
          <w:szCs w:val="20"/>
        </w:rPr>
        <w:t>Điều 26. Trình tự, thủ tục cung cấp thông tin theo yêu cầu</w:t>
      </w:r>
    </w:p>
    <w:p w14:paraId="394D24A5"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1. Người yêu cầu cung cấp thông tin phải gửi yêu cầu cung cấp thông tin theo quy định. Đối với yêu cầu cung cấp thông tin quy định tại khoản 1 và khoản 2 Điều 16 của Luật này thì phải kèm theo văn bản đồng ý của cá nhân, tổ chức liên quan.</w:t>
      </w:r>
    </w:p>
    <w:p w14:paraId="5F839B7E"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2. Cơ quan, đơn vị có trách nhiệm tiếp nhận, hướng dẫn công dân thực hiện yêu cầu cung cấp thông tin; giải thích, giúp đỡ người gặp khó khăn trong tiếp cận thông tin; thực hiện việc cung cấp thông tin hoặc từ chối yêu cầu cung cấp thông tin bằng văn bản và nêu rõ lý do trong trường hợp quy định tại Điều 27 của Luật này.</w:t>
      </w:r>
    </w:p>
    <w:p w14:paraId="782E1AD5" w14:textId="41CF82EE"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3. Tùy từng trường hợp cụ thể, chậm nhất là 12 ngày kể từ ngày nhận</w:t>
      </w:r>
      <w:r w:rsidR="00B67246">
        <w:rPr>
          <w:rFonts w:ascii="Arial" w:hAnsi="Arial" w:cs="Arial"/>
          <w:color w:val="000000" w:themeColor="text1"/>
          <w:sz w:val="20"/>
          <w:szCs w:val="20"/>
        </w:rPr>
        <w:t xml:space="preserve"> </w:t>
      </w:r>
      <w:r w:rsidRPr="00B67246">
        <w:rPr>
          <w:rFonts w:ascii="Arial" w:hAnsi="Arial" w:cs="Arial"/>
          <w:color w:val="000000" w:themeColor="text1"/>
          <w:sz w:val="20"/>
          <w:szCs w:val="20"/>
        </w:rPr>
        <w:t>được yêu cầu cung cấp thông tin hợp lệ, cơ quan, đơn vị có trách nhiệm cung cấp thông tin cho công dân; trường hợp cần thêm thời gian để xem xét, tìm kiếm, phân tách, tập hợp, sao chép, giải quyết yêu cầu cung cấp thông tin thì có thể gia hạn nhưng tối đa không quá 12 ngày và phải có văn bản thông báo về việc gia hạn trong thời hạn cung cấp thông tin.</w:t>
      </w:r>
    </w:p>
    <w:p w14:paraId="1BC86141"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4. Chính phủ quy định trình tự, thủ tục cung cấp thông tin theo yêu cầu và các mẫu văn bản sử dụng trong cung cấp thông tin theo yêu cầu.</w:t>
      </w:r>
    </w:p>
    <w:p w14:paraId="7147C876"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b/>
          <w:color w:val="000000" w:themeColor="text1"/>
          <w:sz w:val="20"/>
          <w:szCs w:val="20"/>
        </w:rPr>
        <w:t>Điều 27. Từ chối yêu cầu cung cấp thông tin</w:t>
      </w:r>
    </w:p>
    <w:p w14:paraId="69E24C81" w14:textId="50DEC258"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Cơ quan, đơn vị từ chối cung cấp thông tin trong các trường hợp sau đây</w:t>
      </w:r>
      <w:r w:rsidR="00B67246">
        <w:rPr>
          <w:rFonts w:ascii="Arial" w:hAnsi="Arial" w:cs="Arial"/>
          <w:color w:val="000000" w:themeColor="text1"/>
          <w:sz w:val="20"/>
          <w:szCs w:val="20"/>
        </w:rPr>
        <w:t>:</w:t>
      </w:r>
    </w:p>
    <w:p w14:paraId="299DD199"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1. Thông tin quy định tại Điều 15 của Luật này; thông tin không đáp ứng điều kiện quy định tại Điều 16 của Luật này;</w:t>
      </w:r>
    </w:p>
    <w:p w14:paraId="267EA12B"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2. Thông tin được công khai theo quy định tại Điều 17 của Luật này, trừ trường hợp quy định tại khoản 1 Điều 23 của Luật này;</w:t>
      </w:r>
    </w:p>
    <w:p w14:paraId="62F9A624"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3. Thông tin được yêu cầu không thuộc trách nhiệm cung cấp;</w:t>
      </w:r>
    </w:p>
    <w:p w14:paraId="1E67A3C6"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4. Thông tin đã được cung cấp hai lần cho chính người yêu cầu, trừ trường hợp người yêu cầu có lý do chính đáng;</w:t>
      </w:r>
    </w:p>
    <w:p w14:paraId="09029D9A"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5. Thông tin được yêu cầu vượt quá khả năng đáp ứng hoặc làm ảnh hưởng đến hoạt động bình thường của cơ quan, đơn vị;</w:t>
      </w:r>
    </w:p>
    <w:p w14:paraId="4464D90A"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6. Người yêu cầu cung cấp thông tin không thanh toán chi phí thực tế để in, sao, chụp, gửi thông tin theo quy định tại Điều 25 của Luật này.</w:t>
      </w:r>
    </w:p>
    <w:p w14:paraId="6BE72208"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b/>
          <w:color w:val="000000" w:themeColor="text1"/>
          <w:sz w:val="20"/>
          <w:szCs w:val="20"/>
        </w:rPr>
        <w:t>Điều 28. Xử lý thông tin cung cấp theo yêu cầu không chính xác, không đầy đủ</w:t>
      </w:r>
    </w:p>
    <w:p w14:paraId="1D117F19"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1. Trường hợp phát hiện thông tin do mình cung cấp không chính xác, không đầy đủ thì chậm nhất là 05 ngày làm việc kể từ ngày phát hiện, cơ quan, đơn vị có trách nhiệm đính chính, cung cấp lại hoặc bổ sung thông tin thiếu.</w:t>
      </w:r>
    </w:p>
    <w:p w14:paraId="4345B507"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lastRenderedPageBreak/>
        <w:t>2. Trường hợp người yêu cầu cung cấp thông tin cho rằng thông tin được cung cấp là không chính xác, không đầy đủ thì có quyền yêu cầu cơ quan, đơn vị đã cung cấp thông tin cung cấp lại thông tin chính xác, cung cấp bổ sung thông tin thiếu.</w:t>
      </w:r>
    </w:p>
    <w:p w14:paraId="643EAA4D" w14:textId="37BF23A0" w:rsidR="006F1EE8" w:rsidRDefault="009B742F" w:rsidP="00B67246">
      <w:pPr>
        <w:adjustRightInd w:val="0"/>
        <w:snapToGrid w:val="0"/>
        <w:spacing w:after="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Chậm nhất là 10 ngày kể từ ngày nhận được yêu cầu, cơ quan, đơn vị đã cung cấp thông tin có trách nhiệm xác định tính chính xác, đầy đủ của thông tin và trả lời cho người yêu cầu; nếu thông tin đã cung cấp không chính xác, không đầy đủ thì phải cung cấp lại thông tin chính xác, cung cấp bổ sung thông tin thiếu.</w:t>
      </w:r>
    </w:p>
    <w:p w14:paraId="3AC67D2E" w14:textId="77777777" w:rsidR="00B67246" w:rsidRPr="00B67246" w:rsidRDefault="00B67246" w:rsidP="00B67246">
      <w:pPr>
        <w:adjustRightInd w:val="0"/>
        <w:snapToGrid w:val="0"/>
        <w:spacing w:after="0" w:line="240" w:lineRule="auto"/>
        <w:jc w:val="center"/>
        <w:rPr>
          <w:rFonts w:ascii="Arial" w:hAnsi="Arial" w:cs="Arial"/>
          <w:color w:val="000000" w:themeColor="text1"/>
          <w:sz w:val="20"/>
          <w:szCs w:val="20"/>
        </w:rPr>
      </w:pPr>
    </w:p>
    <w:p w14:paraId="5318473B" w14:textId="77777777" w:rsidR="006F1EE8" w:rsidRPr="00B67246" w:rsidRDefault="009B742F" w:rsidP="00B67246">
      <w:pPr>
        <w:adjustRightInd w:val="0"/>
        <w:snapToGrid w:val="0"/>
        <w:spacing w:after="0" w:line="240" w:lineRule="auto"/>
        <w:jc w:val="center"/>
        <w:rPr>
          <w:rFonts w:ascii="Arial" w:hAnsi="Arial" w:cs="Arial"/>
          <w:color w:val="000000" w:themeColor="text1"/>
          <w:sz w:val="20"/>
          <w:szCs w:val="20"/>
        </w:rPr>
      </w:pPr>
      <w:r w:rsidRPr="00B67246">
        <w:rPr>
          <w:rFonts w:ascii="Arial" w:hAnsi="Arial" w:cs="Arial"/>
          <w:b/>
          <w:color w:val="000000" w:themeColor="text1"/>
          <w:sz w:val="20"/>
          <w:szCs w:val="20"/>
        </w:rPr>
        <w:t>Chương IV</w:t>
      </w:r>
    </w:p>
    <w:p w14:paraId="6571748E" w14:textId="6BBD0F32" w:rsidR="006F1EE8" w:rsidRDefault="009B742F" w:rsidP="00B67246">
      <w:pPr>
        <w:adjustRightInd w:val="0"/>
        <w:snapToGrid w:val="0"/>
        <w:spacing w:after="0" w:line="240" w:lineRule="auto"/>
        <w:jc w:val="center"/>
        <w:rPr>
          <w:rFonts w:ascii="Arial" w:hAnsi="Arial" w:cs="Arial"/>
          <w:b/>
          <w:color w:val="000000" w:themeColor="text1"/>
          <w:sz w:val="20"/>
          <w:szCs w:val="20"/>
        </w:rPr>
      </w:pPr>
      <w:r w:rsidRPr="00B67246">
        <w:rPr>
          <w:rFonts w:ascii="Arial" w:hAnsi="Arial" w:cs="Arial"/>
          <w:b/>
          <w:color w:val="000000" w:themeColor="text1"/>
          <w:sz w:val="20"/>
          <w:szCs w:val="20"/>
        </w:rPr>
        <w:t>ĐIỀU KHOẢN THI HÀNH</w:t>
      </w:r>
    </w:p>
    <w:p w14:paraId="4EFCE7ED" w14:textId="77777777" w:rsidR="00B67246" w:rsidRPr="00B67246" w:rsidRDefault="00B67246" w:rsidP="00B67246">
      <w:pPr>
        <w:adjustRightInd w:val="0"/>
        <w:snapToGrid w:val="0"/>
        <w:spacing w:after="0" w:line="240" w:lineRule="auto"/>
        <w:jc w:val="center"/>
        <w:rPr>
          <w:rFonts w:ascii="Arial" w:hAnsi="Arial" w:cs="Arial"/>
          <w:color w:val="000000" w:themeColor="text1"/>
          <w:sz w:val="20"/>
          <w:szCs w:val="20"/>
        </w:rPr>
      </w:pPr>
    </w:p>
    <w:p w14:paraId="4C91486C"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b/>
          <w:color w:val="000000" w:themeColor="text1"/>
          <w:sz w:val="20"/>
          <w:szCs w:val="20"/>
        </w:rPr>
        <w:t>Điều 29. Điều khoản áp dụng</w:t>
      </w:r>
    </w:p>
    <w:p w14:paraId="7C943318"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1. Người nước ngoài cư trú tại Việt Nam được yêu cầu cung cấp thông tin liên quan trực tiếp đến quyền và nghĩa vụ của mình.</w:t>
      </w:r>
    </w:p>
    <w:p w14:paraId="5C791415"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Việc cung cấp thông tin đối với người nước ngoài cư trú tại Việt Nam được áp dụng theo quy định tại Mục 3 Chương III của Luật này.</w:t>
      </w:r>
    </w:p>
    <w:p w14:paraId="2C0446EB"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2. Công dân có thể yêu cầu cung cấp thông tin thông qua tổ chức, đoàn thể, doanh nghiệp của mình trong trường hợp nhiều người của tổ chức, đoàn thể, doanh nghiệp đó cùng có yêu cầu cung cấp thông tin giống nhau.</w:t>
      </w:r>
    </w:p>
    <w:p w14:paraId="3B215E51"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Chính phủ quy định chi tiết khoản này.</w:t>
      </w:r>
    </w:p>
    <w:p w14:paraId="0A2C2511"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b/>
          <w:color w:val="000000" w:themeColor="text1"/>
          <w:sz w:val="20"/>
          <w:szCs w:val="20"/>
        </w:rPr>
        <w:t>Điều 30. Hiệu lực thi hành</w:t>
      </w:r>
    </w:p>
    <w:p w14:paraId="5A96B645"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1. Luật này có hiệu lực thi hành từ ngày 01 tháng 9 năm 2026.</w:t>
      </w:r>
    </w:p>
    <w:p w14:paraId="62DB5EA3"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2. Luật Tiếp cận thông tin số 104/2016/QH13 hết hiệu lực từ ngày Luật này có hiệu lực thi hành, trừ quy định tại khoản 4 Điều 31 của Luật này.</w:t>
      </w:r>
    </w:p>
    <w:p w14:paraId="14CA90CC" w14:textId="77777777"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b/>
          <w:color w:val="000000" w:themeColor="text1"/>
          <w:sz w:val="20"/>
          <w:szCs w:val="20"/>
        </w:rPr>
        <w:t>Điều 31. Điều khoản chuyển tiếp</w:t>
      </w:r>
    </w:p>
    <w:p w14:paraId="3A21A612" w14:textId="7CFF1C3B"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1. Việc cung cấp thông tin do cơ quan, đơn vị tạo ra hoặc nắm giữ trước khi sắp xếp tổ chức bộ máy do cơ quan, đơn vị tiếp nhận chức năng, nhiệm vụ</w:t>
      </w:r>
      <w:r w:rsidR="00024A34">
        <w:rPr>
          <w:rFonts w:ascii="Arial" w:hAnsi="Arial" w:cs="Arial"/>
          <w:color w:val="000000" w:themeColor="text1"/>
          <w:sz w:val="20"/>
          <w:szCs w:val="20"/>
        </w:rPr>
        <w:t>,</w:t>
      </w:r>
      <w:r w:rsidR="00272AB4">
        <w:rPr>
          <w:rFonts w:ascii="Arial" w:hAnsi="Arial" w:cs="Arial"/>
          <w:color w:val="000000" w:themeColor="text1"/>
          <w:sz w:val="20"/>
          <w:szCs w:val="20"/>
        </w:rPr>
        <w:t xml:space="preserve"> </w:t>
      </w:r>
      <w:r w:rsidRPr="00B67246">
        <w:rPr>
          <w:rFonts w:ascii="Arial" w:hAnsi="Arial" w:cs="Arial"/>
          <w:color w:val="000000" w:themeColor="text1"/>
          <w:sz w:val="20"/>
          <w:szCs w:val="20"/>
        </w:rPr>
        <w:t>quyền hạn của cơ quan, đơn vị đó thực hiện theo quy định của Luật này.</w:t>
      </w:r>
    </w:p>
    <w:p w14:paraId="130FBD99" w14:textId="2134A35A"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2. Việc cung cấp thông tin do đơn vị sự nghiệp công lập có nhiệm vụ cung</w:t>
      </w:r>
      <w:r w:rsidR="00B67246">
        <w:rPr>
          <w:rFonts w:ascii="Arial" w:hAnsi="Arial" w:cs="Arial"/>
          <w:color w:val="000000" w:themeColor="text1"/>
          <w:sz w:val="20"/>
          <w:szCs w:val="20"/>
        </w:rPr>
        <w:t xml:space="preserve"> </w:t>
      </w:r>
      <w:r w:rsidRPr="00B67246">
        <w:rPr>
          <w:rFonts w:ascii="Arial" w:hAnsi="Arial" w:cs="Arial"/>
          <w:color w:val="000000" w:themeColor="text1"/>
          <w:sz w:val="20"/>
          <w:szCs w:val="20"/>
        </w:rPr>
        <w:t>ứng dịch vụ sự nghiệp công cơ bản, thiết yếu tạo ra hoặc nắm giữ trước ngày Luật này có hiệu lực thi hành được tiếp tục thực hiện theo quy định của pháp luật có liên quan.</w:t>
      </w:r>
    </w:p>
    <w:p w14:paraId="58E7DD56" w14:textId="61C95029" w:rsidR="006F1EE8"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3. Thông tin tại khoản 1 Điều 17 của Luật này do cơ quan nhà nước tạo ra</w:t>
      </w:r>
      <w:r w:rsidR="00B67246">
        <w:rPr>
          <w:rFonts w:ascii="Arial" w:hAnsi="Arial" w:cs="Arial"/>
          <w:color w:val="000000" w:themeColor="text1"/>
          <w:sz w:val="20"/>
          <w:szCs w:val="20"/>
        </w:rPr>
        <w:t xml:space="preserve"> </w:t>
      </w:r>
      <w:r w:rsidRPr="00B67246">
        <w:rPr>
          <w:rFonts w:ascii="Arial" w:hAnsi="Arial" w:cs="Arial"/>
          <w:color w:val="000000" w:themeColor="text1"/>
          <w:sz w:val="20"/>
          <w:szCs w:val="20"/>
        </w:rPr>
        <w:t>hoặc nắm giữ trước ngày Luật này có hiệu lực thi hành nhưng chưa được Luật Tiếp cận thông tin số 104/2016/QH13 và pháp luật có liên quan quy định phải công khai thì trong thời hạn 06 tháng kể từ ngày Luật này có hiệu lực thi hành phải công khai thông tin theo quy định của Luật này.</w:t>
      </w:r>
    </w:p>
    <w:p w14:paraId="2767A5E0" w14:textId="3B78BF9A" w:rsidR="006F1EE8" w:rsidRDefault="009B742F" w:rsidP="00B67246">
      <w:pPr>
        <w:adjustRightInd w:val="0"/>
        <w:snapToGrid w:val="0"/>
        <w:spacing w:after="120" w:line="240" w:lineRule="auto"/>
        <w:ind w:firstLine="720"/>
        <w:jc w:val="both"/>
        <w:rPr>
          <w:rFonts w:ascii="Arial" w:hAnsi="Arial" w:cs="Arial"/>
          <w:color w:val="000000" w:themeColor="text1"/>
          <w:sz w:val="20"/>
          <w:szCs w:val="20"/>
        </w:rPr>
      </w:pPr>
      <w:r w:rsidRPr="00B67246">
        <w:rPr>
          <w:rFonts w:ascii="Arial" w:hAnsi="Arial" w:cs="Arial"/>
          <w:color w:val="000000" w:themeColor="text1"/>
          <w:sz w:val="20"/>
          <w:szCs w:val="20"/>
        </w:rPr>
        <w:t>4. Yêu cầu cung cấp thông tin được gửi đến các cơ quan nhà nước trước</w:t>
      </w:r>
      <w:r w:rsidR="00B67246">
        <w:rPr>
          <w:rFonts w:ascii="Arial" w:hAnsi="Arial" w:cs="Arial"/>
          <w:color w:val="000000" w:themeColor="text1"/>
          <w:sz w:val="20"/>
          <w:szCs w:val="20"/>
        </w:rPr>
        <w:t xml:space="preserve"> </w:t>
      </w:r>
      <w:r w:rsidRPr="00B67246">
        <w:rPr>
          <w:rFonts w:ascii="Arial" w:hAnsi="Arial" w:cs="Arial"/>
          <w:color w:val="000000" w:themeColor="text1"/>
          <w:sz w:val="20"/>
          <w:szCs w:val="20"/>
        </w:rPr>
        <w:t>ngày Luật này có hiệu lực thi hành nhưng chưa được giải quyết thì tiếp tục được giải quyết theo quy định của Luật Tiếp cận thông tin số 104/2016/QH13.</w:t>
      </w:r>
    </w:p>
    <w:p w14:paraId="4CD47E26" w14:textId="38E7F1A5" w:rsidR="00B67246" w:rsidRPr="00B67246" w:rsidRDefault="00B67246" w:rsidP="00B67246">
      <w:pPr>
        <w:adjustRightInd w:val="0"/>
        <w:snapToGrid w:val="0"/>
        <w:spacing w:after="120" w:line="240" w:lineRule="auto"/>
        <w:jc w:val="both"/>
        <w:rPr>
          <w:rFonts w:ascii="Arial" w:hAnsi="Arial" w:cs="Arial"/>
          <w:color w:val="000000" w:themeColor="text1"/>
          <w:sz w:val="20"/>
          <w:szCs w:val="20"/>
        </w:rPr>
      </w:pPr>
      <w:r>
        <w:rPr>
          <w:rFonts w:ascii="Arial" w:hAnsi="Arial" w:cs="Arial"/>
          <w:color w:val="000000" w:themeColor="text1"/>
          <w:sz w:val="20"/>
          <w:szCs w:val="20"/>
        </w:rPr>
        <w:t>_________________________________________________________________________________</w:t>
      </w:r>
    </w:p>
    <w:p w14:paraId="4E5357CB" w14:textId="4215EC5E" w:rsidR="006F1EE8" w:rsidRDefault="009B742F" w:rsidP="00B67246">
      <w:pPr>
        <w:adjustRightInd w:val="0"/>
        <w:snapToGrid w:val="0"/>
        <w:spacing w:after="0" w:line="240" w:lineRule="auto"/>
        <w:ind w:firstLine="720"/>
        <w:jc w:val="both"/>
        <w:rPr>
          <w:rFonts w:ascii="Arial" w:hAnsi="Arial" w:cs="Arial"/>
          <w:i/>
          <w:color w:val="000000" w:themeColor="text1"/>
          <w:sz w:val="20"/>
          <w:szCs w:val="20"/>
        </w:rPr>
      </w:pPr>
      <w:r w:rsidRPr="00B67246">
        <w:rPr>
          <w:rFonts w:ascii="Arial" w:hAnsi="Arial" w:cs="Arial"/>
          <w:i/>
          <w:color w:val="000000" w:themeColor="text1"/>
          <w:sz w:val="20"/>
          <w:szCs w:val="20"/>
        </w:rPr>
        <w:t>Luật này được Quốc hội nước Cộng hòa xã hội chủ nghĩa Việt Nam khóa XVI, Kỳ họp thứ Nhất thông qua ngày 23 tháng 4 năm 2026</w:t>
      </w:r>
      <w:r w:rsidR="00383873">
        <w:rPr>
          <w:rFonts w:ascii="Arial" w:hAnsi="Arial" w:cs="Arial"/>
          <w:i/>
          <w:color w:val="000000" w:themeColor="text1"/>
          <w:sz w:val="20"/>
          <w:szCs w:val="20"/>
        </w:rPr>
        <w:t>.</w:t>
      </w:r>
    </w:p>
    <w:p w14:paraId="45BDA98D" w14:textId="625200B9" w:rsidR="00B67246" w:rsidRPr="00B67246" w:rsidRDefault="00B67246" w:rsidP="00B67246">
      <w:pPr>
        <w:adjustRightInd w:val="0"/>
        <w:snapToGrid w:val="0"/>
        <w:spacing w:after="0" w:line="240" w:lineRule="auto"/>
        <w:jc w:val="center"/>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B67246" w:rsidRPr="00B67246" w14:paraId="509784DC" w14:textId="77777777" w:rsidTr="00B67246">
        <w:tc>
          <w:tcPr>
            <w:tcW w:w="2500" w:type="pct"/>
          </w:tcPr>
          <w:p w14:paraId="6E5BE348" w14:textId="77777777" w:rsidR="006F1EE8" w:rsidRPr="00B67246" w:rsidRDefault="006F1EE8" w:rsidP="00B67246">
            <w:pPr>
              <w:adjustRightInd w:val="0"/>
              <w:snapToGrid w:val="0"/>
              <w:spacing w:after="0" w:line="240" w:lineRule="auto"/>
              <w:jc w:val="center"/>
              <w:rPr>
                <w:rFonts w:ascii="Arial" w:hAnsi="Arial" w:cs="Arial"/>
                <w:color w:val="000000" w:themeColor="text1"/>
                <w:sz w:val="20"/>
                <w:szCs w:val="20"/>
              </w:rPr>
            </w:pPr>
          </w:p>
        </w:tc>
        <w:tc>
          <w:tcPr>
            <w:tcW w:w="2500" w:type="pct"/>
          </w:tcPr>
          <w:p w14:paraId="562B2782" w14:textId="77777777" w:rsidR="006F1EE8" w:rsidRPr="00B67246" w:rsidRDefault="009B742F" w:rsidP="00B67246">
            <w:pPr>
              <w:adjustRightInd w:val="0"/>
              <w:snapToGrid w:val="0"/>
              <w:spacing w:after="0" w:line="240" w:lineRule="auto"/>
              <w:jc w:val="center"/>
              <w:rPr>
                <w:rFonts w:ascii="Arial" w:hAnsi="Arial" w:cs="Arial"/>
                <w:color w:val="000000" w:themeColor="text1"/>
                <w:sz w:val="20"/>
                <w:szCs w:val="20"/>
              </w:rPr>
            </w:pPr>
            <w:r w:rsidRPr="00B67246">
              <w:rPr>
                <w:rFonts w:ascii="Arial" w:hAnsi="Arial" w:cs="Arial"/>
                <w:b/>
                <w:color w:val="000000" w:themeColor="text1"/>
                <w:sz w:val="20"/>
                <w:szCs w:val="20"/>
              </w:rPr>
              <w:t>CHỦ TỊCH QUỐC HỘI</w:t>
            </w:r>
            <w:r w:rsidRPr="00B67246">
              <w:rPr>
                <w:rFonts w:ascii="Arial" w:hAnsi="Arial" w:cs="Arial"/>
                <w:color w:val="000000" w:themeColor="text1"/>
                <w:sz w:val="20"/>
                <w:szCs w:val="20"/>
              </w:rPr>
              <w:br/>
            </w:r>
            <w:r w:rsidRPr="00B67246">
              <w:rPr>
                <w:rFonts w:ascii="Arial" w:hAnsi="Arial" w:cs="Arial"/>
                <w:color w:val="000000" w:themeColor="text1"/>
                <w:sz w:val="20"/>
                <w:szCs w:val="20"/>
              </w:rPr>
              <w:br/>
            </w:r>
            <w:r w:rsidRPr="00B67246">
              <w:rPr>
                <w:rFonts w:ascii="Arial" w:hAnsi="Arial" w:cs="Arial"/>
                <w:color w:val="000000" w:themeColor="text1"/>
                <w:sz w:val="20"/>
                <w:szCs w:val="20"/>
              </w:rPr>
              <w:br/>
            </w:r>
            <w:r w:rsidRPr="00B67246">
              <w:rPr>
                <w:rFonts w:ascii="Arial" w:hAnsi="Arial" w:cs="Arial"/>
                <w:color w:val="000000" w:themeColor="text1"/>
                <w:sz w:val="20"/>
                <w:szCs w:val="20"/>
              </w:rPr>
              <w:br/>
            </w:r>
            <w:r w:rsidRPr="00B67246">
              <w:rPr>
                <w:rFonts w:ascii="Arial" w:hAnsi="Arial" w:cs="Arial"/>
                <w:color w:val="000000" w:themeColor="text1"/>
                <w:sz w:val="20"/>
                <w:szCs w:val="20"/>
              </w:rPr>
              <w:br/>
            </w:r>
            <w:r w:rsidRPr="00B67246">
              <w:rPr>
                <w:rFonts w:ascii="Arial" w:hAnsi="Arial" w:cs="Arial"/>
                <w:color w:val="000000" w:themeColor="text1"/>
                <w:sz w:val="20"/>
                <w:szCs w:val="20"/>
              </w:rPr>
              <w:br/>
            </w:r>
            <w:r w:rsidRPr="00B67246">
              <w:rPr>
                <w:rFonts w:ascii="Arial" w:hAnsi="Arial" w:cs="Arial"/>
                <w:color w:val="000000" w:themeColor="text1"/>
                <w:sz w:val="20"/>
                <w:szCs w:val="20"/>
              </w:rPr>
              <w:br/>
            </w:r>
            <w:r w:rsidRPr="00B67246">
              <w:rPr>
                <w:rFonts w:ascii="Arial" w:hAnsi="Arial" w:cs="Arial"/>
                <w:color w:val="000000" w:themeColor="text1"/>
                <w:sz w:val="20"/>
                <w:szCs w:val="20"/>
              </w:rPr>
              <w:br/>
            </w:r>
            <w:r w:rsidRPr="00B67246">
              <w:rPr>
                <w:rFonts w:ascii="Arial" w:hAnsi="Arial" w:cs="Arial"/>
                <w:b/>
                <w:color w:val="000000" w:themeColor="text1"/>
                <w:sz w:val="20"/>
                <w:szCs w:val="20"/>
              </w:rPr>
              <w:t>Trần Thanh Mẫn</w:t>
            </w:r>
          </w:p>
        </w:tc>
      </w:tr>
    </w:tbl>
    <w:p w14:paraId="5FD0D592" w14:textId="77777777" w:rsidR="009B742F" w:rsidRPr="00B67246" w:rsidRDefault="009B742F" w:rsidP="00B67246">
      <w:pPr>
        <w:adjustRightInd w:val="0"/>
        <w:snapToGrid w:val="0"/>
        <w:spacing w:after="120" w:line="240" w:lineRule="auto"/>
        <w:ind w:firstLine="720"/>
        <w:jc w:val="both"/>
        <w:rPr>
          <w:rFonts w:ascii="Arial" w:hAnsi="Arial" w:cs="Arial"/>
          <w:color w:val="000000" w:themeColor="text1"/>
          <w:sz w:val="20"/>
          <w:szCs w:val="20"/>
        </w:rPr>
      </w:pPr>
    </w:p>
    <w:sectPr w:rsidR="009B742F" w:rsidRPr="00B67246" w:rsidSect="00B67246">
      <w:pgSz w:w="11906" w:h="16838" w:code="9"/>
      <w:pgMar w:top="1440" w:right="1440" w:bottom="1440" w:left="144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F83D2D" w14:textId="77777777" w:rsidR="006F6721" w:rsidRDefault="006F6721">
      <w:pPr>
        <w:spacing w:after="0" w:line="240" w:lineRule="auto"/>
      </w:pPr>
      <w:r>
        <w:separator/>
      </w:r>
    </w:p>
  </w:endnote>
  <w:endnote w:type="continuationSeparator" w:id="0">
    <w:p w14:paraId="5C461088" w14:textId="77777777" w:rsidR="006F6721" w:rsidRDefault="006F67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609F8D" w14:textId="77777777" w:rsidR="006F6721" w:rsidRDefault="006F6721">
      <w:pPr>
        <w:spacing w:after="0" w:line="240" w:lineRule="auto"/>
      </w:pPr>
      <w:r>
        <w:separator/>
      </w:r>
    </w:p>
  </w:footnote>
  <w:footnote w:type="continuationSeparator" w:id="0">
    <w:p w14:paraId="611AC953" w14:textId="77777777" w:rsidR="006F6721" w:rsidRDefault="006F672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EE8"/>
    <w:rsid w:val="00024A34"/>
    <w:rsid w:val="00176BFE"/>
    <w:rsid w:val="00272AB4"/>
    <w:rsid w:val="00383873"/>
    <w:rsid w:val="004D282B"/>
    <w:rsid w:val="004D61D1"/>
    <w:rsid w:val="00546AFB"/>
    <w:rsid w:val="006F1EE8"/>
    <w:rsid w:val="006F6721"/>
    <w:rsid w:val="00800DBD"/>
    <w:rsid w:val="009B742F"/>
    <w:rsid w:val="00B67246"/>
    <w:rsid w:val="00C11D5B"/>
    <w:rsid w:val="00E607D6"/>
    <w:rsid w:val="00E94036"/>
    <w:rsid w:val="00EE7F89"/>
    <w:rsid w:val="00F846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1652CC"/>
  <w15:docId w15:val="{DB8EC0DA-F9A2-4B91-94E1-4D2724352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72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7246"/>
  </w:style>
  <w:style w:type="paragraph" w:styleId="Footer">
    <w:name w:val="footer"/>
    <w:basedOn w:val="Normal"/>
    <w:link w:val="FooterChar"/>
    <w:uiPriority w:val="99"/>
    <w:unhideWhenUsed/>
    <w:rsid w:val="00B672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72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10</Pages>
  <Words>5130</Words>
  <Characters>29241</Characters>
  <Application>Microsoft Office Word</Application>
  <DocSecurity>0</DocSecurity>
  <Lines>243</Lines>
  <Paragraphs>68</Paragraphs>
  <ScaleCrop>false</ScaleCrop>
  <Company/>
  <LinksUpToDate>false</LinksUpToDate>
  <CharactersWithSpaces>34303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Nguyen Xuan Huy</cp:lastModifiedBy>
  <cp:revision>15</cp:revision>
  <dcterms:created xsi:type="dcterms:W3CDTF">2026-05-16T01:58:00Z</dcterms:created>
  <dcterms:modified xsi:type="dcterms:W3CDTF">2026-05-18T01:59:00Z</dcterms:modified>
</cp:coreProperties>
</file>