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828"/>
        <w:gridCol w:w="5192"/>
      </w:tblGrid>
      <w:tr w:rsidR="00F60AF1" w:rsidRPr="00597990" w:rsidTr="00F60AF1">
        <w:tc>
          <w:tcPr>
            <w:tcW w:w="2122" w:type="pct"/>
            <w:shd w:val="clear" w:color="auto" w:fill="auto"/>
          </w:tcPr>
          <w:p w:rsidR="00F60AF1" w:rsidRPr="00597990" w:rsidRDefault="00F60AF1" w:rsidP="00F60AF1">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rsidR="00F60AF1" w:rsidRPr="00707B1C" w:rsidRDefault="00707B1C" w:rsidP="00F60AF1">
            <w:pPr>
              <w:pStyle w:val="Vnbnnidung0"/>
              <w:spacing w:after="0" w:line="240" w:lineRule="auto"/>
              <w:ind w:firstLine="0"/>
              <w:jc w:val="center"/>
              <w:rPr>
                <w:rFonts w:ascii="Arial" w:hAnsi="Arial" w:cs="Arial"/>
                <w:bCs/>
                <w:sz w:val="20"/>
                <w:szCs w:val="20"/>
                <w:vertAlign w:val="superscript"/>
              </w:rPr>
            </w:pPr>
            <w:r w:rsidRPr="00707B1C">
              <w:rPr>
                <w:rFonts w:ascii="Arial" w:hAnsi="Arial" w:cs="Arial"/>
                <w:bCs/>
                <w:sz w:val="20"/>
                <w:szCs w:val="20"/>
                <w:vertAlign w:val="superscript"/>
              </w:rPr>
              <w:t>______</w:t>
            </w:r>
          </w:p>
          <w:p w:rsidR="00F60AF1" w:rsidRPr="00F60AF1" w:rsidRDefault="00F60AF1" w:rsidP="00F60AF1">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04/2024/NĐ-CP</w:t>
            </w:r>
          </w:p>
        </w:tc>
        <w:tc>
          <w:tcPr>
            <w:tcW w:w="2878" w:type="pct"/>
            <w:shd w:val="clear" w:color="auto" w:fill="auto"/>
          </w:tcPr>
          <w:p w:rsidR="00F60AF1" w:rsidRPr="00597990" w:rsidRDefault="00F60AF1" w:rsidP="00F60AF1">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F60AF1" w:rsidRPr="00597990" w:rsidRDefault="00F60AF1" w:rsidP="00F60AF1">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F60AF1" w:rsidRPr="00597990" w:rsidRDefault="00F60AF1" w:rsidP="00F60AF1">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F60AF1" w:rsidRPr="00597990" w:rsidRDefault="00F60AF1" w:rsidP="00F60AF1">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12</w:t>
            </w:r>
            <w:r>
              <w:rPr>
                <w:rFonts w:ascii="Arial" w:hAnsi="Arial" w:cs="Arial"/>
                <w:i/>
                <w:iCs/>
                <w:sz w:val="20"/>
                <w:szCs w:val="20"/>
              </w:rPr>
              <w:t xml:space="preserve"> tháng </w:t>
            </w:r>
            <w:r>
              <w:rPr>
                <w:rFonts w:ascii="Arial" w:hAnsi="Arial" w:cs="Arial"/>
                <w:i/>
                <w:iCs/>
                <w:sz w:val="20"/>
                <w:szCs w:val="20"/>
                <w:lang w:val="en-US"/>
              </w:rPr>
              <w:t>01</w:t>
            </w:r>
            <w:r>
              <w:rPr>
                <w:rFonts w:ascii="Arial" w:hAnsi="Arial" w:cs="Arial"/>
                <w:i/>
                <w:iCs/>
                <w:sz w:val="20"/>
                <w:szCs w:val="20"/>
              </w:rPr>
              <w:t xml:space="preserve"> năm 2024</w:t>
            </w:r>
          </w:p>
        </w:tc>
      </w:tr>
    </w:tbl>
    <w:p w:rsidR="00F60AF1" w:rsidRDefault="00F60AF1" w:rsidP="00A64D96">
      <w:pPr>
        <w:pStyle w:val="Vnbnnidung0"/>
        <w:spacing w:after="0" w:line="240" w:lineRule="auto"/>
        <w:ind w:firstLine="0"/>
        <w:jc w:val="center"/>
        <w:rPr>
          <w:rFonts w:ascii="Arial" w:hAnsi="Arial" w:cs="Arial"/>
          <w:b/>
          <w:bCs/>
          <w:sz w:val="20"/>
          <w:szCs w:val="20"/>
        </w:rPr>
      </w:pPr>
    </w:p>
    <w:p w:rsidR="00F60AF1" w:rsidRDefault="00F60AF1" w:rsidP="00A64D96">
      <w:pPr>
        <w:pStyle w:val="Vnbnnidung0"/>
        <w:spacing w:after="0" w:line="240" w:lineRule="auto"/>
        <w:ind w:firstLine="0"/>
        <w:jc w:val="center"/>
        <w:rPr>
          <w:rFonts w:ascii="Arial" w:hAnsi="Arial" w:cs="Arial"/>
          <w:b/>
          <w:bCs/>
          <w:sz w:val="20"/>
          <w:szCs w:val="20"/>
        </w:rPr>
      </w:pPr>
    </w:p>
    <w:p w:rsidR="00EF43BA" w:rsidRPr="001B17DA" w:rsidRDefault="004F3B19" w:rsidP="00A64D96">
      <w:pPr>
        <w:pStyle w:val="Vnbnnidung0"/>
        <w:spacing w:after="0" w:line="240" w:lineRule="auto"/>
        <w:ind w:firstLine="0"/>
        <w:jc w:val="center"/>
        <w:rPr>
          <w:rFonts w:ascii="Arial" w:hAnsi="Arial" w:cs="Arial"/>
          <w:sz w:val="20"/>
          <w:szCs w:val="20"/>
        </w:rPr>
      </w:pPr>
      <w:r w:rsidRPr="001B17DA">
        <w:rPr>
          <w:rFonts w:ascii="Arial" w:hAnsi="Arial" w:cs="Arial"/>
          <w:b/>
          <w:bCs/>
          <w:sz w:val="20"/>
          <w:szCs w:val="20"/>
        </w:rPr>
        <w:t>NGHỊ ĐỊNH</w:t>
      </w:r>
    </w:p>
    <w:p w:rsidR="00A64D96" w:rsidRDefault="004F3B19" w:rsidP="00A64D96">
      <w:pPr>
        <w:pStyle w:val="Vnbnnidung0"/>
        <w:spacing w:after="0" w:line="240" w:lineRule="auto"/>
        <w:ind w:firstLine="0"/>
        <w:jc w:val="center"/>
        <w:rPr>
          <w:rFonts w:ascii="Arial" w:hAnsi="Arial" w:cs="Arial"/>
          <w:b/>
          <w:bCs/>
          <w:sz w:val="20"/>
          <w:szCs w:val="20"/>
        </w:rPr>
      </w:pPr>
      <w:r w:rsidRPr="001B17DA">
        <w:rPr>
          <w:rFonts w:ascii="Arial" w:hAnsi="Arial" w:cs="Arial"/>
          <w:b/>
          <w:bCs/>
          <w:sz w:val="20"/>
          <w:szCs w:val="20"/>
        </w:rPr>
        <w:t xml:space="preserve">Sửa đổi, bổ sung một số điều </w:t>
      </w:r>
      <w:r w:rsidR="00A64D96">
        <w:rPr>
          <w:rFonts w:ascii="Arial" w:hAnsi="Arial" w:cs="Arial"/>
          <w:b/>
          <w:bCs/>
          <w:sz w:val="20"/>
          <w:szCs w:val="20"/>
        </w:rPr>
        <w:t>của Nghị định số 118/2014/NĐ-CP</w:t>
      </w:r>
    </w:p>
    <w:p w:rsidR="00A64D96" w:rsidRDefault="004F3B19" w:rsidP="00A64D96">
      <w:pPr>
        <w:pStyle w:val="Vnbnnidung0"/>
        <w:spacing w:after="0" w:line="240" w:lineRule="auto"/>
        <w:ind w:firstLine="0"/>
        <w:jc w:val="center"/>
        <w:rPr>
          <w:rFonts w:ascii="Arial" w:hAnsi="Arial" w:cs="Arial"/>
          <w:b/>
          <w:bCs/>
          <w:sz w:val="20"/>
          <w:szCs w:val="20"/>
        </w:rPr>
      </w:pPr>
      <w:r w:rsidRPr="001B17DA">
        <w:rPr>
          <w:rFonts w:ascii="Arial" w:hAnsi="Arial" w:cs="Arial"/>
          <w:b/>
          <w:bCs/>
          <w:sz w:val="20"/>
          <w:szCs w:val="20"/>
        </w:rPr>
        <w:t>ngày 17 tháng 12 năm 2014 của C</w:t>
      </w:r>
      <w:r w:rsidR="00A64D96">
        <w:rPr>
          <w:rFonts w:ascii="Arial" w:hAnsi="Arial" w:cs="Arial"/>
          <w:b/>
          <w:bCs/>
          <w:sz w:val="20"/>
          <w:szCs w:val="20"/>
        </w:rPr>
        <w:t>hính phủ về sắp xếp, đổi mới và</w:t>
      </w:r>
    </w:p>
    <w:p w:rsidR="00EF43BA" w:rsidRDefault="004F3B19" w:rsidP="00A64D96">
      <w:pPr>
        <w:pStyle w:val="Vnbnnidung0"/>
        <w:spacing w:after="0" w:line="240" w:lineRule="auto"/>
        <w:ind w:firstLine="0"/>
        <w:jc w:val="center"/>
        <w:rPr>
          <w:rFonts w:ascii="Arial" w:hAnsi="Arial" w:cs="Arial"/>
          <w:b/>
          <w:bCs/>
          <w:sz w:val="20"/>
          <w:szCs w:val="20"/>
        </w:rPr>
      </w:pPr>
      <w:r w:rsidRPr="001B17DA">
        <w:rPr>
          <w:rFonts w:ascii="Arial" w:hAnsi="Arial" w:cs="Arial"/>
          <w:b/>
          <w:bCs/>
          <w:sz w:val="20"/>
          <w:szCs w:val="20"/>
        </w:rPr>
        <w:t>phát triển, nâng cao hiệu quả hoạt động của công ty nông, lâm nghiệp</w:t>
      </w:r>
    </w:p>
    <w:p w:rsidR="00A64D96" w:rsidRPr="00A64D96" w:rsidRDefault="00A64D96" w:rsidP="00A64D96">
      <w:pPr>
        <w:pStyle w:val="Vnbnnidung0"/>
        <w:spacing w:after="0" w:line="240" w:lineRule="auto"/>
        <w:ind w:firstLine="0"/>
        <w:jc w:val="center"/>
        <w:rPr>
          <w:rFonts w:ascii="Arial" w:hAnsi="Arial" w:cs="Arial"/>
          <w:bCs/>
          <w:sz w:val="20"/>
          <w:szCs w:val="20"/>
          <w:vertAlign w:val="superscript"/>
          <w:lang w:val="en-US"/>
        </w:rPr>
      </w:pPr>
      <w:r w:rsidRPr="00A64D96">
        <w:rPr>
          <w:rFonts w:ascii="Arial" w:hAnsi="Arial" w:cs="Arial"/>
          <w:bCs/>
          <w:sz w:val="20"/>
          <w:szCs w:val="20"/>
          <w:vertAlign w:val="superscript"/>
          <w:lang w:val="en-US"/>
        </w:rPr>
        <w:t>___________</w:t>
      </w:r>
    </w:p>
    <w:p w:rsidR="00A64D96" w:rsidRPr="001B17DA" w:rsidRDefault="00A64D96" w:rsidP="00A64D96">
      <w:pPr>
        <w:pStyle w:val="Vnbnnidung0"/>
        <w:spacing w:after="0" w:line="240" w:lineRule="auto"/>
        <w:ind w:firstLine="0"/>
        <w:jc w:val="center"/>
        <w:rPr>
          <w:rFonts w:ascii="Arial" w:hAnsi="Arial" w:cs="Arial"/>
          <w:sz w:val="20"/>
          <w:szCs w:val="20"/>
        </w:rPr>
      </w:pP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 xml:space="preserve">Căn cứ Luật Tổ chức Chính phủ ngày 19 </w:t>
      </w:r>
      <w:r w:rsidR="00A64D96">
        <w:rPr>
          <w:rFonts w:ascii="Arial" w:hAnsi="Arial" w:cs="Arial"/>
          <w:i/>
          <w:iCs/>
          <w:sz w:val="20"/>
          <w:szCs w:val="20"/>
        </w:rPr>
        <w:t>tháng</w:t>
      </w:r>
      <w:r w:rsidRPr="001B17DA">
        <w:rPr>
          <w:rFonts w:ascii="Arial" w:hAnsi="Arial" w:cs="Arial"/>
          <w:i/>
          <w:iCs/>
          <w:sz w:val="20"/>
          <w:szCs w:val="20"/>
        </w:rPr>
        <w:t xml:space="preserve"> 6 năm 2015; Luật sửa đổi, </w:t>
      </w:r>
      <w:r w:rsidR="009C257E">
        <w:rPr>
          <w:rFonts w:ascii="Arial" w:hAnsi="Arial" w:cs="Arial"/>
          <w:i/>
          <w:iCs/>
          <w:sz w:val="20"/>
          <w:szCs w:val="20"/>
          <w:lang w:val="en-US"/>
        </w:rPr>
        <w:t>bổ</w:t>
      </w:r>
      <w:r w:rsidRPr="001B17DA">
        <w:rPr>
          <w:rFonts w:ascii="Arial" w:hAnsi="Arial" w:cs="Arial"/>
          <w:i/>
          <w:iCs/>
          <w:sz w:val="20"/>
          <w:szCs w:val="20"/>
        </w:rPr>
        <w:t xml:space="preserve"> sung một </w:t>
      </w:r>
      <w:r w:rsidR="009C257E">
        <w:rPr>
          <w:rFonts w:ascii="Arial" w:hAnsi="Arial" w:cs="Arial"/>
          <w:i/>
          <w:iCs/>
          <w:sz w:val="20"/>
          <w:szCs w:val="20"/>
          <w:lang w:val="en-US"/>
        </w:rPr>
        <w:t>số</w:t>
      </w:r>
      <w:r w:rsidRPr="001B17DA">
        <w:rPr>
          <w:rFonts w:ascii="Arial" w:hAnsi="Arial" w:cs="Arial"/>
          <w:i/>
          <w:iCs/>
          <w:sz w:val="20"/>
          <w:szCs w:val="20"/>
        </w:rPr>
        <w:t xml:space="preserve"> điều của Luật </w:t>
      </w:r>
      <w:r w:rsidR="009C257E">
        <w:rPr>
          <w:rFonts w:ascii="Arial" w:hAnsi="Arial" w:cs="Arial"/>
          <w:i/>
          <w:iCs/>
          <w:sz w:val="20"/>
          <w:szCs w:val="20"/>
          <w:lang w:val="en-US"/>
        </w:rPr>
        <w:t>Tổ</w:t>
      </w:r>
      <w:r w:rsidRPr="001B17DA">
        <w:rPr>
          <w:rFonts w:ascii="Arial" w:hAnsi="Arial" w:cs="Arial"/>
          <w:i/>
          <w:iCs/>
          <w:sz w:val="20"/>
          <w:szCs w:val="20"/>
        </w:rPr>
        <w:t xml:space="preserve"> chức Chính phủ và Luật </w:t>
      </w:r>
      <w:r w:rsidR="009C257E">
        <w:rPr>
          <w:rFonts w:ascii="Arial" w:hAnsi="Arial" w:cs="Arial"/>
          <w:i/>
          <w:iCs/>
          <w:sz w:val="20"/>
          <w:szCs w:val="20"/>
          <w:lang w:val="en-US"/>
        </w:rPr>
        <w:t>Tổ</w:t>
      </w:r>
      <w:r w:rsidRPr="001B17DA">
        <w:rPr>
          <w:rFonts w:ascii="Arial" w:hAnsi="Arial" w:cs="Arial"/>
          <w:i/>
          <w:iCs/>
          <w:sz w:val="20"/>
          <w:szCs w:val="20"/>
        </w:rPr>
        <w:t xml:space="preserve"> chức chính q</w:t>
      </w:r>
      <w:r w:rsidR="009C257E">
        <w:rPr>
          <w:rFonts w:ascii="Arial" w:hAnsi="Arial" w:cs="Arial"/>
          <w:i/>
          <w:iCs/>
          <w:sz w:val="20"/>
          <w:szCs w:val="20"/>
        </w:rPr>
        <w:t>uyề</w:t>
      </w:r>
      <w:r w:rsidRPr="001B17DA">
        <w:rPr>
          <w:rFonts w:ascii="Arial" w:hAnsi="Arial" w:cs="Arial"/>
          <w:i/>
          <w:iCs/>
          <w:sz w:val="20"/>
          <w:szCs w:val="20"/>
        </w:rPr>
        <w:t xml:space="preserve">n địa phương ngày 22 </w:t>
      </w:r>
      <w:r w:rsidR="00A64D96">
        <w:rPr>
          <w:rFonts w:ascii="Arial" w:hAnsi="Arial" w:cs="Arial"/>
          <w:i/>
          <w:iCs/>
          <w:sz w:val="20"/>
          <w:szCs w:val="20"/>
        </w:rPr>
        <w:t>tháng</w:t>
      </w:r>
      <w:r w:rsidRPr="001B17DA">
        <w:rPr>
          <w:rFonts w:ascii="Arial" w:hAnsi="Arial" w:cs="Arial"/>
          <w:i/>
          <w:iCs/>
          <w:sz w:val="20"/>
          <w:szCs w:val="20"/>
        </w:rPr>
        <w:t xml:space="preserve"> 11 năm 2019;</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Căn cứ Luật Đất đai ngày 29 tháng 11 năm 2013;</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 xml:space="preserve">Căn cứ Luật Quản lý, sử dụng vốn </w:t>
      </w:r>
      <w:r w:rsidR="009C257E">
        <w:rPr>
          <w:rFonts w:ascii="Arial" w:hAnsi="Arial" w:cs="Arial"/>
          <w:i/>
          <w:iCs/>
          <w:sz w:val="20"/>
          <w:szCs w:val="20"/>
        </w:rPr>
        <w:t>Nhà nước đầu tư vào sản xuất, ki</w:t>
      </w:r>
      <w:r w:rsidRPr="001B17DA">
        <w:rPr>
          <w:rFonts w:ascii="Arial" w:hAnsi="Arial" w:cs="Arial"/>
          <w:i/>
          <w:iCs/>
          <w:sz w:val="20"/>
          <w:szCs w:val="20"/>
        </w:rPr>
        <w:t xml:space="preserve">nh doanh tại doanh nghiệp ngày 26 </w:t>
      </w:r>
      <w:r w:rsidR="00A64D96">
        <w:rPr>
          <w:rFonts w:ascii="Arial" w:hAnsi="Arial" w:cs="Arial"/>
          <w:i/>
          <w:iCs/>
          <w:sz w:val="20"/>
          <w:szCs w:val="20"/>
        </w:rPr>
        <w:t>tháng</w:t>
      </w:r>
      <w:r w:rsidRPr="001B17DA">
        <w:rPr>
          <w:rFonts w:ascii="Arial" w:hAnsi="Arial" w:cs="Arial"/>
          <w:i/>
          <w:iCs/>
          <w:sz w:val="20"/>
          <w:szCs w:val="20"/>
        </w:rPr>
        <w:t xml:space="preserve"> 11 năm 2014;</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 xml:space="preserve">Căn cứ Luật Ngân sách nhà nước ngày 25 </w:t>
      </w:r>
      <w:r w:rsidR="00A64D96">
        <w:rPr>
          <w:rFonts w:ascii="Arial" w:hAnsi="Arial" w:cs="Arial"/>
          <w:i/>
          <w:iCs/>
          <w:sz w:val="20"/>
          <w:szCs w:val="20"/>
        </w:rPr>
        <w:t>tháng</w:t>
      </w:r>
      <w:r w:rsidRPr="001B17DA">
        <w:rPr>
          <w:rFonts w:ascii="Arial" w:hAnsi="Arial" w:cs="Arial"/>
          <w:i/>
          <w:iCs/>
          <w:sz w:val="20"/>
          <w:szCs w:val="20"/>
        </w:rPr>
        <w:t xml:space="preserve"> 6 năm 2015;</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Căn cứ Luật Lâm nghiệp ngày 15 tháng 11 năm 2017;</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 xml:space="preserve">Căn cứ Luật Doanh nghiệp ngày 17 </w:t>
      </w:r>
      <w:r w:rsidR="00A64D96">
        <w:rPr>
          <w:rFonts w:ascii="Arial" w:hAnsi="Arial" w:cs="Arial"/>
          <w:i/>
          <w:iCs/>
          <w:sz w:val="20"/>
          <w:szCs w:val="20"/>
        </w:rPr>
        <w:t>tháng</w:t>
      </w:r>
      <w:r w:rsidRPr="001B17DA">
        <w:rPr>
          <w:rFonts w:ascii="Arial" w:hAnsi="Arial" w:cs="Arial"/>
          <w:i/>
          <w:iCs/>
          <w:sz w:val="20"/>
          <w:szCs w:val="20"/>
        </w:rPr>
        <w:t xml:space="preserve"> 6 năm 2020;</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i/>
          <w:iCs/>
          <w:sz w:val="20"/>
          <w:szCs w:val="20"/>
        </w:rPr>
        <w:t>Theo đề nghị của Bộ trưởng Bộ Nông nghiệp và Phát triển nông thôn;</w:t>
      </w:r>
    </w:p>
    <w:p w:rsidR="00EF43BA" w:rsidRDefault="009C257E" w:rsidP="009C257E">
      <w:pPr>
        <w:pStyle w:val="Vnbnnidung0"/>
        <w:spacing w:after="0" w:line="240" w:lineRule="auto"/>
        <w:ind w:firstLine="720"/>
        <w:jc w:val="both"/>
        <w:rPr>
          <w:rFonts w:ascii="Arial" w:hAnsi="Arial" w:cs="Arial"/>
          <w:i/>
          <w:iCs/>
          <w:sz w:val="20"/>
          <w:szCs w:val="20"/>
        </w:rPr>
      </w:pPr>
      <w:r>
        <w:rPr>
          <w:rFonts w:ascii="Arial" w:hAnsi="Arial" w:cs="Arial"/>
          <w:i/>
          <w:iCs/>
          <w:sz w:val="20"/>
          <w:szCs w:val="20"/>
        </w:rPr>
        <w:t>Chí</w:t>
      </w:r>
      <w:r w:rsidR="004F3B19" w:rsidRPr="001B17DA">
        <w:rPr>
          <w:rFonts w:ascii="Arial" w:hAnsi="Arial" w:cs="Arial"/>
          <w:i/>
          <w:iCs/>
          <w:sz w:val="20"/>
          <w:szCs w:val="20"/>
        </w:rPr>
        <w:t xml:space="preserve">nh phủ ban hành Nghị định sửa đổi, bổ sung một số điều của Nghị định </w:t>
      </w:r>
      <w:r>
        <w:rPr>
          <w:rFonts w:ascii="Arial" w:hAnsi="Arial" w:cs="Arial"/>
          <w:i/>
          <w:iCs/>
          <w:sz w:val="20"/>
          <w:szCs w:val="20"/>
          <w:lang w:val="en-US"/>
        </w:rPr>
        <w:t>số</w:t>
      </w:r>
      <w:r w:rsidR="004F3B19" w:rsidRPr="001B17DA">
        <w:rPr>
          <w:rFonts w:ascii="Arial" w:hAnsi="Arial" w:cs="Arial"/>
          <w:i/>
          <w:iCs/>
          <w:sz w:val="20"/>
          <w:szCs w:val="20"/>
        </w:rPr>
        <w:t xml:space="preserve"> 118/2014/NĐ-CP ngày 17 </w:t>
      </w:r>
      <w:r w:rsidR="00A64D96">
        <w:rPr>
          <w:rFonts w:ascii="Arial" w:hAnsi="Arial" w:cs="Arial"/>
          <w:i/>
          <w:iCs/>
          <w:sz w:val="20"/>
          <w:szCs w:val="20"/>
        </w:rPr>
        <w:t>tháng</w:t>
      </w:r>
      <w:r w:rsidR="004F3B19" w:rsidRPr="001B17DA">
        <w:rPr>
          <w:rFonts w:ascii="Arial" w:hAnsi="Arial" w:cs="Arial"/>
          <w:i/>
          <w:iCs/>
          <w:sz w:val="20"/>
          <w:szCs w:val="20"/>
        </w:rPr>
        <w:t xml:space="preserve"> 12 năm 2014 của Chính phủ về sắp xếp, </w:t>
      </w:r>
      <w:r>
        <w:rPr>
          <w:rFonts w:ascii="Arial" w:hAnsi="Arial" w:cs="Arial"/>
          <w:i/>
          <w:iCs/>
          <w:sz w:val="20"/>
          <w:szCs w:val="20"/>
          <w:lang w:val="en-US"/>
        </w:rPr>
        <w:t>đổi</w:t>
      </w:r>
      <w:r w:rsidR="004F3B19" w:rsidRPr="001B17DA">
        <w:rPr>
          <w:rFonts w:ascii="Arial" w:hAnsi="Arial" w:cs="Arial"/>
          <w:i/>
          <w:iCs/>
          <w:sz w:val="20"/>
          <w:szCs w:val="20"/>
        </w:rPr>
        <w:t xml:space="preserve"> mới và phát </w:t>
      </w:r>
      <w:r>
        <w:rPr>
          <w:rFonts w:ascii="Arial" w:hAnsi="Arial" w:cs="Arial"/>
          <w:i/>
          <w:iCs/>
          <w:sz w:val="20"/>
          <w:szCs w:val="20"/>
          <w:lang w:val="en-US"/>
        </w:rPr>
        <w:t>triển</w:t>
      </w:r>
      <w:r w:rsidR="004F3B19" w:rsidRPr="001B17DA">
        <w:rPr>
          <w:rFonts w:ascii="Arial" w:hAnsi="Arial" w:cs="Arial"/>
          <w:i/>
          <w:iCs/>
          <w:sz w:val="20"/>
          <w:szCs w:val="20"/>
        </w:rPr>
        <w:t>, nâng cao hiệu quả hoạt động của công ty nông, lâm nghiệp.</w:t>
      </w:r>
    </w:p>
    <w:p w:rsidR="009C257E" w:rsidRPr="001B17DA" w:rsidRDefault="009C257E" w:rsidP="009C257E">
      <w:pPr>
        <w:pStyle w:val="Vnbnnidung0"/>
        <w:spacing w:after="0" w:line="240" w:lineRule="auto"/>
        <w:ind w:firstLine="720"/>
        <w:jc w:val="both"/>
        <w:rPr>
          <w:rFonts w:ascii="Arial" w:hAnsi="Arial" w:cs="Arial"/>
          <w:sz w:val="20"/>
          <w:szCs w:val="20"/>
        </w:rPr>
      </w:pPr>
    </w:p>
    <w:p w:rsidR="009C257E" w:rsidRDefault="004F3B19" w:rsidP="009C257E">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 xml:space="preserve">Điều 1. Sửa đổi, bổ sung một số điều của Nghị định số 118/2014/NĐ-CP ngày 17 tháng 12 năm 2014 của Chính phủ </w:t>
      </w:r>
      <w:r w:rsidR="00766FE4">
        <w:rPr>
          <w:rFonts w:ascii="Arial" w:hAnsi="Arial" w:cs="Arial"/>
          <w:b/>
          <w:bCs/>
          <w:sz w:val="20"/>
          <w:szCs w:val="20"/>
        </w:rPr>
        <w:t>về sắp xếp, đổi mới và phát triể</w:t>
      </w:r>
      <w:r w:rsidRPr="001B17DA">
        <w:rPr>
          <w:rFonts w:ascii="Arial" w:hAnsi="Arial" w:cs="Arial"/>
          <w:b/>
          <w:bCs/>
          <w:sz w:val="20"/>
          <w:szCs w:val="20"/>
        </w:rPr>
        <w:t>n, nâng cao hiệu quả hoạt động của công ty nông, lâm nghiệp</w:t>
      </w:r>
      <w:bookmarkStart w:id="0" w:name="bookmark0"/>
      <w:bookmarkEnd w:id="0"/>
    </w:p>
    <w:p w:rsidR="00EF43BA" w:rsidRPr="001B17DA" w:rsidRDefault="009C257E" w:rsidP="009C2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4F3B19" w:rsidRPr="001B17DA">
        <w:rPr>
          <w:rFonts w:ascii="Arial" w:hAnsi="Arial" w:cs="Arial"/>
          <w:sz w:val="20"/>
          <w:szCs w:val="20"/>
        </w:rPr>
        <w:t>Sửa đổi, bổ sung khoản 1 Điều 5 như sau:</w:t>
      </w:r>
    </w:p>
    <w:p w:rsidR="009C257E" w:rsidRDefault="009C257E" w:rsidP="009C257E">
      <w:pPr>
        <w:pStyle w:val="Vnbnnidung0"/>
        <w:spacing w:after="120" w:line="240" w:lineRule="auto"/>
        <w:ind w:firstLine="720"/>
        <w:jc w:val="both"/>
        <w:rPr>
          <w:rFonts w:ascii="Arial" w:hAnsi="Arial" w:cs="Arial"/>
          <w:sz w:val="20"/>
          <w:szCs w:val="20"/>
        </w:rPr>
      </w:pPr>
      <w:r>
        <w:rPr>
          <w:rFonts w:ascii="Arial" w:hAnsi="Arial" w:cs="Arial"/>
          <w:sz w:val="20"/>
          <w:szCs w:val="20"/>
        </w:rPr>
        <w:t>“</w:t>
      </w:r>
      <w:r w:rsidR="004F3B19" w:rsidRPr="001B17DA">
        <w:rPr>
          <w:rFonts w:ascii="Arial" w:hAnsi="Arial" w:cs="Arial"/>
          <w:sz w:val="20"/>
          <w:szCs w:val="20"/>
        </w:rPr>
        <w:t xml:space="preserve">1. Chuyển công ty nông nghiệp Nhà nước nắm giữ 100% vốn điều lệ thành công ty cổ phần, nhà nước nắm giữ cổ phần chi phối từ trên 50% vốn </w:t>
      </w:r>
      <w:r>
        <w:rPr>
          <w:rFonts w:ascii="Arial" w:hAnsi="Arial" w:cs="Arial"/>
          <w:sz w:val="20"/>
          <w:szCs w:val="20"/>
          <w:lang w:val="en-US"/>
        </w:rPr>
        <w:t>điều</w:t>
      </w:r>
      <w:r w:rsidR="004F3B19" w:rsidRPr="001B17DA">
        <w:rPr>
          <w:rFonts w:ascii="Arial" w:hAnsi="Arial" w:cs="Arial"/>
          <w:sz w:val="20"/>
          <w:szCs w:val="20"/>
        </w:rPr>
        <w:t xml:space="preserve"> lệ trở lên đối với công ty nông nghiệp có </w:t>
      </w:r>
      <w:r w:rsidR="00D8247F">
        <w:rPr>
          <w:rFonts w:ascii="Arial" w:hAnsi="Arial" w:cs="Arial"/>
          <w:sz w:val="20"/>
          <w:szCs w:val="20"/>
          <w:lang w:val="en-US"/>
        </w:rPr>
        <w:t>phương</w:t>
      </w:r>
      <w:r w:rsidR="004F3B19" w:rsidRPr="001B17DA">
        <w:rPr>
          <w:rFonts w:ascii="Arial" w:hAnsi="Arial" w:cs="Arial"/>
          <w:sz w:val="20"/>
          <w:szCs w:val="20"/>
        </w:rPr>
        <w:t xml:space="preserve"> án sử dụng đất từ 500 ha trở lên”.</w:t>
      </w:r>
      <w:bookmarkStart w:id="1" w:name="bookmark1"/>
      <w:bookmarkEnd w:id="1"/>
    </w:p>
    <w:p w:rsidR="00EF43BA" w:rsidRPr="001B17DA" w:rsidRDefault="009C257E" w:rsidP="009C2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4F3B19" w:rsidRPr="001B17DA">
        <w:rPr>
          <w:rFonts w:ascii="Arial" w:hAnsi="Arial" w:cs="Arial"/>
          <w:sz w:val="20"/>
          <w:szCs w:val="20"/>
        </w:rPr>
        <w:t>Sửa đổi, bổ sung Điều 6 như sau:</w:t>
      </w:r>
    </w:p>
    <w:p w:rsidR="009C257E" w:rsidRDefault="004F3B19" w:rsidP="009C257E">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“Điều 6. Chuyển công ty nông nghiệp Nhà nước nắm giữ 100% vốn điều lệ thành công ty trách nhiệm hữu hạn hai thành viên trở lên</w:t>
      </w:r>
      <w:bookmarkStart w:id="2" w:name="bookmark2"/>
      <w:bookmarkEnd w:id="2"/>
    </w:p>
    <w:p w:rsidR="009C257E" w:rsidRDefault="009C257E" w:rsidP="009C2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Công ty nông nghiệp Nhà nước nắm</w:t>
      </w:r>
      <w:r w:rsidR="00A92803">
        <w:rPr>
          <w:rFonts w:ascii="Arial" w:hAnsi="Arial" w:cs="Arial"/>
          <w:sz w:val="20"/>
          <w:szCs w:val="20"/>
        </w:rPr>
        <w:t xml:space="preserve"> giữ 100% vốn điều lệ được chuyể</w:t>
      </w:r>
      <w:r w:rsidR="004F3B19" w:rsidRPr="001B17DA">
        <w:rPr>
          <w:rFonts w:ascii="Arial" w:hAnsi="Arial" w:cs="Arial"/>
          <w:sz w:val="20"/>
          <w:szCs w:val="20"/>
        </w:rPr>
        <w:t>n thành công ty trách nhiệm hữu hạn hai thành viên trở lên khi đáp ứng đủ các điều kiện sau:</w:t>
      </w:r>
      <w:bookmarkStart w:id="3" w:name="bookmark3"/>
      <w:bookmarkEnd w:id="3"/>
    </w:p>
    <w:p w:rsidR="00A92803" w:rsidRDefault="009C257E" w:rsidP="00A92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Có phương án sản xuất, chế biến ứng dụng công nghệ cao, đáp ứng nhu cầu thị trường trong nước và ngoài nước theo các tiêu chí sau:</w:t>
      </w:r>
      <w:bookmarkStart w:id="4" w:name="bookmark4"/>
      <w:bookmarkEnd w:id="4"/>
    </w:p>
    <w:p w:rsidR="00A92803" w:rsidRDefault="00A92803" w:rsidP="00A92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Ứ</w:t>
      </w:r>
      <w:r w:rsidR="004F3B19" w:rsidRPr="001B17DA">
        <w:rPr>
          <w:rFonts w:ascii="Arial" w:hAnsi="Arial" w:cs="Arial"/>
          <w:sz w:val="20"/>
          <w:szCs w:val="20"/>
        </w:rPr>
        <w:t xml:space="preserve">ng dụng công nghệ cao thuộc Danh mục công nghệ cao được ưu tiên đầu tư phát triển theo quy định của pháp luật về công nghệ cao </w:t>
      </w:r>
      <w:r>
        <w:rPr>
          <w:rFonts w:ascii="Arial" w:hAnsi="Arial" w:cs="Arial"/>
          <w:sz w:val="20"/>
          <w:szCs w:val="20"/>
          <w:lang w:val="en-US"/>
        </w:rPr>
        <w:t>để</w:t>
      </w:r>
      <w:r w:rsidR="004F3B19" w:rsidRPr="001B17DA">
        <w:rPr>
          <w:rFonts w:ascii="Arial" w:hAnsi="Arial" w:cs="Arial"/>
          <w:sz w:val="20"/>
          <w:szCs w:val="20"/>
        </w:rPr>
        <w:t xml:space="preserve"> sản xuất sản phẩm nông nghiệp;</w:t>
      </w:r>
      <w:bookmarkStart w:id="5" w:name="bookmark5"/>
      <w:bookmarkEnd w:id="5"/>
    </w:p>
    <w:p w:rsidR="00A92803" w:rsidRDefault="00A92803" w:rsidP="00A92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Áp dụng các biện pháp thân thiện môi trường, tiết kiệm năng lượng trong sản </w:t>
      </w:r>
      <w:r>
        <w:rPr>
          <w:rFonts w:ascii="Arial" w:hAnsi="Arial" w:cs="Arial"/>
          <w:sz w:val="20"/>
          <w:szCs w:val="20"/>
          <w:lang w:val="en-US"/>
        </w:rPr>
        <w:t>xuất</w:t>
      </w:r>
      <w:r>
        <w:rPr>
          <w:rFonts w:ascii="Arial" w:hAnsi="Arial" w:cs="Arial"/>
          <w:sz w:val="20"/>
          <w:szCs w:val="20"/>
        </w:rPr>
        <w:t xml:space="preserve"> và quản lý chất lượng sản phẩm nông nghiệp đạt tiêu chuẩn, quy chuẩ</w:t>
      </w:r>
      <w:r w:rsidR="004F3B19" w:rsidRPr="001B17DA">
        <w:rPr>
          <w:rFonts w:ascii="Arial" w:hAnsi="Arial" w:cs="Arial"/>
          <w:sz w:val="20"/>
          <w:szCs w:val="20"/>
        </w:rPr>
        <w:t>n kỹ thuật của Việt N</w:t>
      </w:r>
      <w:r>
        <w:rPr>
          <w:rFonts w:ascii="Arial" w:hAnsi="Arial" w:cs="Arial"/>
          <w:sz w:val="20"/>
          <w:szCs w:val="20"/>
        </w:rPr>
        <w:t>am; trường hợp chưa có tiêu chuẩn, quy chuẩ</w:t>
      </w:r>
      <w:r w:rsidR="004F3B19" w:rsidRPr="001B17DA">
        <w:rPr>
          <w:rFonts w:ascii="Arial" w:hAnsi="Arial" w:cs="Arial"/>
          <w:sz w:val="20"/>
          <w:szCs w:val="20"/>
        </w:rPr>
        <w:t>n kỹ thuật của Việt Nam thì áp dụng tiêu chuẩn của tổ chức quốc tế chuyên ngành;</w:t>
      </w:r>
      <w:bookmarkStart w:id="6" w:name="bookmark6"/>
      <w:bookmarkEnd w:id="6"/>
    </w:p>
    <w:p w:rsidR="007E4A6F" w:rsidRDefault="00A92803" w:rsidP="007E4A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Còn vốn nhà nước sau khi đã được xử lý tài chính và đánh giá lại giá trị doanh nghiệp.</w:t>
      </w:r>
      <w:bookmarkStart w:id="7" w:name="bookmark7"/>
      <w:bookmarkEnd w:id="7"/>
    </w:p>
    <w:p w:rsidR="007E4A6F" w:rsidRDefault="007E4A6F" w:rsidP="007E4A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4F3B19" w:rsidRPr="001B17DA">
        <w:rPr>
          <w:rFonts w:ascii="Arial" w:hAnsi="Arial" w:cs="Arial"/>
          <w:sz w:val="20"/>
          <w:szCs w:val="20"/>
        </w:rPr>
        <w:t>Hình thức chuyển đổi và quyền chi phối của nhà nước</w:t>
      </w:r>
      <w:bookmarkStart w:id="8" w:name="bookmark8"/>
      <w:bookmarkEnd w:id="8"/>
    </w:p>
    <w:p w:rsidR="00266298" w:rsidRDefault="007E4A6F" w:rsidP="0026629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Hình thức chuyển đổi: Bán một phần vốn nhà nước hiện có tại công ty trách nhiệm hữu hạn một thành viên do Nhà nước nắm giữ 100% vốn điều lệ cho nhà đầu tư và chuyển thành công ty trách nhiệm hữu hạn hai thành viên trở lên theo quy định tại khoản 2 Điều 33 Nghị định số 23/2022/</w:t>
      </w:r>
      <w:r w:rsidR="002C3A64">
        <w:rPr>
          <w:rFonts w:ascii="Arial" w:hAnsi="Arial" w:cs="Arial"/>
          <w:sz w:val="20"/>
          <w:szCs w:val="20"/>
        </w:rPr>
        <w:t>NĐ-CP</w:t>
      </w:r>
      <w:r w:rsidR="004F3B19" w:rsidRPr="001B17DA">
        <w:rPr>
          <w:rFonts w:ascii="Arial" w:hAnsi="Arial" w:cs="Arial"/>
          <w:sz w:val="20"/>
          <w:szCs w:val="20"/>
        </w:rPr>
        <w:t xml:space="preserve"> ngày 05 th</w:t>
      </w:r>
      <w:bookmarkStart w:id="9" w:name="_GoBack"/>
      <w:bookmarkEnd w:id="9"/>
      <w:r w:rsidR="004F3B19" w:rsidRPr="001B17DA">
        <w:rPr>
          <w:rFonts w:ascii="Arial" w:hAnsi="Arial" w:cs="Arial"/>
          <w:sz w:val="20"/>
          <w:szCs w:val="20"/>
        </w:rPr>
        <w:t xml:space="preserve">áng 4 năm 2022 của Chính phủ về thành lập, sắp xếp lại, </w:t>
      </w:r>
      <w:r w:rsidR="00266298">
        <w:rPr>
          <w:rFonts w:ascii="Arial" w:hAnsi="Arial" w:cs="Arial"/>
          <w:sz w:val="20"/>
          <w:szCs w:val="20"/>
          <w:lang w:val="en-US"/>
        </w:rPr>
        <w:t>chuyển đổi</w:t>
      </w:r>
      <w:r w:rsidR="004F3B19" w:rsidRPr="001B17DA">
        <w:rPr>
          <w:rFonts w:ascii="Arial" w:hAnsi="Arial" w:cs="Arial"/>
          <w:sz w:val="20"/>
          <w:szCs w:val="20"/>
        </w:rPr>
        <w:t xml:space="preserve"> sở hữu, chuyển giao </w:t>
      </w:r>
      <w:r w:rsidR="004F3B19" w:rsidRPr="001B17DA">
        <w:rPr>
          <w:rFonts w:ascii="Arial" w:hAnsi="Arial" w:cs="Arial"/>
          <w:sz w:val="20"/>
          <w:szCs w:val="20"/>
        </w:rPr>
        <w:lastRenderedPageBreak/>
        <w:t>quyền đại diện chủ sở hữu tại doanh nghiệp do Nhà nước nắm giữ 100% vốn điều lệ (sau đây viết tắt là Nghị định số 23/2022/NĐ-CP).</w:t>
      </w:r>
      <w:bookmarkStart w:id="10" w:name="bookmark9"/>
      <w:bookmarkEnd w:id="10"/>
    </w:p>
    <w:p w:rsidR="00E135DB" w:rsidRDefault="00266298" w:rsidP="00E135D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 xml:space="preserve">Quyền chi phối của nhà nước: Nhà nước nắm giữ vốn góp chi </w:t>
      </w:r>
      <w:r>
        <w:rPr>
          <w:rFonts w:ascii="Arial" w:hAnsi="Arial" w:cs="Arial"/>
          <w:sz w:val="20"/>
          <w:szCs w:val="20"/>
          <w:lang w:val="en-US"/>
        </w:rPr>
        <w:t>phối đối</w:t>
      </w:r>
      <w:r w:rsidR="004F3B19" w:rsidRPr="001B17DA">
        <w:rPr>
          <w:rFonts w:ascii="Arial" w:hAnsi="Arial" w:cs="Arial"/>
          <w:sz w:val="20"/>
          <w:szCs w:val="20"/>
        </w:rPr>
        <w:t xml:space="preserve"> với công ty nông nghiệp có phương án sử dụng đất từ 500 ha trở lên.</w:t>
      </w:r>
      <w:bookmarkStart w:id="11" w:name="bookmark10"/>
      <w:bookmarkEnd w:id="11"/>
    </w:p>
    <w:p w:rsidR="00FC4150" w:rsidRDefault="00E135DB" w:rsidP="00FC41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F3B19" w:rsidRPr="001B17DA">
        <w:rPr>
          <w:rFonts w:ascii="Arial" w:hAnsi="Arial" w:cs="Arial"/>
          <w:sz w:val="20"/>
          <w:szCs w:val="20"/>
        </w:rPr>
        <w:t>Nhà đầu tư được lựa chọn phải đáp ứng đủ các điều kiện sau:</w:t>
      </w:r>
      <w:bookmarkStart w:id="12" w:name="bookmark11"/>
      <w:bookmarkEnd w:id="12"/>
    </w:p>
    <w:p w:rsidR="00FC4150" w:rsidRDefault="00FC4150" w:rsidP="00FC41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Có tư cách pháp nhân theo quy định của pháp luật;</w:t>
      </w:r>
      <w:bookmarkStart w:id="13" w:name="bookmark12"/>
      <w:bookmarkEnd w:id="13"/>
    </w:p>
    <w:p w:rsidR="00C21319" w:rsidRDefault="00FC4150" w:rsidP="00C213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Có vốn chủ sở hữu tối thiểu gấp hai lần vốn điều lệ của phương án thành lập công ty trách nhiệm hữu hạn hai thành viên trở lên;</w:t>
      </w:r>
      <w:bookmarkStart w:id="14" w:name="bookmark13"/>
      <w:bookmarkEnd w:id="14"/>
    </w:p>
    <w:p w:rsidR="00C21319" w:rsidRDefault="00C21319" w:rsidP="00C213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4F3B19" w:rsidRPr="001B17DA">
        <w:rPr>
          <w:rFonts w:ascii="Arial" w:hAnsi="Arial" w:cs="Arial"/>
          <w:sz w:val="20"/>
          <w:szCs w:val="20"/>
        </w:rPr>
        <w:t xml:space="preserve">Có kết quả hoạt động sản xuất kinh doanh 03 năm gần nhất có lãi tính đến thời </w:t>
      </w:r>
      <w:r>
        <w:rPr>
          <w:rFonts w:ascii="Arial" w:hAnsi="Arial" w:cs="Arial"/>
          <w:sz w:val="20"/>
          <w:szCs w:val="20"/>
          <w:lang w:val="en-US"/>
        </w:rPr>
        <w:t>điểm</w:t>
      </w:r>
      <w:r w:rsidR="004F3B19" w:rsidRPr="001B17DA">
        <w:rPr>
          <w:rFonts w:ascii="Arial" w:hAnsi="Arial" w:cs="Arial"/>
          <w:sz w:val="20"/>
          <w:szCs w:val="20"/>
        </w:rPr>
        <w:t xml:space="preserve"> đăng ký tham gia góp vốn hoặc mua phần vốn nhà nước;</w:t>
      </w:r>
      <w:bookmarkStart w:id="15" w:name="bookmark14"/>
      <w:bookmarkEnd w:id="15"/>
    </w:p>
    <w:p w:rsidR="00C21319" w:rsidRDefault="00C21319" w:rsidP="00C213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4F3B19" w:rsidRPr="001B17DA">
        <w:rPr>
          <w:rFonts w:ascii="Arial" w:hAnsi="Arial" w:cs="Arial"/>
          <w:sz w:val="20"/>
          <w:szCs w:val="20"/>
        </w:rPr>
        <w:t>Cam kết bằng văn bản của nhà đầu tư khi đăng ký trở thành thành viên của công ty trách nhiệm hữu hạn hai thành viên trở lên, gồm các nội dung sau:</w:t>
      </w:r>
      <w:bookmarkStart w:id="16" w:name="bookmark15"/>
      <w:bookmarkEnd w:id="16"/>
    </w:p>
    <w:p w:rsidR="00254007" w:rsidRDefault="00C21319" w:rsidP="002540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Duy trì ngành nghề kinh doanh chính của doanh nghiệp trong thời gian ít nhất 03 năm </w:t>
      </w:r>
      <w:r w:rsidR="00254007">
        <w:rPr>
          <w:rFonts w:ascii="Arial" w:hAnsi="Arial" w:cs="Arial"/>
          <w:sz w:val="20"/>
          <w:szCs w:val="20"/>
          <w:lang w:val="en-US"/>
        </w:rPr>
        <w:t>kể</w:t>
      </w:r>
      <w:r w:rsidR="004F3B19" w:rsidRPr="001B17DA">
        <w:rPr>
          <w:rFonts w:ascii="Arial" w:hAnsi="Arial" w:cs="Arial"/>
          <w:sz w:val="20"/>
          <w:szCs w:val="20"/>
        </w:rPr>
        <w:t xml:space="preserve"> từ ngày công ty trách nhiệm hữu hạn hai thành viên trở lên được </w:t>
      </w:r>
      <w:r w:rsidR="00254007">
        <w:rPr>
          <w:rFonts w:ascii="Arial" w:hAnsi="Arial" w:cs="Arial"/>
          <w:sz w:val="20"/>
          <w:szCs w:val="20"/>
          <w:lang w:val="en-US"/>
        </w:rPr>
        <w:t>cấp</w:t>
      </w:r>
      <w:r w:rsidR="004F3B19" w:rsidRPr="001B17DA">
        <w:rPr>
          <w:rFonts w:ascii="Arial" w:hAnsi="Arial" w:cs="Arial"/>
          <w:sz w:val="20"/>
          <w:szCs w:val="20"/>
        </w:rPr>
        <w:t xml:space="preserve"> </w:t>
      </w:r>
      <w:r w:rsidR="00254007">
        <w:rPr>
          <w:rFonts w:ascii="Arial" w:hAnsi="Arial" w:cs="Arial"/>
          <w:sz w:val="20"/>
          <w:szCs w:val="20"/>
          <w:lang w:val="en-US"/>
        </w:rPr>
        <w:t>Giấy</w:t>
      </w:r>
      <w:r w:rsidR="004F3B19" w:rsidRPr="001B17DA">
        <w:rPr>
          <w:rFonts w:ascii="Arial" w:hAnsi="Arial" w:cs="Arial"/>
          <w:sz w:val="20"/>
          <w:szCs w:val="20"/>
        </w:rPr>
        <w:t xml:space="preserve"> chứng nhận đăng ký doanh nghiệp lần đầu hoạt động theo Luật Doanh nghiệp;</w:t>
      </w:r>
      <w:bookmarkStart w:id="17" w:name="bookmark16"/>
      <w:bookmarkEnd w:id="17"/>
    </w:p>
    <w:p w:rsidR="0093591B" w:rsidRDefault="00254007" w:rsidP="0093591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Không chuyển nhượng phần vốn góp trong thời hạn 05 năm kể từ ngày công ty trách nhiệm hữu hạn hai thành viên trở lên được cấp Giấy chứng nhận đăng ký doanh nghiệp lần đầu hoạt động theo Luật Doanh nghiệp;</w:t>
      </w:r>
      <w:bookmarkStart w:id="18" w:name="bookmark17"/>
      <w:bookmarkEnd w:id="18"/>
    </w:p>
    <w:p w:rsidR="00991E05" w:rsidRDefault="0093591B" w:rsidP="00991E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Phương án hỗ trợ doanh nghiệp sau thành lập công ty trách nhiệm hữu hạn hai thành viên trong việc </w:t>
      </w:r>
      <w:r w:rsidR="00991E05">
        <w:rPr>
          <w:rFonts w:ascii="Arial" w:hAnsi="Arial" w:cs="Arial"/>
          <w:sz w:val="20"/>
          <w:szCs w:val="20"/>
          <w:lang w:val="en-US"/>
        </w:rPr>
        <w:t>chuyển</w:t>
      </w:r>
      <w:r w:rsidR="004F3B19" w:rsidRPr="001B17DA">
        <w:rPr>
          <w:rFonts w:ascii="Arial" w:hAnsi="Arial" w:cs="Arial"/>
          <w:sz w:val="20"/>
          <w:szCs w:val="20"/>
        </w:rPr>
        <w:t xml:space="preserve"> giao công nghệ mới, đào tạo </w:t>
      </w:r>
      <w:r w:rsidR="00991E05">
        <w:rPr>
          <w:rFonts w:ascii="Arial" w:hAnsi="Arial" w:cs="Arial"/>
          <w:sz w:val="20"/>
          <w:szCs w:val="20"/>
          <w:lang w:val="en-US"/>
        </w:rPr>
        <w:t>nguồn</w:t>
      </w:r>
      <w:r w:rsidR="004F3B19" w:rsidRPr="001B17DA">
        <w:rPr>
          <w:rFonts w:ascii="Arial" w:hAnsi="Arial" w:cs="Arial"/>
          <w:sz w:val="20"/>
          <w:szCs w:val="20"/>
        </w:rPr>
        <w:t xml:space="preserve"> nhân lực, nâng cao năng lực tài chính, quản trị doanh nghiệp, cung ứng nguyên vật liệu, phát triển thị trường tiêu thụ sản phẩm;</w:t>
      </w:r>
      <w:bookmarkStart w:id="19" w:name="bookmark18"/>
      <w:bookmarkEnd w:id="19"/>
    </w:p>
    <w:p w:rsidR="00CE5909" w:rsidRDefault="00991E05" w:rsidP="00CE59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Các nghĩa vụ bồi thường khi vi phạm cam kết đã ký với mức bồi thường xác định theo thiệt hại thực </w:t>
      </w:r>
      <w:r w:rsidR="00E96981">
        <w:rPr>
          <w:rFonts w:ascii="Arial" w:hAnsi="Arial" w:cs="Arial"/>
          <w:sz w:val="20"/>
          <w:szCs w:val="20"/>
          <w:lang w:val="en-US"/>
        </w:rPr>
        <w:t>tế</w:t>
      </w:r>
      <w:r w:rsidR="00E96981">
        <w:rPr>
          <w:rFonts w:ascii="Arial" w:hAnsi="Arial" w:cs="Arial"/>
          <w:sz w:val="20"/>
          <w:szCs w:val="20"/>
        </w:rPr>
        <w:t xml:space="preserve"> và quyề</w:t>
      </w:r>
      <w:r w:rsidR="004F3B19" w:rsidRPr="001B17DA">
        <w:rPr>
          <w:rFonts w:ascii="Arial" w:hAnsi="Arial" w:cs="Arial"/>
          <w:sz w:val="20"/>
          <w:szCs w:val="20"/>
        </w:rPr>
        <w:t xml:space="preserve">n định đoạt của Nhà nước </w:t>
      </w:r>
      <w:r w:rsidR="00E96981">
        <w:rPr>
          <w:rFonts w:ascii="Arial" w:hAnsi="Arial" w:cs="Arial"/>
          <w:sz w:val="20"/>
          <w:szCs w:val="20"/>
          <w:lang w:val="en-US"/>
        </w:rPr>
        <w:t>đối</w:t>
      </w:r>
      <w:r w:rsidR="004F3B19" w:rsidRPr="001B17DA">
        <w:rPr>
          <w:rFonts w:ascii="Arial" w:hAnsi="Arial" w:cs="Arial"/>
          <w:sz w:val="20"/>
          <w:szCs w:val="20"/>
        </w:rPr>
        <w:t xml:space="preserve"> với toàn bộ vốn góp của nhà đầu tư khi</w:t>
      </w:r>
      <w:r w:rsidR="00E96981">
        <w:rPr>
          <w:rFonts w:ascii="Arial" w:hAnsi="Arial" w:cs="Arial"/>
          <w:sz w:val="20"/>
          <w:szCs w:val="20"/>
        </w:rPr>
        <w:t xml:space="preserve"> vi phạm các cam kế</w:t>
      </w:r>
      <w:r w:rsidR="004F3B19" w:rsidRPr="001B17DA">
        <w:rPr>
          <w:rFonts w:ascii="Arial" w:hAnsi="Arial" w:cs="Arial"/>
          <w:sz w:val="20"/>
          <w:szCs w:val="20"/>
        </w:rPr>
        <w:t>t đã ký;</w:t>
      </w:r>
      <w:bookmarkStart w:id="20" w:name="bookmark19"/>
      <w:bookmarkEnd w:id="20"/>
    </w:p>
    <w:p w:rsidR="00EF43BA" w:rsidRPr="001B17DA" w:rsidRDefault="00CE5909" w:rsidP="00CE59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390967">
        <w:rPr>
          <w:rFonts w:ascii="Arial" w:hAnsi="Arial" w:cs="Arial"/>
          <w:sz w:val="20"/>
          <w:szCs w:val="20"/>
        </w:rPr>
        <w:t>Các cam kết khác (nế</w:t>
      </w:r>
      <w:r w:rsidR="004F3B19" w:rsidRPr="001B17DA">
        <w:rPr>
          <w:rFonts w:ascii="Arial" w:hAnsi="Arial" w:cs="Arial"/>
          <w:sz w:val="20"/>
          <w:szCs w:val="20"/>
        </w:rPr>
        <w:t>u có).</w:t>
      </w:r>
    </w:p>
    <w:p w:rsidR="00E11C86" w:rsidRDefault="004F3B19" w:rsidP="00E11C86">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đ) Cam kết tại điểm d khoản này là một phần nội dung bắt buộc của </w:t>
      </w:r>
      <w:r w:rsidR="00321983">
        <w:rPr>
          <w:rFonts w:ascii="Arial" w:hAnsi="Arial" w:cs="Arial"/>
          <w:sz w:val="20"/>
          <w:szCs w:val="20"/>
          <w:lang w:val="en-US"/>
        </w:rPr>
        <w:t>hợp</w:t>
      </w:r>
      <w:r w:rsidRPr="001B17DA">
        <w:rPr>
          <w:rFonts w:ascii="Arial" w:hAnsi="Arial" w:cs="Arial"/>
          <w:sz w:val="20"/>
          <w:szCs w:val="20"/>
        </w:rPr>
        <w:t xml:space="preserve"> đồng chuyển nhượng vốn.</w:t>
      </w:r>
      <w:bookmarkStart w:id="21" w:name="bookmark20"/>
      <w:bookmarkEnd w:id="21"/>
    </w:p>
    <w:p w:rsidR="006D7925" w:rsidRDefault="00E11C86" w:rsidP="006D79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4F3B19" w:rsidRPr="001B17DA">
        <w:rPr>
          <w:rFonts w:ascii="Arial" w:hAnsi="Arial" w:cs="Arial"/>
          <w:sz w:val="20"/>
          <w:szCs w:val="20"/>
        </w:rPr>
        <w:t xml:space="preserve">Nguyên tắc chuyển đổi, nội dung phương án chuyển đổi, trách nhiệm thực hiện chuyển đổi, quản lý và sử dụng tiền thu từ chuyển đổi công ty lâm nghiệp 100% vốn nhà nước thành công ty trách nhiệm hữu hạn hai thành viên trở lên thực hiện theo quy định tại </w:t>
      </w:r>
      <w:r w:rsidR="00BF07A9">
        <w:rPr>
          <w:rFonts w:ascii="Arial" w:hAnsi="Arial" w:cs="Arial"/>
          <w:sz w:val="20"/>
          <w:szCs w:val="20"/>
          <w:lang w:val="en-US"/>
        </w:rPr>
        <w:t>Điều</w:t>
      </w:r>
      <w:r w:rsidR="004F3B19" w:rsidRPr="001B17DA">
        <w:rPr>
          <w:rFonts w:ascii="Arial" w:hAnsi="Arial" w:cs="Arial"/>
          <w:sz w:val="20"/>
          <w:szCs w:val="20"/>
        </w:rPr>
        <w:t xml:space="preserve"> 34, </w:t>
      </w:r>
      <w:r w:rsidR="00BF07A9">
        <w:rPr>
          <w:rFonts w:ascii="Arial" w:hAnsi="Arial" w:cs="Arial"/>
          <w:sz w:val="20"/>
          <w:szCs w:val="20"/>
          <w:lang w:val="en-US"/>
        </w:rPr>
        <w:t>Điều</w:t>
      </w:r>
      <w:r w:rsidR="004F3B19" w:rsidRPr="001B17DA">
        <w:rPr>
          <w:rFonts w:ascii="Arial" w:hAnsi="Arial" w:cs="Arial"/>
          <w:sz w:val="20"/>
          <w:szCs w:val="20"/>
        </w:rPr>
        <w:t xml:space="preserve"> 35, </w:t>
      </w:r>
      <w:r w:rsidR="00BF07A9">
        <w:rPr>
          <w:rFonts w:ascii="Arial" w:hAnsi="Arial" w:cs="Arial"/>
          <w:sz w:val="20"/>
          <w:szCs w:val="20"/>
          <w:lang w:val="en-US"/>
        </w:rPr>
        <w:t>Điều</w:t>
      </w:r>
      <w:r w:rsidR="004F3B19" w:rsidRPr="001B17DA">
        <w:rPr>
          <w:rFonts w:ascii="Arial" w:hAnsi="Arial" w:cs="Arial"/>
          <w:sz w:val="20"/>
          <w:szCs w:val="20"/>
        </w:rPr>
        <w:t xml:space="preserve"> 36 và </w:t>
      </w:r>
      <w:r w:rsidR="00BF07A9">
        <w:rPr>
          <w:rFonts w:ascii="Arial" w:hAnsi="Arial" w:cs="Arial"/>
          <w:sz w:val="20"/>
          <w:szCs w:val="20"/>
          <w:lang w:val="en-US"/>
        </w:rPr>
        <w:t>Điều</w:t>
      </w:r>
      <w:r w:rsidR="004F3B19" w:rsidRPr="001B17DA">
        <w:rPr>
          <w:rFonts w:ascii="Arial" w:hAnsi="Arial" w:cs="Arial"/>
          <w:sz w:val="20"/>
          <w:szCs w:val="20"/>
        </w:rPr>
        <w:t xml:space="preserve"> 38</w:t>
      </w:r>
      <w:r w:rsidR="00BF07A9">
        <w:rPr>
          <w:rFonts w:ascii="Arial" w:hAnsi="Arial" w:cs="Arial"/>
          <w:sz w:val="20"/>
          <w:szCs w:val="20"/>
        </w:rPr>
        <w:t xml:space="preserve"> Nghị định số 23/2022/NĐ-CP.”.</w:t>
      </w:r>
      <w:bookmarkStart w:id="22" w:name="bookmark21"/>
      <w:bookmarkEnd w:id="22"/>
    </w:p>
    <w:p w:rsidR="00EF43BA" w:rsidRPr="001B17DA" w:rsidRDefault="006D7925" w:rsidP="006D79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F3B19" w:rsidRPr="001B17DA">
        <w:rPr>
          <w:rFonts w:ascii="Arial" w:hAnsi="Arial" w:cs="Arial"/>
          <w:sz w:val="20"/>
          <w:szCs w:val="20"/>
        </w:rPr>
        <w:t>Sửa đổi, bổ sung khoản 1 Điều 9 như sau:</w:t>
      </w:r>
    </w:p>
    <w:p w:rsidR="007532F0" w:rsidRDefault="004F3B19" w:rsidP="007532F0">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“1. Chuyển công ty lâm nghiệp Nhà nước nắm giữ 100% vốn điều lệ thành công ty cổ phần; nhà nước nắm giữ </w:t>
      </w:r>
      <w:r w:rsidR="007532F0">
        <w:rPr>
          <w:rFonts w:ascii="Arial" w:hAnsi="Arial" w:cs="Arial"/>
          <w:sz w:val="20"/>
          <w:szCs w:val="20"/>
          <w:lang w:val="en-US"/>
        </w:rPr>
        <w:t>cổ</w:t>
      </w:r>
      <w:r w:rsidRPr="001B17DA">
        <w:rPr>
          <w:rFonts w:ascii="Arial" w:hAnsi="Arial" w:cs="Arial"/>
          <w:sz w:val="20"/>
          <w:szCs w:val="20"/>
        </w:rPr>
        <w:t xml:space="preserve"> phần chi phối từ trên 50% </w:t>
      </w:r>
      <w:r w:rsidR="007532F0">
        <w:rPr>
          <w:rFonts w:ascii="Arial" w:hAnsi="Arial" w:cs="Arial"/>
          <w:sz w:val="20"/>
          <w:szCs w:val="20"/>
          <w:lang w:val="en-US"/>
        </w:rPr>
        <w:t>vốn</w:t>
      </w:r>
      <w:r w:rsidRPr="001B17DA">
        <w:rPr>
          <w:rFonts w:ascii="Arial" w:hAnsi="Arial" w:cs="Arial"/>
          <w:sz w:val="20"/>
          <w:szCs w:val="20"/>
        </w:rPr>
        <w:t xml:space="preserve"> </w:t>
      </w:r>
      <w:r w:rsidR="007532F0">
        <w:rPr>
          <w:rFonts w:ascii="Arial" w:hAnsi="Arial" w:cs="Arial"/>
          <w:sz w:val="20"/>
          <w:szCs w:val="20"/>
          <w:lang w:val="en-US"/>
        </w:rPr>
        <w:t>điều</w:t>
      </w:r>
      <w:r w:rsidRPr="001B17DA">
        <w:rPr>
          <w:rFonts w:ascii="Arial" w:hAnsi="Arial" w:cs="Arial"/>
          <w:sz w:val="20"/>
          <w:szCs w:val="20"/>
        </w:rPr>
        <w:t xml:space="preserve"> lệ trở lên đối với công ty lâm nghiệp có phương án sử dụng đất từ 1000 ha trở lên.”.</w:t>
      </w:r>
      <w:bookmarkStart w:id="23" w:name="bookmark22"/>
      <w:bookmarkEnd w:id="23"/>
    </w:p>
    <w:p w:rsidR="00EF43BA" w:rsidRPr="001B17DA" w:rsidRDefault="007532F0" w:rsidP="007532F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4F3B19" w:rsidRPr="001B17DA">
        <w:rPr>
          <w:rFonts w:ascii="Arial" w:hAnsi="Arial" w:cs="Arial"/>
          <w:sz w:val="20"/>
          <w:szCs w:val="20"/>
        </w:rPr>
        <w:t>Sửa đổi, bổ sung Điều 10 như sau:</w:t>
      </w:r>
    </w:p>
    <w:p w:rsidR="005C3625" w:rsidRDefault="004F3B19" w:rsidP="005C3625">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 xml:space="preserve">“Điều 10. Chuyển công ty lâm nghiệp Nhà </w:t>
      </w:r>
      <w:r w:rsidR="005D611F">
        <w:rPr>
          <w:rFonts w:ascii="Arial" w:hAnsi="Arial" w:cs="Arial"/>
          <w:b/>
          <w:bCs/>
          <w:sz w:val="20"/>
          <w:szCs w:val="20"/>
          <w:lang w:val="en-US"/>
        </w:rPr>
        <w:t>nước</w:t>
      </w:r>
      <w:r w:rsidRPr="001B17DA">
        <w:rPr>
          <w:rFonts w:ascii="Arial" w:hAnsi="Arial" w:cs="Arial"/>
          <w:b/>
          <w:bCs/>
          <w:sz w:val="20"/>
          <w:szCs w:val="20"/>
        </w:rPr>
        <w:t xml:space="preserve"> nắm </w:t>
      </w:r>
      <w:r w:rsidR="005C3625">
        <w:rPr>
          <w:rFonts w:ascii="Arial" w:hAnsi="Arial" w:cs="Arial"/>
          <w:b/>
          <w:bCs/>
          <w:sz w:val="20"/>
          <w:szCs w:val="20"/>
          <w:lang w:val="en-US"/>
        </w:rPr>
        <w:t>giữ</w:t>
      </w:r>
      <w:r w:rsidRPr="001B17DA">
        <w:rPr>
          <w:rFonts w:ascii="Arial" w:hAnsi="Arial" w:cs="Arial"/>
          <w:b/>
          <w:bCs/>
          <w:sz w:val="20"/>
          <w:szCs w:val="20"/>
        </w:rPr>
        <w:t xml:space="preserve"> 100% vốn điều lệ thành công ty trách nhiệm hữu hạn hai thành viên </w:t>
      </w:r>
      <w:r w:rsidR="005C3625">
        <w:rPr>
          <w:rFonts w:ascii="Arial" w:hAnsi="Arial" w:cs="Arial"/>
          <w:b/>
          <w:bCs/>
          <w:sz w:val="20"/>
          <w:szCs w:val="20"/>
          <w:lang w:val="en-US"/>
        </w:rPr>
        <w:t>trở</w:t>
      </w:r>
      <w:r w:rsidRPr="001B17DA">
        <w:rPr>
          <w:rFonts w:ascii="Arial" w:hAnsi="Arial" w:cs="Arial"/>
          <w:b/>
          <w:bCs/>
          <w:sz w:val="20"/>
          <w:szCs w:val="20"/>
        </w:rPr>
        <w:t xml:space="preserve"> lên</w:t>
      </w:r>
      <w:bookmarkStart w:id="24" w:name="bookmark23"/>
      <w:bookmarkEnd w:id="24"/>
    </w:p>
    <w:p w:rsidR="00785662" w:rsidRDefault="005C3625" w:rsidP="0078566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4F3B19" w:rsidRPr="001B17DA">
        <w:rPr>
          <w:rFonts w:ascii="Arial" w:hAnsi="Arial" w:cs="Arial"/>
          <w:sz w:val="20"/>
          <w:szCs w:val="20"/>
        </w:rPr>
        <w:t>Công ty lâm nghiệp Nhà nước nắm giữ 100% vốn điều lệ được chuyển thành công ty trách nhiệm hữu hạn hai thành viên trở lên khi đáp ứng đủ các điều kiện sau:</w:t>
      </w:r>
      <w:bookmarkStart w:id="25" w:name="bookmark24"/>
      <w:bookmarkEnd w:id="25"/>
    </w:p>
    <w:p w:rsidR="00062F0E" w:rsidRDefault="00785662" w:rsidP="00062F0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Có phương án sản xuất, chế biến ứng dụng công nghệ cao, đáp ứng nhu cầu thị trường trong nước và ngoài nước theo các tiêu chí sau:</w:t>
      </w:r>
      <w:bookmarkStart w:id="26" w:name="bookmark25"/>
      <w:bookmarkEnd w:id="26"/>
    </w:p>
    <w:p w:rsidR="00F47DBB" w:rsidRDefault="00062F0E" w:rsidP="00F47DB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Ứ</w:t>
      </w:r>
      <w:r w:rsidR="004F3B19" w:rsidRPr="001B17DA">
        <w:rPr>
          <w:rFonts w:ascii="Arial" w:hAnsi="Arial" w:cs="Arial"/>
          <w:sz w:val="20"/>
          <w:szCs w:val="20"/>
        </w:rPr>
        <w:t>ng dụng công nghệ cao thuộc Danh m</w:t>
      </w:r>
      <w:r w:rsidR="00F47DBB">
        <w:rPr>
          <w:rFonts w:ascii="Arial" w:hAnsi="Arial" w:cs="Arial"/>
          <w:sz w:val="20"/>
          <w:szCs w:val="20"/>
        </w:rPr>
        <w:t>ục công nghệ cao được ưu tiên đầ</w:t>
      </w:r>
      <w:r w:rsidR="004F3B19" w:rsidRPr="001B17DA">
        <w:rPr>
          <w:rFonts w:ascii="Arial" w:hAnsi="Arial" w:cs="Arial"/>
          <w:sz w:val="20"/>
          <w:szCs w:val="20"/>
        </w:rPr>
        <w:t xml:space="preserve">u tư phát </w:t>
      </w:r>
      <w:r w:rsidR="00F47DBB">
        <w:rPr>
          <w:rFonts w:ascii="Arial" w:hAnsi="Arial" w:cs="Arial"/>
          <w:sz w:val="20"/>
          <w:szCs w:val="20"/>
          <w:lang w:val="en-US"/>
        </w:rPr>
        <w:t>triển</w:t>
      </w:r>
      <w:r w:rsidR="004F3B19" w:rsidRPr="001B17DA">
        <w:rPr>
          <w:rFonts w:ascii="Arial" w:hAnsi="Arial" w:cs="Arial"/>
          <w:sz w:val="20"/>
          <w:szCs w:val="20"/>
        </w:rPr>
        <w:t xml:space="preserve"> theo quy định của pháp luật về công nghệ cao để sản xuất sản phẩm nông nghiệp;</w:t>
      </w:r>
      <w:bookmarkStart w:id="27" w:name="bookmark26"/>
      <w:bookmarkEnd w:id="27"/>
    </w:p>
    <w:p w:rsidR="004A0B2F" w:rsidRDefault="00F47DBB" w:rsidP="004A0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Á</w:t>
      </w:r>
      <w:r w:rsidR="004F3B19" w:rsidRPr="001B17DA">
        <w:rPr>
          <w:rFonts w:ascii="Arial" w:hAnsi="Arial" w:cs="Arial"/>
          <w:sz w:val="20"/>
          <w:szCs w:val="20"/>
        </w:rPr>
        <w:t xml:space="preserve">p dụng các biện pháp thân thiện môi trường, tiết kiệm năng lượng trong sản xuất và quản lý chất lượng sản phẩm nông nghiệp đạt tiêu chuẩn, quy chuẩn kỹ thuật của Việt Nam; trường hợp chưa có tiêu chuẩn, quy </w:t>
      </w:r>
      <w:r w:rsidR="004A0B2F">
        <w:rPr>
          <w:rFonts w:ascii="Arial" w:hAnsi="Arial" w:cs="Arial"/>
          <w:sz w:val="20"/>
          <w:szCs w:val="20"/>
          <w:lang w:val="en-US"/>
        </w:rPr>
        <w:t>chuẩn</w:t>
      </w:r>
      <w:r w:rsidR="004F3B19" w:rsidRPr="001B17DA">
        <w:rPr>
          <w:rFonts w:ascii="Arial" w:hAnsi="Arial" w:cs="Arial"/>
          <w:sz w:val="20"/>
          <w:szCs w:val="20"/>
        </w:rPr>
        <w:t xml:space="preserve"> kỹ thuật của Việt Nam thì áp dụng tiêu chuẩn của tổ chức quốc tế chuyên ngành.</w:t>
      </w:r>
      <w:bookmarkStart w:id="28" w:name="bookmark27"/>
      <w:bookmarkEnd w:id="28"/>
    </w:p>
    <w:p w:rsidR="004A0B2F" w:rsidRDefault="004A0B2F" w:rsidP="004A0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Còn vố</w:t>
      </w:r>
      <w:r w:rsidR="004F3B19" w:rsidRPr="001B17DA">
        <w:rPr>
          <w:rFonts w:ascii="Arial" w:hAnsi="Arial" w:cs="Arial"/>
          <w:sz w:val="20"/>
          <w:szCs w:val="20"/>
        </w:rPr>
        <w:t>n nhà nước sau khi đã được xử lý tài chính và đánh giá lại giá trị doanh nghiệp.</w:t>
      </w:r>
      <w:bookmarkStart w:id="29" w:name="bookmark28"/>
      <w:bookmarkEnd w:id="29"/>
    </w:p>
    <w:p w:rsidR="004A0B2F" w:rsidRDefault="004A0B2F" w:rsidP="004A0B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4F3B19" w:rsidRPr="001B17DA">
        <w:rPr>
          <w:rFonts w:ascii="Arial" w:hAnsi="Arial" w:cs="Arial"/>
          <w:sz w:val="20"/>
          <w:szCs w:val="20"/>
        </w:rPr>
        <w:t>Hình thức chuyển đổi và quyền chi phối của nhà nước</w:t>
      </w:r>
      <w:bookmarkStart w:id="30" w:name="bookmark29"/>
      <w:bookmarkEnd w:id="30"/>
    </w:p>
    <w:p w:rsidR="0025660C" w:rsidRDefault="004A0B2F" w:rsidP="0025660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 xml:space="preserve">Hình thức chuyển đổi: Bán một phần vốn nhà nước hiện có tại công ty trách nhiệm hữu hạn một thành viên do Nhà nước </w:t>
      </w:r>
      <w:r w:rsidR="0025660C">
        <w:rPr>
          <w:rFonts w:ascii="Arial" w:hAnsi="Arial" w:cs="Arial"/>
          <w:sz w:val="20"/>
          <w:szCs w:val="20"/>
          <w:lang w:val="en-US"/>
        </w:rPr>
        <w:t>nắm</w:t>
      </w:r>
      <w:r w:rsidR="004F3B19" w:rsidRPr="001B17DA">
        <w:rPr>
          <w:rFonts w:ascii="Arial" w:hAnsi="Arial" w:cs="Arial"/>
          <w:sz w:val="20"/>
          <w:szCs w:val="20"/>
        </w:rPr>
        <w:t xml:space="preserve"> giữ 100% </w:t>
      </w:r>
      <w:r w:rsidR="0025660C">
        <w:rPr>
          <w:rFonts w:ascii="Arial" w:hAnsi="Arial" w:cs="Arial"/>
          <w:sz w:val="20"/>
          <w:szCs w:val="20"/>
          <w:lang w:val="en-US"/>
        </w:rPr>
        <w:t>vốn điều</w:t>
      </w:r>
      <w:r w:rsidR="004F3B19" w:rsidRPr="001B17DA">
        <w:rPr>
          <w:rFonts w:ascii="Arial" w:hAnsi="Arial" w:cs="Arial"/>
          <w:sz w:val="20"/>
          <w:szCs w:val="20"/>
        </w:rPr>
        <w:t xml:space="preserve"> lệ cho nhà đầu tư và chuyển thành công ty trách nhiệm hữu hạn hai thành viên trở lên theo quy định tại khoản 2 Điều 33 Nghị định số 23/2022/NĐ-CP.</w:t>
      </w:r>
      <w:bookmarkStart w:id="31" w:name="bookmark30"/>
      <w:bookmarkEnd w:id="31"/>
    </w:p>
    <w:p w:rsidR="00DD384B" w:rsidRDefault="0025660C" w:rsidP="00DD384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 xml:space="preserve">Quyền chi phối của nhà nước: Nhà nước nắm giữ vốn góp chi </w:t>
      </w:r>
      <w:r w:rsidR="00DD384B">
        <w:rPr>
          <w:rFonts w:ascii="Arial" w:hAnsi="Arial" w:cs="Arial"/>
          <w:sz w:val="20"/>
          <w:szCs w:val="20"/>
          <w:lang w:val="en-US"/>
        </w:rPr>
        <w:t>phối</w:t>
      </w:r>
      <w:r w:rsidR="004F3B19" w:rsidRPr="001B17DA">
        <w:rPr>
          <w:rFonts w:ascii="Arial" w:hAnsi="Arial" w:cs="Arial"/>
          <w:sz w:val="20"/>
          <w:szCs w:val="20"/>
        </w:rPr>
        <w:t xml:space="preserve"> đối với công ty lâm nghiệp có phương án sử dụng đất từ 1.000 ha trở lên.</w:t>
      </w:r>
      <w:bookmarkStart w:id="32" w:name="bookmark31"/>
      <w:bookmarkEnd w:id="32"/>
    </w:p>
    <w:p w:rsidR="00DD384B" w:rsidRDefault="00DD384B" w:rsidP="00DD384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F3B19" w:rsidRPr="001B17DA">
        <w:rPr>
          <w:rFonts w:ascii="Arial" w:hAnsi="Arial" w:cs="Arial"/>
          <w:sz w:val="20"/>
          <w:szCs w:val="20"/>
        </w:rPr>
        <w:t>Nhà đầu tư được lựa chọn phải đáp ứng đủ các điều kiện sau:</w:t>
      </w:r>
      <w:bookmarkStart w:id="33" w:name="bookmark32"/>
      <w:bookmarkEnd w:id="33"/>
    </w:p>
    <w:p w:rsidR="00DD384B" w:rsidRDefault="00DD384B" w:rsidP="00DD384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Có tư cách pháp nhân theo quy định của pháp luật;</w:t>
      </w:r>
      <w:bookmarkStart w:id="34" w:name="bookmark33"/>
      <w:bookmarkEnd w:id="34"/>
    </w:p>
    <w:p w:rsidR="007A3350" w:rsidRDefault="00DD384B" w:rsidP="007A33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Có vốn chủ sở hữu tối thiểu gấp hai lần vốn điều lệ của phương án thành lập công ty trách nhiệm hữu hạn hai thành viên trở lên;</w:t>
      </w:r>
      <w:bookmarkStart w:id="35" w:name="bookmark34"/>
      <w:bookmarkEnd w:id="35"/>
    </w:p>
    <w:p w:rsidR="00C95860" w:rsidRDefault="007A3350" w:rsidP="00C958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4F3B19" w:rsidRPr="001B17DA">
        <w:rPr>
          <w:rFonts w:ascii="Arial" w:hAnsi="Arial" w:cs="Arial"/>
          <w:sz w:val="20"/>
          <w:szCs w:val="20"/>
        </w:rPr>
        <w:t>Có kết quả hoạt động sả</w:t>
      </w:r>
      <w:r w:rsidR="00C95860">
        <w:rPr>
          <w:rFonts w:ascii="Arial" w:hAnsi="Arial" w:cs="Arial"/>
          <w:sz w:val="20"/>
          <w:szCs w:val="20"/>
        </w:rPr>
        <w:t>n xuất kinh doanh 03 năm gần nhấ</w:t>
      </w:r>
      <w:r w:rsidR="004F3B19" w:rsidRPr="001B17DA">
        <w:rPr>
          <w:rFonts w:ascii="Arial" w:hAnsi="Arial" w:cs="Arial"/>
          <w:sz w:val="20"/>
          <w:szCs w:val="20"/>
        </w:rPr>
        <w:t>t có lãi tính đến thời điểm đăng ký tham gia góp vốn hoặc mua phần vốn nhà nước</w:t>
      </w:r>
      <w:bookmarkStart w:id="36" w:name="bookmark35"/>
      <w:bookmarkEnd w:id="36"/>
      <w:r w:rsidR="00C95860">
        <w:rPr>
          <w:rFonts w:ascii="Arial" w:hAnsi="Arial" w:cs="Arial"/>
          <w:sz w:val="20"/>
          <w:szCs w:val="20"/>
        </w:rPr>
        <w:t>;</w:t>
      </w:r>
    </w:p>
    <w:p w:rsidR="00B57501" w:rsidRDefault="00C95860" w:rsidP="00B5750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4F3B19" w:rsidRPr="001B17DA">
        <w:rPr>
          <w:rFonts w:ascii="Arial" w:hAnsi="Arial" w:cs="Arial"/>
          <w:sz w:val="20"/>
          <w:szCs w:val="20"/>
        </w:rPr>
        <w:t>Cam kết bằng văn bản của nhà đầu tư khi đăng ký trở thành thành viên của công ty trách nhiệm hữu hạn hai thành viên trở lên, gồm các nội dung sau:</w:t>
      </w:r>
    </w:p>
    <w:p w:rsidR="00CA0B03" w:rsidRDefault="00B57501" w:rsidP="00CA0B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Duy trì ngành nghề kinh doanh chính của doanh nghiệp trong thời gian ít nhất 03 năm kể từ ngày công ty trách nhiệm hữu hạn hai thành viên trở lên được cấp Giấy chứng nhận đăng ký doanh nghiệp lần đầu hoạt động theo Luật Doanh nghiệp;</w:t>
      </w:r>
      <w:bookmarkStart w:id="37" w:name="bookmark36"/>
      <w:bookmarkEnd w:id="37"/>
    </w:p>
    <w:p w:rsidR="00A66264" w:rsidRDefault="00CA0B03" w:rsidP="00A662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Không chuyển nhượng phần vốn góp trong thời hạn 05 năm kể từ ngày công ty trách nhiệm hữu hạn hai thành viên trở lên được cấp Giấy chứng nhận đăng ký doanh nghiệp lần đầu hoạt động theo Luật Doanh nghiệp;</w:t>
      </w:r>
      <w:bookmarkStart w:id="38" w:name="bookmark37"/>
      <w:bookmarkEnd w:id="38"/>
    </w:p>
    <w:p w:rsidR="003C5D12" w:rsidRDefault="00A66264" w:rsidP="003C5D1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Phương án hỗ trợ doanh nghiệp sau thành lập công ty trách nhiệm hữu hạn hai thành viên trong việc chuyển giao công nghệ mới, đào tạo nguồn nhân lực, nâng cao năng lực tài chính, quản trị doanh nghiệp, cung ứng nguyên vật liệu, phát triển thị trường tiêu thụ sản phẩm;</w:t>
      </w:r>
      <w:bookmarkStart w:id="39" w:name="bookmark38"/>
      <w:bookmarkEnd w:id="39"/>
    </w:p>
    <w:p w:rsidR="00904D1F" w:rsidRDefault="003C5D12" w:rsidP="00904D1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Các nghĩa vụ bồi thường khi vi phạm cam kết đã ký với mức bồi thường xác định theo thiệt hại thực tế và quyền định đoạt của Nhà nước đối với toàn bộ </w:t>
      </w:r>
      <w:r w:rsidR="00904D1F">
        <w:rPr>
          <w:rFonts w:ascii="Arial" w:hAnsi="Arial" w:cs="Arial"/>
          <w:sz w:val="20"/>
          <w:szCs w:val="20"/>
          <w:lang w:val="en-US"/>
        </w:rPr>
        <w:t>vốn</w:t>
      </w:r>
      <w:r w:rsidR="004F3B19" w:rsidRPr="001B17DA">
        <w:rPr>
          <w:rFonts w:ascii="Arial" w:hAnsi="Arial" w:cs="Arial"/>
          <w:sz w:val="20"/>
          <w:szCs w:val="20"/>
        </w:rPr>
        <w:t xml:space="preserve"> góp của nhà </w:t>
      </w:r>
      <w:r w:rsidR="00904D1F">
        <w:rPr>
          <w:rFonts w:ascii="Arial" w:hAnsi="Arial" w:cs="Arial"/>
          <w:sz w:val="20"/>
          <w:szCs w:val="20"/>
          <w:lang w:val="en-US"/>
        </w:rPr>
        <w:t>đầu</w:t>
      </w:r>
      <w:r w:rsidR="004F3B19" w:rsidRPr="001B17DA">
        <w:rPr>
          <w:rFonts w:ascii="Arial" w:hAnsi="Arial" w:cs="Arial"/>
          <w:sz w:val="20"/>
          <w:szCs w:val="20"/>
        </w:rPr>
        <w:t xml:space="preserve"> tư khi vi phạm các cam kết đã ký;</w:t>
      </w:r>
      <w:bookmarkStart w:id="40" w:name="bookmark39"/>
      <w:bookmarkEnd w:id="40"/>
    </w:p>
    <w:p w:rsidR="00EF43BA" w:rsidRPr="001B17DA" w:rsidRDefault="00904D1F" w:rsidP="00904D1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Các cam kết khác (nếu có).</w:t>
      </w:r>
    </w:p>
    <w:p w:rsidR="00904D1F" w:rsidRDefault="004F3B19" w:rsidP="00904D1F">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đ) Cam kết tại điểm d khoản này là một phần nội dung bắt buộc của hợp đồng chuyển nhượng vốn.</w:t>
      </w:r>
      <w:bookmarkStart w:id="41" w:name="bookmark40"/>
      <w:bookmarkEnd w:id="41"/>
    </w:p>
    <w:p w:rsidR="00BA6B9A" w:rsidRDefault="00904D1F" w:rsidP="00BA6B9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4F3B19" w:rsidRPr="001B17DA">
        <w:rPr>
          <w:rFonts w:ascii="Arial" w:hAnsi="Arial" w:cs="Arial"/>
          <w:sz w:val="20"/>
          <w:szCs w:val="20"/>
        </w:rPr>
        <w:t xml:space="preserve">Nguyên tắc chuyển </w:t>
      </w:r>
      <w:r w:rsidR="00B52FC6">
        <w:rPr>
          <w:rFonts w:ascii="Arial" w:hAnsi="Arial" w:cs="Arial"/>
          <w:sz w:val="20"/>
          <w:szCs w:val="20"/>
          <w:lang w:val="en-US"/>
        </w:rPr>
        <w:t>đổi</w:t>
      </w:r>
      <w:r w:rsidR="004F3B19" w:rsidRPr="001B17DA">
        <w:rPr>
          <w:rFonts w:ascii="Arial" w:hAnsi="Arial" w:cs="Arial"/>
          <w:sz w:val="20"/>
          <w:szCs w:val="20"/>
        </w:rPr>
        <w:t xml:space="preserve">, nội dung Phương án chuyển đổi, trách nhiệm thực hiện </w:t>
      </w:r>
      <w:r w:rsidR="00974227">
        <w:rPr>
          <w:rFonts w:ascii="Arial" w:hAnsi="Arial" w:cs="Arial"/>
          <w:sz w:val="20"/>
          <w:szCs w:val="20"/>
          <w:lang w:val="en-US"/>
        </w:rPr>
        <w:t>chuyển đổi</w:t>
      </w:r>
      <w:r w:rsidR="004F3B19" w:rsidRPr="001B17DA">
        <w:rPr>
          <w:rFonts w:ascii="Arial" w:hAnsi="Arial" w:cs="Arial"/>
          <w:sz w:val="20"/>
          <w:szCs w:val="20"/>
        </w:rPr>
        <w:t xml:space="preserve">, quản lý và sử dụng tiền thu từ chuyển </w:t>
      </w:r>
      <w:r w:rsidR="00BA6B9A">
        <w:rPr>
          <w:rFonts w:ascii="Arial" w:hAnsi="Arial" w:cs="Arial"/>
          <w:sz w:val="20"/>
          <w:szCs w:val="20"/>
          <w:lang w:val="en-US"/>
        </w:rPr>
        <w:t>đổi</w:t>
      </w:r>
      <w:r w:rsidR="004F3B19" w:rsidRPr="001B17DA">
        <w:rPr>
          <w:rFonts w:ascii="Arial" w:hAnsi="Arial" w:cs="Arial"/>
          <w:sz w:val="20"/>
          <w:szCs w:val="20"/>
        </w:rPr>
        <w:t xml:space="preserve"> công ty lâm nghiệp 100% vốn nhà nước thành công ty trách nhiệm hữu hạn hai thành viên trở lên thực hiện theo quy định tại Điều 34, Điều 35, Điều 36 và Điều 38 Nghị định số 23/2022/</w:t>
      </w:r>
      <w:r w:rsidR="002C3A64">
        <w:rPr>
          <w:rFonts w:ascii="Arial" w:hAnsi="Arial" w:cs="Arial"/>
          <w:sz w:val="20"/>
          <w:szCs w:val="20"/>
        </w:rPr>
        <w:t>NĐ-CP</w:t>
      </w:r>
      <w:r w:rsidR="00BA6B9A">
        <w:rPr>
          <w:rFonts w:ascii="Arial" w:hAnsi="Arial" w:cs="Arial"/>
          <w:sz w:val="20"/>
          <w:szCs w:val="20"/>
        </w:rPr>
        <w:t>.</w:t>
      </w:r>
      <w:r w:rsidR="00BA6B9A">
        <w:rPr>
          <w:rFonts w:ascii="Arial" w:hAnsi="Arial" w:cs="Arial"/>
          <w:sz w:val="20"/>
          <w:szCs w:val="20"/>
          <w:lang w:val="en-US"/>
        </w:rPr>
        <w:t>”</w:t>
      </w:r>
      <w:bookmarkStart w:id="42" w:name="bookmark41"/>
      <w:bookmarkEnd w:id="42"/>
      <w:r w:rsidR="00BA6B9A">
        <w:rPr>
          <w:rFonts w:ascii="Arial" w:hAnsi="Arial" w:cs="Arial"/>
          <w:sz w:val="20"/>
          <w:szCs w:val="20"/>
          <w:lang w:val="en-US"/>
        </w:rPr>
        <w:t>.</w:t>
      </w:r>
    </w:p>
    <w:p w:rsidR="00BA6B9A" w:rsidRDefault="00BA6B9A" w:rsidP="00BA6B9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004F3B19" w:rsidRPr="001B17DA">
        <w:rPr>
          <w:rFonts w:ascii="Arial" w:hAnsi="Arial" w:cs="Arial"/>
          <w:sz w:val="20"/>
          <w:szCs w:val="20"/>
        </w:rPr>
        <w:t>Sửa đổi, bổ sung một số khoản của Điều 19 như sau:</w:t>
      </w:r>
      <w:bookmarkStart w:id="43" w:name="bookmark42"/>
      <w:bookmarkEnd w:id="43"/>
    </w:p>
    <w:p w:rsidR="00EF43BA" w:rsidRPr="00BA6B9A" w:rsidRDefault="00BA6B9A" w:rsidP="00BA6B9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4F3B19" w:rsidRPr="001B17DA">
        <w:rPr>
          <w:rFonts w:ascii="Arial" w:hAnsi="Arial" w:cs="Arial"/>
          <w:sz w:val="20"/>
          <w:szCs w:val="20"/>
        </w:rPr>
        <w:t>Sửa đổi, bổ sung khoản 4 như sau:</w:t>
      </w:r>
    </w:p>
    <w:p w:rsidR="009C6B72" w:rsidRDefault="004F3B19" w:rsidP="009C6B72">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“4. Tiếp tục bàn giao kết cấu hạ tầng (đường giao thông, hệ thống điện, công trình thủy lợi và công trình phúc lợi khác) của các công ty nông, lâm nghiệp về địa phương quản lý. </w:t>
      </w:r>
      <w:r w:rsidR="00F87800">
        <w:rPr>
          <w:rFonts w:ascii="Arial" w:hAnsi="Arial" w:cs="Arial"/>
          <w:sz w:val="20"/>
          <w:szCs w:val="20"/>
          <w:lang w:val="en-US"/>
        </w:rPr>
        <w:t>Đối</w:t>
      </w:r>
      <w:r w:rsidRPr="001B17DA">
        <w:rPr>
          <w:rFonts w:ascii="Arial" w:hAnsi="Arial" w:cs="Arial"/>
          <w:sz w:val="20"/>
          <w:szCs w:val="20"/>
        </w:rPr>
        <w:t xml:space="preserve"> với trườ</w:t>
      </w:r>
      <w:r w:rsidR="009C6B72">
        <w:rPr>
          <w:rFonts w:ascii="Arial" w:hAnsi="Arial" w:cs="Arial"/>
          <w:sz w:val="20"/>
          <w:szCs w:val="20"/>
        </w:rPr>
        <w:t>ng hợp đặc biệt (nhà trẻ, mẫ</w:t>
      </w:r>
      <w:r w:rsidRPr="001B17DA">
        <w:rPr>
          <w:rFonts w:ascii="Arial" w:hAnsi="Arial" w:cs="Arial"/>
          <w:sz w:val="20"/>
          <w:szCs w:val="20"/>
        </w:rPr>
        <w:t xml:space="preserve">u giáo, trung tâm y tế) cần thiết phải giữ lại </w:t>
      </w:r>
      <w:r w:rsidR="009C6B72">
        <w:rPr>
          <w:rFonts w:ascii="Arial" w:hAnsi="Arial" w:cs="Arial"/>
          <w:sz w:val="20"/>
          <w:szCs w:val="20"/>
          <w:lang w:val="en-US"/>
        </w:rPr>
        <w:t>để</w:t>
      </w:r>
      <w:r w:rsidR="009C6B72">
        <w:rPr>
          <w:rFonts w:ascii="Arial" w:hAnsi="Arial" w:cs="Arial"/>
          <w:sz w:val="20"/>
          <w:szCs w:val="20"/>
        </w:rPr>
        <w:t xml:space="preserve"> phục vụ cho hoạt động sản xuấ</w:t>
      </w:r>
      <w:r w:rsidRPr="001B17DA">
        <w:rPr>
          <w:rFonts w:ascii="Arial" w:hAnsi="Arial" w:cs="Arial"/>
          <w:sz w:val="20"/>
          <w:szCs w:val="20"/>
        </w:rPr>
        <w:t xml:space="preserve">t kinh doanh của công ty thì các khoản thu mà các cơ sở này thu được và các khoản chi cho hoạt động của cơ sở (gồm cả chi phí khấu hao tài sản </w:t>
      </w:r>
      <w:r w:rsidR="009C6B72">
        <w:rPr>
          <w:rFonts w:ascii="Arial" w:hAnsi="Arial" w:cs="Arial"/>
          <w:sz w:val="20"/>
          <w:szCs w:val="20"/>
          <w:lang w:val="en-US"/>
        </w:rPr>
        <w:t>cố</w:t>
      </w:r>
      <w:r w:rsidRPr="001B17DA">
        <w:rPr>
          <w:rFonts w:ascii="Arial" w:hAnsi="Arial" w:cs="Arial"/>
          <w:sz w:val="20"/>
          <w:szCs w:val="20"/>
        </w:rPr>
        <w:t xml:space="preserve"> định) được xác định là các khoản doanh thu, chi phí, thu nhập và các nội dung khác cho mục đích tính thuế thực hiện theo quy định của pháp luật về thuế thu nhập doanh nghiệp.”.</w:t>
      </w:r>
      <w:bookmarkStart w:id="44" w:name="bookmark43"/>
      <w:bookmarkEnd w:id="44"/>
    </w:p>
    <w:p w:rsidR="00EF43BA" w:rsidRPr="001B17DA" w:rsidRDefault="009C6B72" w:rsidP="009C6B7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4F3B19" w:rsidRPr="001B17DA">
        <w:rPr>
          <w:rFonts w:ascii="Arial" w:hAnsi="Arial" w:cs="Arial"/>
          <w:sz w:val="20"/>
          <w:szCs w:val="20"/>
        </w:rPr>
        <w:t>Bổ sung khoản 8 như sau:</w:t>
      </w:r>
    </w:p>
    <w:p w:rsidR="00421992" w:rsidRDefault="004F3B19" w:rsidP="00421992">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“8. Bàn giao đất và tài sản trên đất về địa phương quản lý.</w:t>
      </w:r>
      <w:bookmarkStart w:id="45" w:name="bookmark44"/>
      <w:bookmarkEnd w:id="45"/>
    </w:p>
    <w:p w:rsidR="003F7E3A" w:rsidRDefault="00421992" w:rsidP="003F7E3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4F3B19" w:rsidRPr="001B17DA">
        <w:rPr>
          <w:rFonts w:ascii="Arial" w:hAnsi="Arial" w:cs="Arial"/>
          <w:sz w:val="20"/>
          <w:szCs w:val="20"/>
        </w:rPr>
        <w:t>Bàn giao đất và tài sản trên đất về địa phương:</w:t>
      </w:r>
      <w:bookmarkStart w:id="46" w:name="bookmark45"/>
      <w:bookmarkEnd w:id="46"/>
    </w:p>
    <w:p w:rsidR="00865A56" w:rsidRDefault="003F7E3A" w:rsidP="00865A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Thực hiện bàn giao nguyên trạng hồ sơ quản lý đất đai, tài sản trên </w:t>
      </w:r>
      <w:r w:rsidR="00865A56">
        <w:rPr>
          <w:rFonts w:ascii="Arial" w:hAnsi="Arial" w:cs="Arial"/>
          <w:sz w:val="20"/>
          <w:szCs w:val="20"/>
          <w:lang w:val="en-US"/>
        </w:rPr>
        <w:t>đất</w:t>
      </w:r>
      <w:r w:rsidR="004F3B19" w:rsidRPr="001B17DA">
        <w:rPr>
          <w:rFonts w:ascii="Arial" w:hAnsi="Arial" w:cs="Arial"/>
          <w:sz w:val="20"/>
          <w:szCs w:val="20"/>
        </w:rPr>
        <w:t xml:space="preserve"> theo số liệu kiểm kê tại thời điểm bàn giao;</w:t>
      </w:r>
      <w:bookmarkStart w:id="47" w:name="bookmark46"/>
      <w:bookmarkEnd w:id="47"/>
    </w:p>
    <w:p w:rsidR="009B4D2F" w:rsidRDefault="00865A56" w:rsidP="009B4D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Doanh nghiệp bàn giao tài sản trên đất theo nguyên trạng khi thực hiện bàn giao về địa phương;</w:t>
      </w:r>
      <w:bookmarkStart w:id="48" w:name="bookmark47"/>
      <w:bookmarkEnd w:id="48"/>
    </w:p>
    <w:p w:rsidR="009B4D2F" w:rsidRDefault="009B4D2F" w:rsidP="009B4D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004F3B19" w:rsidRPr="001B17DA">
        <w:rPr>
          <w:rFonts w:ascii="Arial" w:hAnsi="Arial" w:cs="Arial"/>
          <w:sz w:val="20"/>
          <w:szCs w:val="20"/>
        </w:rPr>
        <w:t xml:space="preserve">Nguyên tắc xác định giá trị tài sản trên diện tích đất đã thu hồi khi địa phương giao đất hoặc cho thuê đất cho </w:t>
      </w:r>
      <w:r>
        <w:rPr>
          <w:rFonts w:ascii="Arial" w:hAnsi="Arial" w:cs="Arial"/>
          <w:sz w:val="20"/>
          <w:szCs w:val="20"/>
          <w:lang w:val="en-US"/>
        </w:rPr>
        <w:t>tổ</w:t>
      </w:r>
      <w:r w:rsidR="004F3B19" w:rsidRPr="001B17DA">
        <w:rPr>
          <w:rFonts w:ascii="Arial" w:hAnsi="Arial" w:cs="Arial"/>
          <w:sz w:val="20"/>
          <w:szCs w:val="20"/>
        </w:rPr>
        <w:t xml:space="preserve"> chức, hộ gia đình, cá nhân:</w:t>
      </w:r>
      <w:bookmarkStart w:id="49" w:name="bookmark48"/>
      <w:bookmarkEnd w:id="49"/>
    </w:p>
    <w:p w:rsidR="009A15D8" w:rsidRDefault="009B4D2F" w:rsidP="009A15D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Khi giao đất cho tổ chức, hộ gia đình, cá nhân thuê đất đối với diện tích đã thu </w:t>
      </w:r>
      <w:r w:rsidR="004F0E27">
        <w:rPr>
          <w:rFonts w:ascii="Arial" w:hAnsi="Arial" w:cs="Arial"/>
          <w:sz w:val="20"/>
          <w:szCs w:val="20"/>
          <w:lang w:val="en-US"/>
        </w:rPr>
        <w:t>hồi</w:t>
      </w:r>
      <w:r w:rsidR="004F3B19" w:rsidRPr="001B17DA">
        <w:rPr>
          <w:rFonts w:ascii="Arial" w:hAnsi="Arial" w:cs="Arial"/>
          <w:sz w:val="20"/>
          <w:szCs w:val="20"/>
        </w:rPr>
        <w:t xml:space="preserve"> thì </w:t>
      </w:r>
      <w:r w:rsidR="004F0E27">
        <w:rPr>
          <w:rFonts w:ascii="Arial" w:hAnsi="Arial" w:cs="Arial"/>
          <w:sz w:val="20"/>
          <w:szCs w:val="20"/>
          <w:lang w:val="en-US"/>
        </w:rPr>
        <w:t>Ủy</w:t>
      </w:r>
      <w:r w:rsidR="004F3B19" w:rsidRPr="001B17DA">
        <w:rPr>
          <w:rFonts w:ascii="Arial" w:hAnsi="Arial" w:cs="Arial"/>
          <w:sz w:val="20"/>
          <w:szCs w:val="20"/>
        </w:rPr>
        <w:t xml:space="preserve"> ban nhân dân cấp tỉnh giao các cơ quan liên quan có trách nhiệm thu </w:t>
      </w:r>
      <w:r w:rsidR="009A15D8">
        <w:rPr>
          <w:rFonts w:ascii="Arial" w:hAnsi="Arial" w:cs="Arial"/>
          <w:sz w:val="20"/>
          <w:szCs w:val="20"/>
          <w:lang w:val="en-US"/>
        </w:rPr>
        <w:t>hồi</w:t>
      </w:r>
      <w:r w:rsidR="004F3B19" w:rsidRPr="001B17DA">
        <w:rPr>
          <w:rFonts w:ascii="Arial" w:hAnsi="Arial" w:cs="Arial"/>
          <w:sz w:val="20"/>
          <w:szCs w:val="20"/>
        </w:rPr>
        <w:t xml:space="preserve"> phần </w:t>
      </w:r>
      <w:r w:rsidR="009A15D8">
        <w:rPr>
          <w:rFonts w:ascii="Arial" w:hAnsi="Arial" w:cs="Arial"/>
          <w:sz w:val="20"/>
          <w:szCs w:val="20"/>
          <w:lang w:val="en-US"/>
        </w:rPr>
        <w:t>vốn</w:t>
      </w:r>
      <w:r w:rsidR="004F3B19" w:rsidRPr="001B17DA">
        <w:rPr>
          <w:rFonts w:ascii="Arial" w:hAnsi="Arial" w:cs="Arial"/>
          <w:sz w:val="20"/>
          <w:szCs w:val="20"/>
        </w:rPr>
        <w:t xml:space="preserve"> đã đầu tư của công ty nông, lâm nghiệp đối với tài sản trên diện tích </w:t>
      </w:r>
      <w:r w:rsidR="009A15D8">
        <w:rPr>
          <w:rFonts w:ascii="Arial" w:hAnsi="Arial" w:cs="Arial"/>
          <w:sz w:val="20"/>
          <w:szCs w:val="20"/>
          <w:lang w:val="en-US"/>
        </w:rPr>
        <w:t>đất</w:t>
      </w:r>
      <w:r w:rsidR="004F3B19" w:rsidRPr="001B17DA">
        <w:rPr>
          <w:rFonts w:ascii="Arial" w:hAnsi="Arial" w:cs="Arial"/>
          <w:sz w:val="20"/>
          <w:szCs w:val="20"/>
        </w:rPr>
        <w:t xml:space="preserve"> này </w:t>
      </w:r>
      <w:r w:rsidR="009A15D8">
        <w:rPr>
          <w:rFonts w:ascii="Arial" w:hAnsi="Arial" w:cs="Arial"/>
          <w:sz w:val="20"/>
          <w:szCs w:val="20"/>
          <w:lang w:val="en-US"/>
        </w:rPr>
        <w:t>để</w:t>
      </w:r>
      <w:r w:rsidR="004F3B19" w:rsidRPr="001B17DA">
        <w:rPr>
          <w:rFonts w:ascii="Arial" w:hAnsi="Arial" w:cs="Arial"/>
          <w:sz w:val="20"/>
          <w:szCs w:val="20"/>
        </w:rPr>
        <w:t xml:space="preserve"> thanh toán cho công ty nông, lâm nghiệp có tài sản bàn giao;</w:t>
      </w:r>
      <w:bookmarkStart w:id="50" w:name="bookmark49"/>
      <w:bookmarkEnd w:id="50"/>
    </w:p>
    <w:p w:rsidR="00332441" w:rsidRDefault="009A15D8" w:rsidP="00332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Giá trị tài sản trên đất được xác định theo giá thị trường tại thời điểm bàn giao </w:t>
      </w:r>
      <w:r w:rsidR="00332441">
        <w:rPr>
          <w:rFonts w:ascii="Arial" w:hAnsi="Arial" w:cs="Arial"/>
          <w:sz w:val="20"/>
          <w:szCs w:val="20"/>
          <w:lang w:val="en-US"/>
        </w:rPr>
        <w:t>để</w:t>
      </w:r>
      <w:r w:rsidR="004F3B19" w:rsidRPr="001B17DA">
        <w:rPr>
          <w:rFonts w:ascii="Arial" w:hAnsi="Arial" w:cs="Arial"/>
          <w:sz w:val="20"/>
          <w:szCs w:val="20"/>
        </w:rPr>
        <w:t xml:space="preserve"> làm căn cứ thu hồi phần vốn nhà nước đã đầu tư;</w:t>
      </w:r>
      <w:bookmarkStart w:id="51" w:name="bookmark50"/>
      <w:bookmarkEnd w:id="51"/>
    </w:p>
    <w:p w:rsidR="00252DCA" w:rsidRDefault="00332441" w:rsidP="00252D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 xml:space="preserve">Đối với tài sản hình thành từ vốn ngân sách nhà nước thì ghi tăng vốn cho bên nhận và ghi giảm vốn cho bên giao khi bên tiếp nhận tài sản là </w:t>
      </w:r>
      <w:r w:rsidR="00252DCA">
        <w:rPr>
          <w:rFonts w:ascii="Arial" w:hAnsi="Arial" w:cs="Arial"/>
          <w:sz w:val="20"/>
          <w:szCs w:val="20"/>
          <w:lang w:val="en-US"/>
        </w:rPr>
        <w:t>tổ</w:t>
      </w:r>
      <w:r w:rsidR="004F3B19" w:rsidRPr="001B17DA">
        <w:rPr>
          <w:rFonts w:ascii="Arial" w:hAnsi="Arial" w:cs="Arial"/>
          <w:sz w:val="20"/>
          <w:szCs w:val="20"/>
        </w:rPr>
        <w:t xml:space="preserve"> chức, doanh nghiệp. Trường hợp bên tiếp nhận tài sản không phải là tổ chức, doanh nghiệp thì địa phương tiếp nhận bàn giao, phải giao cho các cơ quan, đơn vị phù hợp </w:t>
      </w:r>
      <w:r w:rsidR="00252DCA">
        <w:rPr>
          <w:rFonts w:ascii="Arial" w:hAnsi="Arial" w:cs="Arial"/>
          <w:sz w:val="20"/>
          <w:szCs w:val="20"/>
          <w:lang w:val="en-US"/>
        </w:rPr>
        <w:t>để</w:t>
      </w:r>
      <w:r w:rsidR="004F3B19" w:rsidRPr="001B17DA">
        <w:rPr>
          <w:rFonts w:ascii="Arial" w:hAnsi="Arial" w:cs="Arial"/>
          <w:sz w:val="20"/>
          <w:szCs w:val="20"/>
        </w:rPr>
        <w:t xml:space="preserve"> quản lý, sử dụng tài sản theo quy định của pháp luật về quản lý tài sản công và hạch toán tăng tài sản theo chế độ kế toán;</w:t>
      </w:r>
      <w:bookmarkStart w:id="52" w:name="bookmark51"/>
      <w:bookmarkEnd w:id="52"/>
    </w:p>
    <w:p w:rsidR="00AA5933" w:rsidRDefault="00252DCA" w:rsidP="00AA593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4F3B19" w:rsidRPr="001B17DA">
        <w:rPr>
          <w:rFonts w:ascii="Arial" w:hAnsi="Arial" w:cs="Arial"/>
          <w:sz w:val="20"/>
          <w:szCs w:val="20"/>
        </w:rPr>
        <w:t>Phần chênh lệch giữa giá trị thu về và giá trị trên sổ sách, kế toán công ty nông, lâm nghiệp có trách nhiệm hạch toán tăng, giảm vốn nhà nước.</w:t>
      </w:r>
      <w:bookmarkStart w:id="53" w:name="bookmark52"/>
      <w:bookmarkEnd w:id="53"/>
    </w:p>
    <w:p w:rsidR="009F3B93" w:rsidRDefault="00AA5933" w:rsidP="009F3B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4F3B19" w:rsidRPr="001B17DA">
        <w:rPr>
          <w:rFonts w:ascii="Arial" w:hAnsi="Arial" w:cs="Arial"/>
          <w:sz w:val="20"/>
          <w:szCs w:val="20"/>
        </w:rPr>
        <w:t xml:space="preserve">Việc thu hồi, bàn giao đất và tài sản trên đất về địa phương quản lý được ưu tiên giải </w:t>
      </w:r>
      <w:r w:rsidR="009F3B93">
        <w:rPr>
          <w:rFonts w:ascii="Arial" w:hAnsi="Arial" w:cs="Arial"/>
          <w:sz w:val="20"/>
          <w:szCs w:val="20"/>
          <w:lang w:val="en-US"/>
        </w:rPr>
        <w:t>quyết</w:t>
      </w:r>
      <w:r w:rsidR="004F3B19" w:rsidRPr="001B17DA">
        <w:rPr>
          <w:rFonts w:ascii="Arial" w:hAnsi="Arial" w:cs="Arial"/>
          <w:sz w:val="20"/>
          <w:szCs w:val="20"/>
        </w:rPr>
        <w:t xml:space="preserve"> theo quy định tại Điều 15 của Nghị định này.”.</w:t>
      </w:r>
      <w:bookmarkStart w:id="54" w:name="bookmark53"/>
      <w:bookmarkEnd w:id="54"/>
    </w:p>
    <w:p w:rsidR="00EF43BA" w:rsidRPr="001B17DA" w:rsidRDefault="009F3B93" w:rsidP="009F3B9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4F3B19" w:rsidRPr="001B17DA">
        <w:rPr>
          <w:rFonts w:ascii="Arial" w:hAnsi="Arial" w:cs="Arial"/>
          <w:sz w:val="20"/>
          <w:szCs w:val="20"/>
        </w:rPr>
        <w:t>Sửa đổi, bổ sung điểm b khoản 2 Điều 21 như sau:</w:t>
      </w:r>
    </w:p>
    <w:p w:rsidR="00551C51" w:rsidRDefault="004F3B19" w:rsidP="00551C51">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“b) Nguồn kinh phí giải quyết chế độ lao động dôi dư thực hiện theo quy định tại Nghị định số 97/2022/NĐ-CP ngày 29 tháng 11 năm 2022 của Chính phủ về chính sách đối với người lao động dôi dư khi chuyển đổi sở hữu, sắp xếp lại công ty trách nhiệm hữu hạn một thành viên do nhà nước nắm giữ 100% vốn điều lệ. Trường hợp công ty nông, lâm nghiệp do nhà nước nắm giữ 100% vốn điều lệ thực hiện sắp xếp lại theo hình thức duy trì, củng cố và phát triển được cơ quan có thẩm quyền phê duyệt thì nguồn kinh phí giải quyết chính sách đối với người lao động dôi dư thực hiện theo quy định tại Nghị định số 148/2021/NĐ-CP ngày 31 tháng 12 năm 2021 của Chính phủ về quản lý sử dụng nguồn thu từ chuyển </w:t>
      </w:r>
      <w:r w:rsidR="00551C51">
        <w:rPr>
          <w:rFonts w:ascii="Arial" w:hAnsi="Arial" w:cs="Arial"/>
          <w:sz w:val="20"/>
          <w:szCs w:val="20"/>
          <w:lang w:val="en-US"/>
        </w:rPr>
        <w:t>đổi</w:t>
      </w:r>
      <w:r w:rsidRPr="001B17DA">
        <w:rPr>
          <w:rFonts w:ascii="Arial" w:hAnsi="Arial" w:cs="Arial"/>
          <w:sz w:val="20"/>
          <w:szCs w:val="20"/>
        </w:rPr>
        <w:t xml:space="preserve"> sở hữu doanh nghiệp, đơn vị sự nghiệp công lập, nguồn thu từ chuyển nhượng vốn nhà nước và chênh lệch vốn chủ sở hữu lớn hơn vốn điều lệ tại doanh nghiệp.”.</w:t>
      </w:r>
      <w:bookmarkStart w:id="55" w:name="bookmark54"/>
      <w:bookmarkEnd w:id="55"/>
    </w:p>
    <w:p w:rsidR="00EF43BA" w:rsidRPr="001B17DA" w:rsidRDefault="00551C51" w:rsidP="00551C5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4F3B19" w:rsidRPr="001B17DA">
        <w:rPr>
          <w:rFonts w:ascii="Arial" w:hAnsi="Arial" w:cs="Arial"/>
          <w:sz w:val="20"/>
          <w:szCs w:val="20"/>
        </w:rPr>
        <w:t>Bổ sung khoản 7 Điều 23 như sau:</w:t>
      </w:r>
    </w:p>
    <w:p w:rsidR="00927E6F" w:rsidRDefault="004F3B19" w:rsidP="00927E6F">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“7. Việc quy định ngân sách nhà nước hỗ trợ công ty nông, lâm nghiệp giải </w:t>
      </w:r>
      <w:r w:rsidR="00E8217F">
        <w:rPr>
          <w:rFonts w:ascii="Arial" w:hAnsi="Arial" w:cs="Arial"/>
          <w:sz w:val="20"/>
          <w:szCs w:val="20"/>
          <w:lang w:val="en-US"/>
        </w:rPr>
        <w:t>thể</w:t>
      </w:r>
      <w:r w:rsidRPr="001B17DA">
        <w:rPr>
          <w:rFonts w:ascii="Arial" w:hAnsi="Arial" w:cs="Arial"/>
          <w:sz w:val="20"/>
          <w:szCs w:val="20"/>
        </w:rPr>
        <w:t xml:space="preserve"> mất khả năng thanh toán; tiêu chí bổ sung vốn điều lệ đối với công ty nông, lâm nghiệp là công ty trách nhiệm hữu hạn một thành viên 100% vốn nhà nước, Bộ Tài chính chủ trì, phối </w:t>
      </w:r>
      <w:r w:rsidR="00927E6F">
        <w:rPr>
          <w:rFonts w:ascii="Arial" w:hAnsi="Arial" w:cs="Arial"/>
          <w:sz w:val="20"/>
          <w:szCs w:val="20"/>
          <w:lang w:val="en-US"/>
        </w:rPr>
        <w:t>hợp</w:t>
      </w:r>
      <w:r w:rsidR="00A273F8">
        <w:rPr>
          <w:rFonts w:ascii="Arial" w:hAnsi="Arial" w:cs="Arial"/>
          <w:sz w:val="20"/>
          <w:szCs w:val="20"/>
        </w:rPr>
        <w:t xml:space="preserve"> với Bộ Nông nghiệp và Phát triể</w:t>
      </w:r>
      <w:r w:rsidRPr="001B17DA">
        <w:rPr>
          <w:rFonts w:ascii="Arial" w:hAnsi="Arial" w:cs="Arial"/>
          <w:sz w:val="20"/>
          <w:szCs w:val="20"/>
        </w:rPr>
        <w:t>n nông thôn và các bộ, ngành liên quan nghiên cứu, trình cấp có thẩm quyền xem xét, quyết định.”.</w:t>
      </w:r>
      <w:bookmarkStart w:id="56" w:name="bookmark55"/>
      <w:bookmarkEnd w:id="56"/>
    </w:p>
    <w:p w:rsidR="00EF43BA" w:rsidRPr="001B17DA" w:rsidRDefault="00927E6F" w:rsidP="00927E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4F3B19" w:rsidRPr="001B17DA">
        <w:rPr>
          <w:rFonts w:ascii="Arial" w:hAnsi="Arial" w:cs="Arial"/>
          <w:sz w:val="20"/>
          <w:szCs w:val="20"/>
        </w:rPr>
        <w:t>Bổ sung khoản 3 Điều 26 như sau:</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“3. Sáp nhập, </w:t>
      </w:r>
      <w:r w:rsidR="00C63133">
        <w:rPr>
          <w:rFonts w:ascii="Arial" w:hAnsi="Arial" w:cs="Arial"/>
          <w:sz w:val="20"/>
          <w:szCs w:val="20"/>
          <w:lang w:val="en-US"/>
        </w:rPr>
        <w:t>hợp</w:t>
      </w:r>
      <w:r w:rsidRPr="001B17DA">
        <w:rPr>
          <w:rFonts w:ascii="Arial" w:hAnsi="Arial" w:cs="Arial"/>
          <w:sz w:val="20"/>
          <w:szCs w:val="20"/>
        </w:rPr>
        <w:t xml:space="preserve"> nhất công ty nông, lâm nghiệp: các công ty nông, lâm nghiệp do Nhà nước nắm giữ 100% vốn điều lệ, trên cùng địa bàn tỉnh, thành phố trực thuộc trung ương hoặc cùng chủ sở hữu được phép sáp nhập, </w:t>
      </w:r>
      <w:r w:rsidR="00D94EC9">
        <w:rPr>
          <w:rFonts w:ascii="Arial" w:hAnsi="Arial" w:cs="Arial"/>
          <w:sz w:val="20"/>
          <w:szCs w:val="20"/>
          <w:lang w:val="en-US"/>
        </w:rPr>
        <w:t>hợp</w:t>
      </w:r>
      <w:r w:rsidRPr="001B17DA">
        <w:rPr>
          <w:rFonts w:ascii="Arial" w:hAnsi="Arial" w:cs="Arial"/>
          <w:sz w:val="20"/>
          <w:szCs w:val="20"/>
        </w:rPr>
        <w:t xml:space="preserve"> nhất. Việc sáp nhập, hợp nhất công ty nông, lâm nghiệp thực hiện theo quy định tại các Điều 13, 14, 15, 16, 17, 19 và Điều 20 Nghị định số 23/2022/NĐ-CP. Các công ty nông, lâm nghiệp sau khi sáp nhập, hợp nhất phải tiếp tục sắp xếp, </w:t>
      </w:r>
      <w:r w:rsidR="005D0D87">
        <w:rPr>
          <w:rFonts w:ascii="Arial" w:hAnsi="Arial" w:cs="Arial"/>
          <w:sz w:val="20"/>
          <w:szCs w:val="20"/>
          <w:lang w:val="en-US"/>
        </w:rPr>
        <w:t>đổi</w:t>
      </w:r>
      <w:r w:rsidRPr="001B17DA">
        <w:rPr>
          <w:rFonts w:ascii="Arial" w:hAnsi="Arial" w:cs="Arial"/>
          <w:sz w:val="20"/>
          <w:szCs w:val="20"/>
        </w:rPr>
        <w:t xml:space="preserve"> mới theo quy định </w:t>
      </w:r>
      <w:r w:rsidR="00A4162B">
        <w:rPr>
          <w:rFonts w:ascii="Arial" w:hAnsi="Arial" w:cs="Arial"/>
          <w:sz w:val="20"/>
          <w:szCs w:val="20"/>
        </w:rPr>
        <w:t>của pháp luật về sắ</w:t>
      </w:r>
      <w:r w:rsidRPr="001B17DA">
        <w:rPr>
          <w:rFonts w:ascii="Arial" w:hAnsi="Arial" w:cs="Arial"/>
          <w:sz w:val="20"/>
          <w:szCs w:val="20"/>
        </w:rPr>
        <w:t>p xếp, đổi mới và phát triển, nâng cao hiệu quả hoạt động của công ty nông, lâm nghiệp.”.</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 xml:space="preserve">Điều 2. </w:t>
      </w:r>
      <w:r w:rsidRPr="001B17DA">
        <w:rPr>
          <w:rFonts w:ascii="Arial" w:hAnsi="Arial" w:cs="Arial"/>
          <w:sz w:val="20"/>
          <w:szCs w:val="20"/>
        </w:rPr>
        <w:t>Bãi bỏ khoản 2, khoản 3 Điều 2 và khoản 5 Điều 23 Nghị định số 118/2014/NĐ-CP ngày 17 tháng 12 năm 2014 của Chính phủ về sắp xếp, đổi mới và phát triển, nâng cao hiệu quả hoạt động của công ty nông, lâm nghiệp.</w:t>
      </w:r>
    </w:p>
    <w:p w:rsidR="00D94EC9" w:rsidRDefault="004F3B19" w:rsidP="00D94EC9">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Điều 3. Hiệu lực thi hành</w:t>
      </w:r>
      <w:bookmarkStart w:id="57" w:name="bookmark56"/>
      <w:bookmarkEnd w:id="57"/>
    </w:p>
    <w:p w:rsidR="00D94EC9" w:rsidRDefault="00D94EC9" w:rsidP="00D94E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4F3B19" w:rsidRPr="001B17DA">
        <w:rPr>
          <w:rFonts w:ascii="Arial" w:hAnsi="Arial" w:cs="Arial"/>
          <w:sz w:val="20"/>
          <w:szCs w:val="20"/>
        </w:rPr>
        <w:t>Nghị định này có hiệu lực từ ngày 01 tháng 3 năm 2024.</w:t>
      </w:r>
      <w:bookmarkStart w:id="58" w:name="bookmark57"/>
      <w:bookmarkEnd w:id="58"/>
    </w:p>
    <w:p w:rsidR="00EF43BA" w:rsidRPr="001B17DA" w:rsidRDefault="00D94EC9" w:rsidP="00D94E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4F3B19" w:rsidRPr="001B17DA">
        <w:rPr>
          <w:rFonts w:ascii="Arial" w:hAnsi="Arial" w:cs="Arial"/>
          <w:sz w:val="20"/>
          <w:szCs w:val="20"/>
        </w:rPr>
        <w:t>Quy định chuyển tiếp:</w:t>
      </w:r>
    </w:p>
    <w:p w:rsidR="0008133D" w:rsidRDefault="004F3B19" w:rsidP="0008133D">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 xml:space="preserve">a) Các công ty nông, lâm nghiệp đã hoàn thành sắp xếp, đổi mới vẫn là doanh nghiệp Nhà nước nắm giữ 100% vốn điều lệ nhưng hoạt động không hiệu quả và cần sắp xếp, đổi mới lại thì thực hiện theo quy định tại Nghị định số 118/2014/NĐ-CP ngày 17 tháng 12 năm 2014 của Chính phủ về sắp xếp, </w:t>
      </w:r>
      <w:r w:rsidR="00D94EC9">
        <w:rPr>
          <w:rFonts w:ascii="Arial" w:hAnsi="Arial" w:cs="Arial"/>
          <w:sz w:val="20"/>
          <w:szCs w:val="20"/>
          <w:lang w:val="en-US"/>
        </w:rPr>
        <w:t>đổi</w:t>
      </w:r>
      <w:r w:rsidRPr="001B17DA">
        <w:rPr>
          <w:rFonts w:ascii="Arial" w:hAnsi="Arial" w:cs="Arial"/>
          <w:sz w:val="20"/>
          <w:szCs w:val="20"/>
        </w:rPr>
        <w:t xml:space="preserve"> mới và phát triển, nâng cao hiệu quả hoạt động của các công ty nông, lâm nghiệp và quy định tại Nghị định này.</w:t>
      </w:r>
    </w:p>
    <w:p w:rsidR="00A46619" w:rsidRDefault="004F3B19" w:rsidP="00A46619">
      <w:pPr>
        <w:pStyle w:val="Vnbnnidung0"/>
        <w:spacing w:after="120" w:line="240" w:lineRule="auto"/>
        <w:ind w:firstLine="720"/>
        <w:jc w:val="both"/>
        <w:rPr>
          <w:rFonts w:ascii="Arial" w:hAnsi="Arial" w:cs="Arial"/>
          <w:sz w:val="20"/>
          <w:szCs w:val="20"/>
        </w:rPr>
      </w:pPr>
      <w:r w:rsidRPr="001B17DA">
        <w:rPr>
          <w:rFonts w:ascii="Arial" w:hAnsi="Arial" w:cs="Arial"/>
          <w:sz w:val="20"/>
          <w:szCs w:val="20"/>
        </w:rPr>
        <w:t>b) Đối với các công ty nôn</w:t>
      </w:r>
      <w:r w:rsidR="003E1143">
        <w:rPr>
          <w:rFonts w:ascii="Arial" w:hAnsi="Arial" w:cs="Arial"/>
          <w:sz w:val="20"/>
          <w:szCs w:val="20"/>
        </w:rPr>
        <w:t>g, lâm nghiệp chưa hoàn thành sắ</w:t>
      </w:r>
      <w:r w:rsidRPr="001B17DA">
        <w:rPr>
          <w:rFonts w:ascii="Arial" w:hAnsi="Arial" w:cs="Arial"/>
          <w:sz w:val="20"/>
          <w:szCs w:val="20"/>
        </w:rPr>
        <w:t xml:space="preserve">p xếp, đổi mới trước ngày Nghị </w:t>
      </w:r>
      <w:r w:rsidRPr="001B17DA">
        <w:rPr>
          <w:rFonts w:ascii="Arial" w:hAnsi="Arial" w:cs="Arial"/>
          <w:sz w:val="20"/>
          <w:szCs w:val="20"/>
        </w:rPr>
        <w:lastRenderedPageBreak/>
        <w:t xml:space="preserve">định này có hiệu lực mà có phương án </w:t>
      </w:r>
      <w:r w:rsidR="00A46619">
        <w:rPr>
          <w:rFonts w:ascii="Arial" w:hAnsi="Arial" w:cs="Arial"/>
          <w:sz w:val="20"/>
          <w:szCs w:val="20"/>
          <w:lang w:val="en-US"/>
        </w:rPr>
        <w:t>sắp xếp, đổi</w:t>
      </w:r>
      <w:r w:rsidRPr="001B17DA">
        <w:rPr>
          <w:rFonts w:ascii="Arial" w:hAnsi="Arial" w:cs="Arial"/>
          <w:sz w:val="20"/>
          <w:szCs w:val="20"/>
        </w:rPr>
        <w:t xml:space="preserve"> mới đã được Thủ tướng Chính phủ phê duyệt đáp ứng các quy định tại Nghị định này thì tiếp tục thực hiện theo phương án được phê duyệt.</w:t>
      </w:r>
      <w:bookmarkStart w:id="59" w:name="bookmark58"/>
      <w:bookmarkEnd w:id="59"/>
    </w:p>
    <w:p w:rsidR="00EF43BA" w:rsidRPr="001B17DA" w:rsidRDefault="00A46619" w:rsidP="00A466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F3B19" w:rsidRPr="001B17DA">
        <w:rPr>
          <w:rFonts w:ascii="Arial" w:hAnsi="Arial" w:cs="Arial"/>
          <w:sz w:val="20"/>
          <w:szCs w:val="20"/>
        </w:rPr>
        <w:t>Trường hợp văn bản quy phạm pháp luật được viện dẫn tại Nghị định này được sửa đổi, bổ sung hoặc thay thế bởi văn bản khác thì áp dụng văn bản sửa đổi, bổ sung hoặc thay thế đó.</w:t>
      </w:r>
    </w:p>
    <w:p w:rsidR="00EF43BA" w:rsidRPr="001B17DA" w:rsidRDefault="004F3B19" w:rsidP="001B17DA">
      <w:pPr>
        <w:pStyle w:val="Vnbnnidung0"/>
        <w:spacing w:after="120" w:line="240" w:lineRule="auto"/>
        <w:ind w:firstLine="720"/>
        <w:jc w:val="both"/>
        <w:rPr>
          <w:rFonts w:ascii="Arial" w:hAnsi="Arial" w:cs="Arial"/>
          <w:sz w:val="20"/>
          <w:szCs w:val="20"/>
        </w:rPr>
      </w:pPr>
      <w:r w:rsidRPr="001B17DA">
        <w:rPr>
          <w:rFonts w:ascii="Arial" w:hAnsi="Arial" w:cs="Arial"/>
          <w:b/>
          <w:bCs/>
          <w:sz w:val="20"/>
          <w:szCs w:val="20"/>
        </w:rPr>
        <w:t>Điều 4. Trách nhiệm thi hành</w:t>
      </w:r>
    </w:p>
    <w:p w:rsidR="00EF43BA" w:rsidRDefault="004F3B19" w:rsidP="00BE7C3C">
      <w:pPr>
        <w:pStyle w:val="Vnbnnidung0"/>
        <w:spacing w:after="0" w:line="240" w:lineRule="auto"/>
        <w:ind w:firstLine="720"/>
        <w:jc w:val="both"/>
        <w:rPr>
          <w:rFonts w:ascii="Arial" w:hAnsi="Arial" w:cs="Arial"/>
          <w:sz w:val="20"/>
          <w:szCs w:val="20"/>
        </w:rPr>
      </w:pPr>
      <w:r w:rsidRPr="001B17DA">
        <w:rPr>
          <w:rFonts w:ascii="Arial" w:hAnsi="Arial" w:cs="Arial"/>
          <w:sz w:val="20"/>
          <w:szCs w:val="20"/>
        </w:rPr>
        <w:t xml:space="preserve">Các Bộ trưởng, Thủ trưởng cơ quan ngang bộ, Thủ trưởng cơ quan thuộc Chính phủ, Chủ tịch </w:t>
      </w:r>
      <w:r w:rsidR="00BE7C3C">
        <w:rPr>
          <w:rFonts w:ascii="Arial" w:hAnsi="Arial" w:cs="Arial"/>
          <w:sz w:val="20"/>
          <w:szCs w:val="20"/>
          <w:lang w:val="en-US"/>
        </w:rPr>
        <w:t>Ủy</w:t>
      </w:r>
      <w:r w:rsidRPr="001B17DA">
        <w:rPr>
          <w:rFonts w:ascii="Arial" w:hAnsi="Arial" w:cs="Arial"/>
          <w:sz w:val="20"/>
          <w:szCs w:val="20"/>
        </w:rPr>
        <w:t xml:space="preserve"> ban nhân dân tỉnh, thành phố trực thuộc trung ương chịu trách nhiệm hướng dẫn và thi hành Nghị định này.</w:t>
      </w:r>
    </w:p>
    <w:p w:rsidR="00BE7C3C" w:rsidRDefault="00BE7C3C" w:rsidP="00BE7C3C">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E7C3C" w:rsidRPr="00597990" w:rsidTr="00ED3902">
        <w:tc>
          <w:tcPr>
            <w:tcW w:w="2500" w:type="pct"/>
            <w:shd w:val="clear" w:color="auto" w:fill="auto"/>
          </w:tcPr>
          <w:p w:rsidR="00ED3902" w:rsidRPr="001B17DA" w:rsidRDefault="00ED3902" w:rsidP="00ED3902">
            <w:pPr>
              <w:pStyle w:val="Vnbnnidung0"/>
              <w:tabs>
                <w:tab w:val="left" w:pos="6131"/>
              </w:tabs>
              <w:spacing w:after="0" w:line="240" w:lineRule="auto"/>
              <w:ind w:firstLine="0"/>
              <w:jc w:val="both"/>
              <w:rPr>
                <w:rFonts w:ascii="Arial" w:hAnsi="Arial" w:cs="Arial"/>
                <w:sz w:val="20"/>
                <w:szCs w:val="20"/>
              </w:rPr>
            </w:pPr>
            <w:r w:rsidRPr="001B17DA">
              <w:rPr>
                <w:rFonts w:ascii="Arial" w:hAnsi="Arial" w:cs="Arial"/>
                <w:b/>
                <w:bCs/>
                <w:i/>
                <w:iCs/>
                <w:sz w:val="20"/>
                <w:szCs w:val="20"/>
              </w:rPr>
              <w:t>Nơi nhận:</w:t>
            </w:r>
          </w:p>
          <w:p w:rsidR="00ED3902" w:rsidRPr="001B17DA" w:rsidRDefault="00ED3902" w:rsidP="00ED3902">
            <w:pPr>
              <w:pStyle w:val="Vnbnnidung20"/>
              <w:tabs>
                <w:tab w:val="left" w:pos="250"/>
              </w:tabs>
              <w:jc w:val="both"/>
              <w:rPr>
                <w:rFonts w:ascii="Arial" w:hAnsi="Arial" w:cs="Arial"/>
                <w:sz w:val="20"/>
                <w:szCs w:val="20"/>
              </w:rPr>
            </w:pPr>
            <w:bookmarkStart w:id="60" w:name="bookmark59"/>
            <w:bookmarkEnd w:id="60"/>
            <w:r>
              <w:rPr>
                <w:rFonts w:ascii="Arial" w:hAnsi="Arial" w:cs="Arial"/>
                <w:sz w:val="20"/>
                <w:szCs w:val="20"/>
                <w:lang w:val="en-US"/>
              </w:rPr>
              <w:t xml:space="preserve">- </w:t>
            </w:r>
            <w:r w:rsidRPr="001B17DA">
              <w:rPr>
                <w:rFonts w:ascii="Arial" w:hAnsi="Arial" w:cs="Arial"/>
                <w:sz w:val="20"/>
                <w:szCs w:val="20"/>
              </w:rPr>
              <w:t>Ban Bí thư Trung ương Đảng;</w:t>
            </w:r>
          </w:p>
          <w:p w:rsidR="00ED3902" w:rsidRPr="001B17DA" w:rsidRDefault="00ED3902" w:rsidP="00ED3902">
            <w:pPr>
              <w:pStyle w:val="Vnbnnidung20"/>
              <w:tabs>
                <w:tab w:val="left" w:pos="254"/>
              </w:tabs>
              <w:jc w:val="both"/>
              <w:rPr>
                <w:rFonts w:ascii="Arial" w:hAnsi="Arial" w:cs="Arial"/>
                <w:sz w:val="20"/>
                <w:szCs w:val="20"/>
              </w:rPr>
            </w:pPr>
            <w:bookmarkStart w:id="61" w:name="bookmark60"/>
            <w:bookmarkEnd w:id="61"/>
            <w:r>
              <w:rPr>
                <w:rFonts w:ascii="Arial" w:hAnsi="Arial" w:cs="Arial"/>
                <w:sz w:val="20"/>
                <w:szCs w:val="20"/>
                <w:lang w:val="en-US"/>
              </w:rPr>
              <w:t xml:space="preserve">- </w:t>
            </w:r>
            <w:r w:rsidRPr="001B17DA">
              <w:rPr>
                <w:rFonts w:ascii="Arial" w:hAnsi="Arial" w:cs="Arial"/>
                <w:sz w:val="20"/>
                <w:szCs w:val="20"/>
              </w:rPr>
              <w:t>Thủ tướng, các Phó Thủ tướng Chính phủ;</w:t>
            </w:r>
          </w:p>
          <w:p w:rsidR="00ED3902" w:rsidRPr="003456F9" w:rsidRDefault="00ED3902" w:rsidP="00ED3902">
            <w:pPr>
              <w:pStyle w:val="Vnbnnidung20"/>
              <w:tabs>
                <w:tab w:val="left" w:pos="258"/>
              </w:tabs>
              <w:jc w:val="both"/>
              <w:rPr>
                <w:rFonts w:ascii="Arial" w:hAnsi="Arial" w:cs="Arial"/>
                <w:sz w:val="20"/>
                <w:szCs w:val="20"/>
                <w:lang w:val="en-US"/>
              </w:rPr>
            </w:pPr>
            <w:bookmarkStart w:id="62" w:name="bookmark61"/>
            <w:bookmarkEnd w:id="62"/>
            <w:r>
              <w:rPr>
                <w:rFonts w:ascii="Arial" w:hAnsi="Arial" w:cs="Arial"/>
                <w:sz w:val="20"/>
                <w:szCs w:val="20"/>
                <w:lang w:val="en-US"/>
              </w:rPr>
              <w:t xml:space="preserve">- </w:t>
            </w:r>
            <w:r w:rsidRPr="001B17DA">
              <w:rPr>
                <w:rFonts w:ascii="Arial" w:hAnsi="Arial" w:cs="Arial"/>
                <w:sz w:val="20"/>
                <w:szCs w:val="20"/>
              </w:rPr>
              <w:t xml:space="preserve">Các bộ, </w:t>
            </w:r>
            <w:r>
              <w:rPr>
                <w:rFonts w:ascii="Arial" w:hAnsi="Arial" w:cs="Arial"/>
                <w:sz w:val="20"/>
                <w:szCs w:val="20"/>
                <w:lang w:val="en-US"/>
              </w:rPr>
              <w:t>cơ</w:t>
            </w:r>
            <w:r w:rsidRPr="001B17DA">
              <w:rPr>
                <w:rFonts w:ascii="Arial" w:hAnsi="Arial" w:cs="Arial"/>
                <w:sz w:val="20"/>
                <w:szCs w:val="20"/>
              </w:rPr>
              <w:t xml:space="preserve"> quan ngang bộ, cơ quan thuộc Chính phủ</w:t>
            </w:r>
            <w:r>
              <w:rPr>
                <w:rFonts w:ascii="Arial" w:hAnsi="Arial" w:cs="Arial"/>
                <w:sz w:val="20"/>
                <w:szCs w:val="20"/>
                <w:lang w:val="en-US"/>
              </w:rPr>
              <w:t>;</w:t>
            </w:r>
          </w:p>
          <w:p w:rsidR="00ED3902" w:rsidRPr="003456F9" w:rsidRDefault="00ED3902" w:rsidP="00ED3902">
            <w:pPr>
              <w:pStyle w:val="Vnbnnidung20"/>
              <w:tabs>
                <w:tab w:val="left" w:pos="258"/>
              </w:tabs>
              <w:jc w:val="both"/>
              <w:rPr>
                <w:rFonts w:ascii="Arial" w:hAnsi="Arial" w:cs="Arial"/>
                <w:sz w:val="20"/>
                <w:szCs w:val="20"/>
                <w:lang w:val="en-US"/>
              </w:rPr>
            </w:pPr>
            <w:bookmarkStart w:id="63" w:name="bookmark62"/>
            <w:bookmarkEnd w:id="63"/>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U</w:t>
            </w:r>
            <w:r w:rsidRPr="001B17DA">
              <w:rPr>
                <w:rFonts w:ascii="Arial" w:hAnsi="Arial" w:cs="Arial"/>
                <w:sz w:val="20"/>
                <w:szCs w:val="20"/>
              </w:rPr>
              <w:t>BND các tỉnh, thành phố trực thuộc trung</w:t>
            </w:r>
            <w:r>
              <w:rPr>
                <w:rFonts w:ascii="Arial" w:hAnsi="Arial" w:cs="Arial"/>
                <w:sz w:val="20"/>
                <w:szCs w:val="20"/>
                <w:lang w:val="en-US"/>
              </w:rPr>
              <w:t xml:space="preserve"> ương;</w:t>
            </w:r>
          </w:p>
          <w:p w:rsidR="00ED3902" w:rsidRPr="001B17DA" w:rsidRDefault="00ED3902" w:rsidP="00ED3902">
            <w:pPr>
              <w:pStyle w:val="Vnbnnidung20"/>
              <w:tabs>
                <w:tab w:val="left" w:pos="258"/>
              </w:tabs>
              <w:jc w:val="both"/>
              <w:rPr>
                <w:rFonts w:ascii="Arial" w:hAnsi="Arial" w:cs="Arial"/>
                <w:sz w:val="20"/>
                <w:szCs w:val="20"/>
              </w:rPr>
            </w:pPr>
            <w:bookmarkStart w:id="64" w:name="bookmark63"/>
            <w:bookmarkEnd w:id="64"/>
            <w:r>
              <w:rPr>
                <w:rFonts w:ascii="Arial" w:hAnsi="Arial" w:cs="Arial"/>
                <w:sz w:val="20"/>
                <w:szCs w:val="20"/>
                <w:lang w:val="en-US"/>
              </w:rPr>
              <w:t xml:space="preserve">- </w:t>
            </w:r>
            <w:r w:rsidRPr="001B17DA">
              <w:rPr>
                <w:rFonts w:ascii="Arial" w:hAnsi="Arial" w:cs="Arial"/>
                <w:sz w:val="20"/>
                <w:szCs w:val="20"/>
              </w:rPr>
              <w:t>Văn phòng Trung ương và các Ban của Đảng;</w:t>
            </w:r>
          </w:p>
          <w:p w:rsidR="00ED3902" w:rsidRPr="001B17DA" w:rsidRDefault="00ED3902" w:rsidP="00ED3902">
            <w:pPr>
              <w:pStyle w:val="Vnbnnidung20"/>
              <w:tabs>
                <w:tab w:val="left" w:pos="258"/>
              </w:tabs>
              <w:jc w:val="both"/>
              <w:rPr>
                <w:rFonts w:ascii="Arial" w:hAnsi="Arial" w:cs="Arial"/>
                <w:sz w:val="20"/>
                <w:szCs w:val="20"/>
              </w:rPr>
            </w:pPr>
            <w:bookmarkStart w:id="65" w:name="bookmark64"/>
            <w:bookmarkEnd w:id="65"/>
            <w:r>
              <w:rPr>
                <w:rFonts w:ascii="Arial" w:hAnsi="Arial" w:cs="Arial"/>
                <w:sz w:val="20"/>
                <w:szCs w:val="20"/>
                <w:lang w:val="en-US"/>
              </w:rPr>
              <w:t xml:space="preserve">- </w:t>
            </w:r>
            <w:r w:rsidRPr="001B17DA">
              <w:rPr>
                <w:rFonts w:ascii="Arial" w:hAnsi="Arial" w:cs="Arial"/>
                <w:sz w:val="20"/>
                <w:szCs w:val="20"/>
              </w:rPr>
              <w:t>Văn phòng Tổng Bí thư;</w:t>
            </w:r>
          </w:p>
          <w:p w:rsidR="00ED3902" w:rsidRPr="001B17DA" w:rsidRDefault="00ED3902" w:rsidP="00ED3902">
            <w:pPr>
              <w:pStyle w:val="Vnbnnidung20"/>
              <w:jc w:val="both"/>
              <w:rPr>
                <w:rFonts w:ascii="Arial" w:hAnsi="Arial" w:cs="Arial"/>
                <w:sz w:val="20"/>
                <w:szCs w:val="20"/>
              </w:rPr>
            </w:pPr>
            <w:r>
              <w:rPr>
                <w:rFonts w:ascii="Arial" w:hAnsi="Arial" w:cs="Arial"/>
                <w:sz w:val="20"/>
                <w:szCs w:val="20"/>
                <w:lang w:val="en-US"/>
              </w:rPr>
              <w:t xml:space="preserve">- </w:t>
            </w:r>
            <w:r w:rsidRPr="001B17DA">
              <w:rPr>
                <w:rFonts w:ascii="Arial" w:hAnsi="Arial" w:cs="Arial"/>
                <w:sz w:val="20"/>
                <w:szCs w:val="20"/>
              </w:rPr>
              <w:t>Văn phòng Chủ tịch nước;</w:t>
            </w:r>
          </w:p>
          <w:p w:rsidR="00ED3902" w:rsidRPr="001B17DA" w:rsidRDefault="00ED3902" w:rsidP="00ED3902">
            <w:pPr>
              <w:pStyle w:val="Vnbnnidung20"/>
              <w:tabs>
                <w:tab w:val="left" w:pos="258"/>
              </w:tabs>
              <w:jc w:val="both"/>
              <w:rPr>
                <w:rFonts w:ascii="Arial" w:hAnsi="Arial" w:cs="Arial"/>
                <w:sz w:val="20"/>
                <w:szCs w:val="20"/>
              </w:rPr>
            </w:pPr>
            <w:bookmarkStart w:id="66" w:name="bookmark65"/>
            <w:bookmarkEnd w:id="66"/>
            <w:r>
              <w:rPr>
                <w:rFonts w:ascii="Arial" w:hAnsi="Arial" w:cs="Arial"/>
                <w:sz w:val="20"/>
                <w:szCs w:val="20"/>
                <w:lang w:val="en-US"/>
              </w:rPr>
              <w:t xml:space="preserve">- </w:t>
            </w:r>
            <w:r w:rsidRPr="001B17DA">
              <w:rPr>
                <w:rFonts w:ascii="Arial" w:hAnsi="Arial" w:cs="Arial"/>
                <w:sz w:val="20"/>
                <w:szCs w:val="20"/>
              </w:rPr>
              <w:t xml:space="preserve">Hội đồng Dân tộc và các </w:t>
            </w:r>
            <w:r>
              <w:rPr>
                <w:rFonts w:ascii="Arial" w:hAnsi="Arial" w:cs="Arial"/>
                <w:sz w:val="20"/>
                <w:szCs w:val="20"/>
                <w:lang w:val="en-US"/>
              </w:rPr>
              <w:t>Ủy</w:t>
            </w:r>
            <w:r w:rsidRPr="001B17DA">
              <w:rPr>
                <w:rFonts w:ascii="Arial" w:hAnsi="Arial" w:cs="Arial"/>
                <w:sz w:val="20"/>
                <w:szCs w:val="20"/>
              </w:rPr>
              <w:t xml:space="preserve"> ban của Quốc hội;</w:t>
            </w:r>
          </w:p>
          <w:p w:rsidR="00ED3902" w:rsidRPr="001B17DA" w:rsidRDefault="00ED3902" w:rsidP="00ED3902">
            <w:pPr>
              <w:pStyle w:val="Vnbnnidung20"/>
              <w:tabs>
                <w:tab w:val="left" w:pos="258"/>
              </w:tabs>
              <w:jc w:val="both"/>
              <w:rPr>
                <w:rFonts w:ascii="Arial" w:hAnsi="Arial" w:cs="Arial"/>
                <w:sz w:val="20"/>
                <w:szCs w:val="20"/>
              </w:rPr>
            </w:pPr>
            <w:bookmarkStart w:id="67" w:name="bookmark66"/>
            <w:bookmarkEnd w:id="67"/>
            <w:r>
              <w:rPr>
                <w:rFonts w:ascii="Arial" w:hAnsi="Arial" w:cs="Arial"/>
                <w:sz w:val="20"/>
                <w:szCs w:val="20"/>
                <w:lang w:val="en-US"/>
              </w:rPr>
              <w:t xml:space="preserve">- </w:t>
            </w:r>
            <w:r>
              <w:rPr>
                <w:rFonts w:ascii="Arial" w:hAnsi="Arial" w:cs="Arial"/>
                <w:sz w:val="20"/>
                <w:szCs w:val="20"/>
              </w:rPr>
              <w:t>Vă</w:t>
            </w:r>
            <w:r w:rsidRPr="001B17DA">
              <w:rPr>
                <w:rFonts w:ascii="Arial" w:hAnsi="Arial" w:cs="Arial"/>
                <w:sz w:val="20"/>
                <w:szCs w:val="20"/>
              </w:rPr>
              <w:t>n phòng Quốc hội;</w:t>
            </w:r>
          </w:p>
          <w:p w:rsidR="00ED3902" w:rsidRPr="001B17DA" w:rsidRDefault="00ED3902" w:rsidP="00ED3902">
            <w:pPr>
              <w:pStyle w:val="Vnbnnidung20"/>
              <w:tabs>
                <w:tab w:val="left" w:pos="258"/>
              </w:tabs>
              <w:jc w:val="both"/>
              <w:rPr>
                <w:rFonts w:ascii="Arial" w:hAnsi="Arial" w:cs="Arial"/>
                <w:sz w:val="20"/>
                <w:szCs w:val="20"/>
              </w:rPr>
            </w:pPr>
            <w:bookmarkStart w:id="68" w:name="bookmark67"/>
            <w:bookmarkEnd w:id="68"/>
            <w:r>
              <w:rPr>
                <w:rFonts w:ascii="Arial" w:hAnsi="Arial" w:cs="Arial"/>
                <w:sz w:val="20"/>
                <w:szCs w:val="20"/>
                <w:lang w:val="en-US"/>
              </w:rPr>
              <w:t xml:space="preserve">- </w:t>
            </w:r>
            <w:r w:rsidRPr="001B17DA">
              <w:rPr>
                <w:rFonts w:ascii="Arial" w:hAnsi="Arial" w:cs="Arial"/>
                <w:sz w:val="20"/>
                <w:szCs w:val="20"/>
              </w:rPr>
              <w:t>Tòa án nhân dân tối cao;</w:t>
            </w:r>
          </w:p>
          <w:p w:rsidR="00ED3902" w:rsidRPr="001B17DA" w:rsidRDefault="00ED3902" w:rsidP="00ED3902">
            <w:pPr>
              <w:pStyle w:val="Vnbnnidung20"/>
              <w:tabs>
                <w:tab w:val="left" w:pos="258"/>
              </w:tabs>
              <w:jc w:val="both"/>
              <w:rPr>
                <w:rFonts w:ascii="Arial" w:hAnsi="Arial" w:cs="Arial"/>
                <w:sz w:val="20"/>
                <w:szCs w:val="20"/>
              </w:rPr>
            </w:pPr>
            <w:bookmarkStart w:id="69" w:name="bookmark68"/>
            <w:bookmarkEnd w:id="69"/>
            <w:r>
              <w:rPr>
                <w:rFonts w:ascii="Arial" w:hAnsi="Arial" w:cs="Arial"/>
                <w:sz w:val="20"/>
                <w:szCs w:val="20"/>
                <w:lang w:val="en-US"/>
              </w:rPr>
              <w:t xml:space="preserve">- </w:t>
            </w:r>
            <w:r w:rsidRPr="001B17DA">
              <w:rPr>
                <w:rFonts w:ascii="Arial" w:hAnsi="Arial" w:cs="Arial"/>
                <w:sz w:val="20"/>
                <w:szCs w:val="20"/>
              </w:rPr>
              <w:t>Viện kiểm sát nhân dân tối cao;</w:t>
            </w:r>
          </w:p>
          <w:p w:rsidR="00ED3902" w:rsidRPr="001B17DA" w:rsidRDefault="00ED3902" w:rsidP="00ED3902">
            <w:pPr>
              <w:pStyle w:val="Vnbnnidung20"/>
              <w:tabs>
                <w:tab w:val="left" w:pos="258"/>
              </w:tabs>
              <w:jc w:val="both"/>
              <w:rPr>
                <w:rFonts w:ascii="Arial" w:hAnsi="Arial" w:cs="Arial"/>
                <w:sz w:val="20"/>
                <w:szCs w:val="20"/>
              </w:rPr>
            </w:pPr>
            <w:bookmarkStart w:id="70" w:name="bookmark69"/>
            <w:bookmarkEnd w:id="70"/>
            <w:r>
              <w:rPr>
                <w:rFonts w:ascii="Arial" w:hAnsi="Arial" w:cs="Arial"/>
                <w:sz w:val="20"/>
                <w:szCs w:val="20"/>
                <w:lang w:val="en-US"/>
              </w:rPr>
              <w:t xml:space="preserve">- </w:t>
            </w:r>
            <w:r w:rsidRPr="001B17DA">
              <w:rPr>
                <w:rFonts w:ascii="Arial" w:hAnsi="Arial" w:cs="Arial"/>
                <w:sz w:val="20"/>
                <w:szCs w:val="20"/>
              </w:rPr>
              <w:t>Kiểm toán nhà nước;</w:t>
            </w:r>
          </w:p>
          <w:p w:rsidR="00ED3902" w:rsidRPr="001B17DA" w:rsidRDefault="00ED3902" w:rsidP="00ED3902">
            <w:pPr>
              <w:pStyle w:val="Vnbnnidung20"/>
              <w:tabs>
                <w:tab w:val="left" w:pos="258"/>
              </w:tabs>
              <w:jc w:val="both"/>
              <w:rPr>
                <w:rFonts w:ascii="Arial" w:hAnsi="Arial" w:cs="Arial"/>
                <w:sz w:val="20"/>
                <w:szCs w:val="20"/>
              </w:rPr>
            </w:pPr>
            <w:bookmarkStart w:id="71" w:name="bookmark70"/>
            <w:bookmarkEnd w:id="71"/>
            <w:r>
              <w:rPr>
                <w:rFonts w:ascii="Arial" w:hAnsi="Arial" w:cs="Arial"/>
                <w:sz w:val="20"/>
                <w:szCs w:val="20"/>
                <w:lang w:val="en-US"/>
              </w:rPr>
              <w:t>- Ủy</w:t>
            </w:r>
            <w:r w:rsidRPr="001B17DA">
              <w:rPr>
                <w:rFonts w:ascii="Arial" w:hAnsi="Arial" w:cs="Arial"/>
                <w:sz w:val="20"/>
                <w:szCs w:val="20"/>
              </w:rPr>
              <w:t xml:space="preserve"> ban Giám sát tài chính Quốc gia;</w:t>
            </w:r>
          </w:p>
          <w:p w:rsidR="00ED3902" w:rsidRPr="001B17DA" w:rsidRDefault="00ED3902" w:rsidP="00ED3902">
            <w:pPr>
              <w:pStyle w:val="Vnbnnidung20"/>
              <w:tabs>
                <w:tab w:val="left" w:pos="258"/>
              </w:tabs>
              <w:jc w:val="both"/>
              <w:rPr>
                <w:rFonts w:ascii="Arial" w:hAnsi="Arial" w:cs="Arial"/>
                <w:sz w:val="20"/>
                <w:szCs w:val="20"/>
              </w:rPr>
            </w:pPr>
            <w:bookmarkStart w:id="72" w:name="bookmark71"/>
            <w:bookmarkEnd w:id="72"/>
            <w:r>
              <w:rPr>
                <w:rFonts w:ascii="Arial" w:hAnsi="Arial" w:cs="Arial"/>
                <w:sz w:val="20"/>
                <w:szCs w:val="20"/>
                <w:lang w:val="en-US"/>
              </w:rPr>
              <w:t xml:space="preserve">- </w:t>
            </w:r>
            <w:r w:rsidRPr="001B17DA">
              <w:rPr>
                <w:rFonts w:ascii="Arial" w:hAnsi="Arial" w:cs="Arial"/>
                <w:sz w:val="20"/>
                <w:szCs w:val="20"/>
              </w:rPr>
              <w:t>Ngân hàng Chính sách xã hội;</w:t>
            </w:r>
          </w:p>
          <w:p w:rsidR="00ED3902" w:rsidRPr="001B17DA" w:rsidRDefault="00ED3902" w:rsidP="00ED3902">
            <w:pPr>
              <w:pStyle w:val="Vnbnnidung20"/>
              <w:tabs>
                <w:tab w:val="left" w:pos="258"/>
              </w:tabs>
              <w:jc w:val="both"/>
              <w:rPr>
                <w:rFonts w:ascii="Arial" w:hAnsi="Arial" w:cs="Arial"/>
                <w:sz w:val="20"/>
                <w:szCs w:val="20"/>
              </w:rPr>
            </w:pPr>
            <w:bookmarkStart w:id="73" w:name="bookmark72"/>
            <w:bookmarkEnd w:id="73"/>
            <w:r>
              <w:rPr>
                <w:rFonts w:ascii="Arial" w:hAnsi="Arial" w:cs="Arial"/>
                <w:sz w:val="20"/>
                <w:szCs w:val="20"/>
                <w:lang w:val="en-US"/>
              </w:rPr>
              <w:t xml:space="preserve">- </w:t>
            </w:r>
            <w:r w:rsidRPr="001B17DA">
              <w:rPr>
                <w:rFonts w:ascii="Arial" w:hAnsi="Arial" w:cs="Arial"/>
                <w:sz w:val="20"/>
                <w:szCs w:val="20"/>
              </w:rPr>
              <w:t>Ngân hàng Phát triển Việt Nam;</w:t>
            </w:r>
          </w:p>
          <w:p w:rsidR="00ED3902" w:rsidRPr="001B17DA" w:rsidRDefault="00ED3902" w:rsidP="00ED3902">
            <w:pPr>
              <w:pStyle w:val="Vnbnnidung20"/>
              <w:tabs>
                <w:tab w:val="left" w:pos="258"/>
              </w:tabs>
              <w:jc w:val="both"/>
              <w:rPr>
                <w:rFonts w:ascii="Arial" w:hAnsi="Arial" w:cs="Arial"/>
                <w:sz w:val="20"/>
                <w:szCs w:val="20"/>
              </w:rPr>
            </w:pPr>
            <w:bookmarkStart w:id="74" w:name="bookmark73"/>
            <w:bookmarkEnd w:id="74"/>
            <w:r>
              <w:rPr>
                <w:rFonts w:ascii="Arial" w:hAnsi="Arial" w:cs="Arial"/>
                <w:sz w:val="20"/>
                <w:szCs w:val="20"/>
                <w:lang w:val="en-US"/>
              </w:rPr>
              <w:t>- Ủy</w:t>
            </w:r>
            <w:r w:rsidRPr="001B17DA">
              <w:rPr>
                <w:rFonts w:ascii="Arial" w:hAnsi="Arial" w:cs="Arial"/>
                <w:sz w:val="20"/>
                <w:szCs w:val="20"/>
              </w:rPr>
              <w:t xml:space="preserve"> ban trung ương Mặt trận Tổ quốc Việt Nam;</w:t>
            </w:r>
          </w:p>
          <w:p w:rsidR="00ED3902" w:rsidRPr="001B17DA" w:rsidRDefault="00ED3902" w:rsidP="00ED3902">
            <w:pPr>
              <w:pStyle w:val="Vnbnnidung20"/>
              <w:tabs>
                <w:tab w:val="left" w:pos="258"/>
              </w:tabs>
              <w:jc w:val="both"/>
              <w:rPr>
                <w:rFonts w:ascii="Arial" w:hAnsi="Arial" w:cs="Arial"/>
                <w:sz w:val="20"/>
                <w:szCs w:val="20"/>
              </w:rPr>
            </w:pPr>
            <w:bookmarkStart w:id="75" w:name="bookmark74"/>
            <w:bookmarkEnd w:id="75"/>
            <w:r>
              <w:rPr>
                <w:rFonts w:ascii="Arial" w:hAnsi="Arial" w:cs="Arial"/>
                <w:sz w:val="20"/>
                <w:szCs w:val="20"/>
                <w:lang w:val="en-US"/>
              </w:rPr>
              <w:t xml:space="preserve">- </w:t>
            </w:r>
            <w:r w:rsidRPr="001B17DA">
              <w:rPr>
                <w:rFonts w:ascii="Arial" w:hAnsi="Arial" w:cs="Arial"/>
                <w:sz w:val="20"/>
                <w:szCs w:val="20"/>
              </w:rPr>
              <w:t>Cơ quan trung ương của các đoàn thể;</w:t>
            </w:r>
          </w:p>
          <w:p w:rsidR="00ED3902" w:rsidRPr="001B17DA" w:rsidRDefault="00ED3902" w:rsidP="00ED3902">
            <w:pPr>
              <w:pStyle w:val="Vnbnnidung20"/>
              <w:tabs>
                <w:tab w:val="left" w:pos="258"/>
              </w:tabs>
              <w:jc w:val="both"/>
              <w:rPr>
                <w:rFonts w:ascii="Arial" w:hAnsi="Arial" w:cs="Arial"/>
                <w:sz w:val="20"/>
                <w:szCs w:val="20"/>
              </w:rPr>
            </w:pPr>
            <w:bookmarkStart w:id="76" w:name="bookmark75"/>
            <w:bookmarkEnd w:id="76"/>
            <w:r>
              <w:rPr>
                <w:rFonts w:ascii="Arial" w:hAnsi="Arial" w:cs="Arial"/>
                <w:sz w:val="20"/>
                <w:szCs w:val="20"/>
                <w:lang w:val="en-US"/>
              </w:rPr>
              <w:t xml:space="preserve">- </w:t>
            </w:r>
            <w:r w:rsidRPr="001B17DA">
              <w:rPr>
                <w:rFonts w:ascii="Arial" w:hAnsi="Arial" w:cs="Arial"/>
                <w:sz w:val="20"/>
                <w:szCs w:val="20"/>
              </w:rPr>
              <w:t>VPCP: BTCN, các PCN, Trợ lý TTg, TGĐ cổng TTĐT,</w:t>
            </w:r>
            <w:r>
              <w:rPr>
                <w:rFonts w:ascii="Arial" w:hAnsi="Arial" w:cs="Arial"/>
                <w:sz w:val="20"/>
                <w:szCs w:val="20"/>
                <w:lang w:val="en-US"/>
              </w:rPr>
              <w:t xml:space="preserve"> </w:t>
            </w:r>
            <w:r w:rsidRPr="001B17DA">
              <w:rPr>
                <w:rFonts w:ascii="Arial" w:hAnsi="Arial" w:cs="Arial"/>
                <w:sz w:val="20"/>
                <w:szCs w:val="20"/>
              </w:rPr>
              <w:t xml:space="preserve">các Vụ, Cục, </w:t>
            </w:r>
            <w:r>
              <w:rPr>
                <w:rFonts w:ascii="Arial" w:hAnsi="Arial" w:cs="Arial"/>
                <w:sz w:val="20"/>
                <w:szCs w:val="20"/>
                <w:lang w:val="en-US"/>
              </w:rPr>
              <w:t>đơn</w:t>
            </w:r>
            <w:r w:rsidRPr="001B17DA">
              <w:rPr>
                <w:rFonts w:ascii="Arial" w:hAnsi="Arial" w:cs="Arial"/>
                <w:sz w:val="20"/>
                <w:szCs w:val="20"/>
              </w:rPr>
              <w:t xml:space="preserve"> vị trực thuộc, Công báo;</w:t>
            </w:r>
          </w:p>
          <w:p w:rsidR="00BE7C3C" w:rsidRPr="00597990" w:rsidRDefault="00ED3902" w:rsidP="00ED3902">
            <w:pPr>
              <w:pStyle w:val="Vnbnnidung20"/>
              <w:tabs>
                <w:tab w:val="left" w:pos="258"/>
              </w:tabs>
              <w:jc w:val="both"/>
              <w:rPr>
                <w:rFonts w:ascii="Arial" w:hAnsi="Arial" w:cs="Arial"/>
                <w:sz w:val="20"/>
                <w:szCs w:val="20"/>
              </w:rPr>
            </w:pPr>
            <w:bookmarkStart w:id="77" w:name="bookmark76"/>
            <w:bookmarkEnd w:id="77"/>
            <w:r>
              <w:rPr>
                <w:rFonts w:ascii="Arial" w:hAnsi="Arial" w:cs="Arial"/>
                <w:sz w:val="20"/>
                <w:szCs w:val="20"/>
                <w:lang w:val="en-US"/>
              </w:rPr>
              <w:t xml:space="preserve">- </w:t>
            </w:r>
            <w:r w:rsidRPr="001B17DA">
              <w:rPr>
                <w:rFonts w:ascii="Arial" w:hAnsi="Arial" w:cs="Arial"/>
                <w:sz w:val="20"/>
                <w:szCs w:val="20"/>
              </w:rPr>
              <w:t xml:space="preserve">Lưu: VT, ĐMDN </w:t>
            </w:r>
            <w:r>
              <w:rPr>
                <w:rFonts w:ascii="Arial" w:hAnsi="Arial" w:cs="Arial"/>
                <w:sz w:val="20"/>
                <w:szCs w:val="20"/>
              </w:rPr>
              <w:t>(2b).</w:t>
            </w:r>
          </w:p>
        </w:tc>
        <w:tc>
          <w:tcPr>
            <w:tcW w:w="2500" w:type="pct"/>
            <w:shd w:val="clear" w:color="auto" w:fill="auto"/>
          </w:tcPr>
          <w:p w:rsidR="00BE7C3C" w:rsidRDefault="00ED3902" w:rsidP="00ED390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ED3902" w:rsidRDefault="00ED3902" w:rsidP="00ED390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ED3902" w:rsidRDefault="00ED3902" w:rsidP="00ED390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ED3902" w:rsidRDefault="00ED3902" w:rsidP="00ED3902">
            <w:pPr>
              <w:pStyle w:val="Vnbnnidung0"/>
              <w:spacing w:after="0" w:line="240" w:lineRule="auto"/>
              <w:ind w:firstLine="0"/>
              <w:jc w:val="center"/>
              <w:rPr>
                <w:rFonts w:ascii="Arial" w:hAnsi="Arial" w:cs="Arial"/>
                <w:b/>
                <w:sz w:val="20"/>
                <w:szCs w:val="20"/>
                <w:lang w:val="en-US"/>
              </w:rPr>
            </w:pPr>
          </w:p>
          <w:p w:rsidR="00ED3902" w:rsidRDefault="00ED3902" w:rsidP="00ED3902">
            <w:pPr>
              <w:pStyle w:val="Vnbnnidung0"/>
              <w:spacing w:after="0" w:line="240" w:lineRule="auto"/>
              <w:ind w:firstLine="0"/>
              <w:jc w:val="center"/>
              <w:rPr>
                <w:rFonts w:ascii="Arial" w:hAnsi="Arial" w:cs="Arial"/>
                <w:b/>
                <w:sz w:val="20"/>
                <w:szCs w:val="20"/>
                <w:lang w:val="en-US"/>
              </w:rPr>
            </w:pPr>
          </w:p>
          <w:p w:rsidR="00ED3902" w:rsidRDefault="00ED3902" w:rsidP="00ED3902">
            <w:pPr>
              <w:pStyle w:val="Vnbnnidung0"/>
              <w:spacing w:after="0" w:line="240" w:lineRule="auto"/>
              <w:ind w:firstLine="0"/>
              <w:jc w:val="center"/>
              <w:rPr>
                <w:rFonts w:ascii="Arial" w:hAnsi="Arial" w:cs="Arial"/>
                <w:b/>
                <w:sz w:val="20"/>
                <w:szCs w:val="20"/>
                <w:lang w:val="en-US"/>
              </w:rPr>
            </w:pPr>
          </w:p>
          <w:p w:rsidR="00ED3902" w:rsidRDefault="00ED3902" w:rsidP="00ED3902">
            <w:pPr>
              <w:pStyle w:val="Vnbnnidung0"/>
              <w:spacing w:after="0" w:line="240" w:lineRule="auto"/>
              <w:ind w:firstLine="0"/>
              <w:jc w:val="center"/>
              <w:rPr>
                <w:rFonts w:ascii="Arial" w:hAnsi="Arial" w:cs="Arial"/>
                <w:b/>
                <w:sz w:val="20"/>
                <w:szCs w:val="20"/>
                <w:lang w:val="en-US"/>
              </w:rPr>
            </w:pPr>
          </w:p>
          <w:p w:rsidR="00ED3902" w:rsidRDefault="00ED3902" w:rsidP="00ED3902">
            <w:pPr>
              <w:pStyle w:val="Vnbnnidung0"/>
              <w:spacing w:after="0" w:line="240" w:lineRule="auto"/>
              <w:ind w:firstLine="0"/>
              <w:jc w:val="center"/>
              <w:rPr>
                <w:rFonts w:ascii="Arial" w:hAnsi="Arial" w:cs="Arial"/>
                <w:b/>
                <w:sz w:val="20"/>
                <w:szCs w:val="20"/>
                <w:lang w:val="en-US"/>
              </w:rPr>
            </w:pPr>
          </w:p>
          <w:p w:rsidR="00ED3902" w:rsidRPr="00ED3902" w:rsidRDefault="00ED3902" w:rsidP="00ED390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Minh Khái</w:t>
            </w:r>
          </w:p>
          <w:p w:rsidR="00BE7C3C" w:rsidRPr="00597990" w:rsidRDefault="00BE7C3C" w:rsidP="00ED3902">
            <w:pPr>
              <w:pStyle w:val="Vnbnnidung0"/>
              <w:spacing w:after="0" w:line="240" w:lineRule="auto"/>
              <w:ind w:firstLine="0"/>
              <w:jc w:val="center"/>
              <w:rPr>
                <w:rFonts w:ascii="Arial" w:hAnsi="Arial" w:cs="Arial"/>
                <w:sz w:val="20"/>
                <w:szCs w:val="20"/>
              </w:rPr>
            </w:pPr>
          </w:p>
        </w:tc>
      </w:tr>
    </w:tbl>
    <w:p w:rsidR="00BE7C3C" w:rsidRPr="001B17DA" w:rsidRDefault="00BE7C3C" w:rsidP="001B17DA">
      <w:pPr>
        <w:pStyle w:val="Vnbnnidung0"/>
        <w:spacing w:after="120" w:line="240" w:lineRule="auto"/>
        <w:ind w:firstLine="720"/>
        <w:jc w:val="both"/>
        <w:rPr>
          <w:rFonts w:ascii="Arial" w:hAnsi="Arial" w:cs="Arial"/>
          <w:sz w:val="20"/>
          <w:szCs w:val="20"/>
        </w:rPr>
      </w:pPr>
    </w:p>
    <w:p w:rsidR="00ED3902" w:rsidRPr="001B17DA" w:rsidRDefault="00ED3902" w:rsidP="009539C8">
      <w:pPr>
        <w:pStyle w:val="Vnbnnidung20"/>
        <w:tabs>
          <w:tab w:val="left" w:pos="261"/>
        </w:tabs>
        <w:spacing w:after="120"/>
        <w:jc w:val="both"/>
        <w:rPr>
          <w:rFonts w:ascii="Arial" w:hAnsi="Arial" w:cs="Arial"/>
          <w:sz w:val="20"/>
          <w:szCs w:val="20"/>
        </w:rPr>
      </w:pPr>
    </w:p>
    <w:sectPr w:rsidR="00ED3902" w:rsidRPr="001B17DA" w:rsidSect="00A96C0D">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97" w:rsidRDefault="00A96497">
      <w:r>
        <w:separator/>
      </w:r>
    </w:p>
  </w:endnote>
  <w:endnote w:type="continuationSeparator" w:id="0">
    <w:p w:rsidR="00A96497" w:rsidRDefault="00A9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97" w:rsidRDefault="00A96497"/>
  </w:footnote>
  <w:footnote w:type="continuationSeparator" w:id="0">
    <w:p w:rsidR="00A96497" w:rsidRDefault="00A964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BA" w:rsidRDefault="00EF43B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53DF"/>
    <w:multiLevelType w:val="multilevel"/>
    <w:tmpl w:val="B7AAA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61655"/>
    <w:multiLevelType w:val="multilevel"/>
    <w:tmpl w:val="CF4AE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E25C2"/>
    <w:multiLevelType w:val="multilevel"/>
    <w:tmpl w:val="5BDC6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E2C07"/>
    <w:multiLevelType w:val="multilevel"/>
    <w:tmpl w:val="A8EA8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74624"/>
    <w:multiLevelType w:val="multilevel"/>
    <w:tmpl w:val="407AD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32209"/>
    <w:multiLevelType w:val="multilevel"/>
    <w:tmpl w:val="D1843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0630B"/>
    <w:multiLevelType w:val="multilevel"/>
    <w:tmpl w:val="CAD6F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81810"/>
    <w:multiLevelType w:val="multilevel"/>
    <w:tmpl w:val="A65ECC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448AB"/>
    <w:multiLevelType w:val="multilevel"/>
    <w:tmpl w:val="02E69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86055"/>
    <w:multiLevelType w:val="multilevel"/>
    <w:tmpl w:val="ABB61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870908"/>
    <w:multiLevelType w:val="multilevel"/>
    <w:tmpl w:val="43F43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F10FB3"/>
    <w:multiLevelType w:val="multilevel"/>
    <w:tmpl w:val="F5F6AA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ED74AD"/>
    <w:multiLevelType w:val="multilevel"/>
    <w:tmpl w:val="BF661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2"/>
  </w:num>
  <w:num w:numId="4">
    <w:abstractNumId w:val="5"/>
  </w:num>
  <w:num w:numId="5">
    <w:abstractNumId w:val="11"/>
  </w:num>
  <w:num w:numId="6">
    <w:abstractNumId w:val="6"/>
  </w:num>
  <w:num w:numId="7">
    <w:abstractNumId w:val="10"/>
  </w:num>
  <w:num w:numId="8">
    <w:abstractNumId w:val="4"/>
  </w:num>
  <w:num w:numId="9">
    <w:abstractNumId w:val="2"/>
  </w:num>
  <w:num w:numId="10">
    <w:abstractNumId w:val="1"/>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BA"/>
    <w:rsid w:val="00062F0E"/>
    <w:rsid w:val="0008133D"/>
    <w:rsid w:val="001504D0"/>
    <w:rsid w:val="001B17DA"/>
    <w:rsid w:val="00252DCA"/>
    <w:rsid w:val="00254007"/>
    <w:rsid w:val="0025660C"/>
    <w:rsid w:val="00266298"/>
    <w:rsid w:val="002C3A64"/>
    <w:rsid w:val="00321983"/>
    <w:rsid w:val="00332441"/>
    <w:rsid w:val="003456F9"/>
    <w:rsid w:val="00390967"/>
    <w:rsid w:val="003C5D12"/>
    <w:rsid w:val="003E1143"/>
    <w:rsid w:val="003F7E3A"/>
    <w:rsid w:val="00421992"/>
    <w:rsid w:val="004A0B2F"/>
    <w:rsid w:val="004E7D4B"/>
    <w:rsid w:val="004F0E27"/>
    <w:rsid w:val="004F3B19"/>
    <w:rsid w:val="00551C51"/>
    <w:rsid w:val="005C3625"/>
    <w:rsid w:val="005D0D87"/>
    <w:rsid w:val="005D611F"/>
    <w:rsid w:val="00634542"/>
    <w:rsid w:val="006D7925"/>
    <w:rsid w:val="00707B1C"/>
    <w:rsid w:val="00724761"/>
    <w:rsid w:val="007532F0"/>
    <w:rsid w:val="00766FE4"/>
    <w:rsid w:val="00785662"/>
    <w:rsid w:val="007A3350"/>
    <w:rsid w:val="007E4A6F"/>
    <w:rsid w:val="00824A76"/>
    <w:rsid w:val="00865A56"/>
    <w:rsid w:val="00904D1F"/>
    <w:rsid w:val="00927E6F"/>
    <w:rsid w:val="0093591B"/>
    <w:rsid w:val="009539C8"/>
    <w:rsid w:val="00974227"/>
    <w:rsid w:val="00991E05"/>
    <w:rsid w:val="009A15D8"/>
    <w:rsid w:val="009B4D2F"/>
    <w:rsid w:val="009C257E"/>
    <w:rsid w:val="009C6B72"/>
    <w:rsid w:val="009F3B93"/>
    <w:rsid w:val="00A273F8"/>
    <w:rsid w:val="00A4162B"/>
    <w:rsid w:val="00A46619"/>
    <w:rsid w:val="00A64D96"/>
    <w:rsid w:val="00A66264"/>
    <w:rsid w:val="00A92803"/>
    <w:rsid w:val="00A96497"/>
    <w:rsid w:val="00A96C0D"/>
    <w:rsid w:val="00AA5933"/>
    <w:rsid w:val="00B52FC6"/>
    <w:rsid w:val="00B57501"/>
    <w:rsid w:val="00BA6B9A"/>
    <w:rsid w:val="00BE7C3C"/>
    <w:rsid w:val="00BF07A9"/>
    <w:rsid w:val="00C21319"/>
    <w:rsid w:val="00C63133"/>
    <w:rsid w:val="00C95860"/>
    <w:rsid w:val="00CA0B03"/>
    <w:rsid w:val="00CE5909"/>
    <w:rsid w:val="00CF59AC"/>
    <w:rsid w:val="00D8247F"/>
    <w:rsid w:val="00D94EC9"/>
    <w:rsid w:val="00D96E35"/>
    <w:rsid w:val="00DB03F0"/>
    <w:rsid w:val="00DD384B"/>
    <w:rsid w:val="00E11C86"/>
    <w:rsid w:val="00E135DB"/>
    <w:rsid w:val="00E8217F"/>
    <w:rsid w:val="00E96981"/>
    <w:rsid w:val="00ED3902"/>
    <w:rsid w:val="00ED562C"/>
    <w:rsid w:val="00EF43BA"/>
    <w:rsid w:val="00F47DBB"/>
    <w:rsid w:val="00F60AF1"/>
    <w:rsid w:val="00F87800"/>
    <w:rsid w:val="00FC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82310-1EFE-4517-8939-604549E5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30">
    <w:name w:val="Văn bản nội dung (3)"/>
    <w:basedOn w:val="Normal"/>
    <w:link w:val="Vnbnnidung3"/>
    <w:pPr>
      <w:spacing w:after="860"/>
      <w:ind w:hanging="160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16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1B17DA"/>
    <w:pPr>
      <w:tabs>
        <w:tab w:val="center" w:pos="4680"/>
        <w:tab w:val="right" w:pos="9360"/>
      </w:tabs>
    </w:pPr>
  </w:style>
  <w:style w:type="character" w:customStyle="1" w:styleId="HeaderChar">
    <w:name w:val="Header Char"/>
    <w:basedOn w:val="DefaultParagraphFont"/>
    <w:link w:val="Header"/>
    <w:uiPriority w:val="99"/>
    <w:rsid w:val="001B17DA"/>
    <w:rPr>
      <w:color w:val="000000"/>
    </w:rPr>
  </w:style>
  <w:style w:type="paragraph" w:styleId="Footer">
    <w:name w:val="footer"/>
    <w:basedOn w:val="Normal"/>
    <w:link w:val="FooterChar"/>
    <w:uiPriority w:val="99"/>
    <w:unhideWhenUsed/>
    <w:rsid w:val="001B17DA"/>
    <w:pPr>
      <w:tabs>
        <w:tab w:val="center" w:pos="4680"/>
        <w:tab w:val="right" w:pos="9360"/>
      </w:tabs>
    </w:pPr>
  </w:style>
  <w:style w:type="character" w:customStyle="1" w:styleId="FooterChar">
    <w:name w:val="Footer Char"/>
    <w:basedOn w:val="DefaultParagraphFont"/>
    <w:link w:val="Footer"/>
    <w:uiPriority w:val="99"/>
    <w:rsid w:val="001B17D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XUÂN HUY</cp:lastModifiedBy>
  <cp:revision>4</cp:revision>
  <dcterms:created xsi:type="dcterms:W3CDTF">2024-01-13T03:37:00Z</dcterms:created>
  <dcterms:modified xsi:type="dcterms:W3CDTF">2024-01-15T02:04:00Z</dcterms:modified>
</cp:coreProperties>
</file>