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426"/>
        <w:gridCol w:w="5603"/>
      </w:tblGrid>
      <w:tr w:rsidR="007268A2" w:rsidRPr="007268A2" w:rsidTr="007268A2">
        <w:trPr>
          <w:tblCellSpacing w:w="0" w:type="dxa"/>
        </w:trPr>
        <w:tc>
          <w:tcPr>
            <w:tcW w:w="3426" w:type="dxa"/>
            <w:shd w:val="clear" w:color="auto" w:fill="FFFFFF"/>
            <w:tcMar>
              <w:top w:w="0" w:type="dxa"/>
              <w:left w:w="108" w:type="dxa"/>
              <w:bottom w:w="0" w:type="dxa"/>
              <w:right w:w="108" w:type="dxa"/>
            </w:tcMar>
            <w:hideMark/>
          </w:tcPr>
          <w:p w:rsidR="004E0837" w:rsidRDefault="004E0837" w:rsidP="007268A2">
            <w:pPr>
              <w:jc w:val="center"/>
              <w:rPr>
                <w:rFonts w:eastAsia="Times New Roman" w:cs="Arial"/>
                <w:b/>
                <w:bCs/>
                <w:szCs w:val="20"/>
                <w:lang w:val="en-US"/>
              </w:rPr>
            </w:pPr>
            <w:r w:rsidRPr="004E0837">
              <w:rPr>
                <w:rFonts w:eastAsia="Times New Roman" w:cs="Arial"/>
                <w:b/>
                <w:bCs/>
                <w:szCs w:val="20"/>
                <w:lang w:val="en-US"/>
              </w:rPr>
              <w:t>BỘ TÀI CHÍNH</w:t>
            </w:r>
            <w:r w:rsidRPr="004E0837">
              <w:rPr>
                <w:rFonts w:eastAsia="Times New Roman" w:cs="Arial"/>
                <w:b/>
                <w:bCs/>
                <w:szCs w:val="20"/>
                <w:lang w:val="en-US"/>
              </w:rPr>
              <w:br/>
            </w:r>
            <w:r w:rsidR="007268A2">
              <w:rPr>
                <w:rFonts w:eastAsia="Times New Roman" w:cs="Arial"/>
                <w:bCs/>
                <w:szCs w:val="20"/>
                <w:vertAlign w:val="superscript"/>
                <w:lang w:val="en-US"/>
              </w:rPr>
              <w:t>________</w:t>
            </w:r>
          </w:p>
          <w:p w:rsidR="007268A2" w:rsidRPr="004E0837" w:rsidRDefault="007268A2" w:rsidP="007268A2">
            <w:pPr>
              <w:jc w:val="center"/>
              <w:rPr>
                <w:rFonts w:eastAsia="Times New Roman" w:cs="Arial"/>
                <w:szCs w:val="20"/>
                <w:lang w:val="en-US"/>
              </w:rPr>
            </w:pPr>
            <w:r w:rsidRPr="004E0837">
              <w:rPr>
                <w:rFonts w:eastAsia="Times New Roman" w:cs="Arial"/>
                <w:szCs w:val="20"/>
                <w:lang w:val="en-US"/>
              </w:rPr>
              <w:t>Số: 2108/QĐ-BTC</w:t>
            </w:r>
          </w:p>
        </w:tc>
        <w:tc>
          <w:tcPr>
            <w:tcW w:w="5603" w:type="dxa"/>
            <w:shd w:val="clear" w:color="auto" w:fill="FFFFFF"/>
            <w:tcMar>
              <w:top w:w="0" w:type="dxa"/>
              <w:left w:w="108" w:type="dxa"/>
              <w:bottom w:w="0" w:type="dxa"/>
              <w:right w:w="108" w:type="dxa"/>
            </w:tcMar>
            <w:hideMark/>
          </w:tcPr>
          <w:p w:rsidR="004E0837" w:rsidRDefault="004E0837" w:rsidP="007268A2">
            <w:pPr>
              <w:jc w:val="center"/>
              <w:rPr>
                <w:rFonts w:eastAsia="Times New Roman" w:cs="Arial"/>
                <w:b/>
                <w:bCs/>
                <w:szCs w:val="20"/>
                <w:lang w:val="en-US"/>
              </w:rPr>
            </w:pPr>
            <w:r w:rsidRPr="004E0837">
              <w:rPr>
                <w:rFonts w:eastAsia="Times New Roman" w:cs="Arial"/>
                <w:b/>
                <w:bCs/>
                <w:szCs w:val="20"/>
                <w:lang w:val="en-US"/>
              </w:rPr>
              <w:t>CỘNG HÒA XÃ HỘI CHỦ NGHĨA VIỆT NAM</w:t>
            </w:r>
            <w:r w:rsidRPr="004E0837">
              <w:rPr>
                <w:rFonts w:eastAsia="Times New Roman" w:cs="Arial"/>
                <w:b/>
                <w:bCs/>
                <w:szCs w:val="20"/>
                <w:lang w:val="en-US"/>
              </w:rPr>
              <w:br/>
              <w:t>Độc lập - Tự do - Hạnh phúc</w:t>
            </w:r>
            <w:r w:rsidRPr="004E0837">
              <w:rPr>
                <w:rFonts w:eastAsia="Times New Roman" w:cs="Arial"/>
                <w:b/>
                <w:bCs/>
                <w:szCs w:val="20"/>
                <w:lang w:val="en-US"/>
              </w:rPr>
              <w:br/>
            </w:r>
            <w:r w:rsidR="007268A2">
              <w:rPr>
                <w:rFonts w:eastAsia="Times New Roman" w:cs="Arial"/>
                <w:bCs/>
                <w:szCs w:val="20"/>
                <w:vertAlign w:val="superscript"/>
                <w:lang w:val="en-US"/>
              </w:rPr>
              <w:t>________</w:t>
            </w:r>
            <w:r w:rsidR="007268A2">
              <w:rPr>
                <w:rFonts w:eastAsia="Times New Roman" w:cs="Arial"/>
                <w:bCs/>
                <w:szCs w:val="20"/>
                <w:vertAlign w:val="superscript"/>
                <w:lang w:val="en-US"/>
              </w:rPr>
              <w:t>____________</w:t>
            </w:r>
          </w:p>
          <w:p w:rsidR="007268A2" w:rsidRPr="004E0837" w:rsidRDefault="007268A2" w:rsidP="007268A2">
            <w:pPr>
              <w:jc w:val="center"/>
              <w:rPr>
                <w:rFonts w:eastAsia="Times New Roman" w:cs="Arial"/>
                <w:szCs w:val="20"/>
                <w:lang w:val="en-US"/>
              </w:rPr>
            </w:pPr>
            <w:r w:rsidRPr="004E0837">
              <w:rPr>
                <w:rFonts w:eastAsia="Times New Roman" w:cs="Arial"/>
                <w:i/>
                <w:iCs/>
                <w:szCs w:val="20"/>
                <w:lang w:val="en-US"/>
              </w:rPr>
              <w:t>Hà Nội, ngày 09 tháng 09 năm 2024</w:t>
            </w:r>
          </w:p>
        </w:tc>
      </w:tr>
    </w:tbl>
    <w:p w:rsidR="007268A2" w:rsidRDefault="007268A2" w:rsidP="007268A2">
      <w:pPr>
        <w:shd w:val="clear" w:color="auto" w:fill="FFFFFF"/>
        <w:jc w:val="center"/>
        <w:rPr>
          <w:rFonts w:eastAsia="Times New Roman" w:cs="Arial"/>
          <w:b/>
          <w:bCs/>
          <w:szCs w:val="20"/>
          <w:lang w:val="en-US"/>
        </w:rPr>
      </w:pPr>
    </w:p>
    <w:p w:rsidR="007268A2" w:rsidRDefault="007268A2" w:rsidP="007268A2">
      <w:pPr>
        <w:shd w:val="clear" w:color="auto" w:fill="FFFFFF"/>
        <w:jc w:val="center"/>
        <w:rPr>
          <w:rFonts w:eastAsia="Times New Roman" w:cs="Arial"/>
          <w:b/>
          <w:bCs/>
          <w:szCs w:val="20"/>
          <w:lang w:val="en-US"/>
        </w:rPr>
      </w:pPr>
    </w:p>
    <w:p w:rsidR="004E0837" w:rsidRPr="004E0837" w:rsidRDefault="004E0837" w:rsidP="007268A2">
      <w:pPr>
        <w:shd w:val="clear" w:color="auto" w:fill="FFFFFF"/>
        <w:jc w:val="center"/>
        <w:rPr>
          <w:rFonts w:eastAsia="Times New Roman" w:cs="Arial"/>
          <w:szCs w:val="20"/>
          <w:lang w:val="en-US"/>
        </w:rPr>
      </w:pPr>
      <w:r w:rsidRPr="004E0837">
        <w:rPr>
          <w:rFonts w:eastAsia="Times New Roman" w:cs="Arial"/>
          <w:b/>
          <w:bCs/>
          <w:szCs w:val="20"/>
          <w:lang w:val="en-US"/>
        </w:rPr>
        <w:t>QUYẾT ĐỊNH</w:t>
      </w:r>
    </w:p>
    <w:p w:rsidR="007268A2" w:rsidRDefault="007268A2" w:rsidP="007268A2">
      <w:pPr>
        <w:shd w:val="clear" w:color="auto" w:fill="FFFFFF"/>
        <w:jc w:val="center"/>
        <w:rPr>
          <w:rFonts w:eastAsia="Times New Roman" w:cs="Arial"/>
          <w:b/>
          <w:szCs w:val="20"/>
          <w:lang w:val="en-US"/>
        </w:rPr>
      </w:pPr>
      <w:r w:rsidRPr="004E0837">
        <w:rPr>
          <w:rFonts w:eastAsia="Times New Roman" w:cs="Arial"/>
          <w:b/>
          <w:szCs w:val="20"/>
          <w:lang w:val="en-US"/>
        </w:rPr>
        <w:t>Sửa đổ</w:t>
      </w:r>
      <w:r>
        <w:rPr>
          <w:rFonts w:eastAsia="Times New Roman" w:cs="Arial"/>
          <w:b/>
          <w:szCs w:val="20"/>
          <w:lang w:val="en-US"/>
        </w:rPr>
        <w:t>i, bổ sung Q</w:t>
      </w:r>
      <w:r w:rsidRPr="004E0837">
        <w:rPr>
          <w:rFonts w:eastAsia="Times New Roman" w:cs="Arial"/>
          <w:b/>
          <w:szCs w:val="20"/>
          <w:lang w:val="en-US"/>
        </w:rPr>
        <w:t>uyết định số </w:t>
      </w:r>
      <w:r w:rsidRPr="007268A2">
        <w:rPr>
          <w:rFonts w:eastAsia="Times New Roman" w:cs="Arial"/>
          <w:b/>
          <w:szCs w:val="20"/>
          <w:lang w:val="en-US"/>
        </w:rPr>
        <w:t>2368/QĐ-BTC</w:t>
      </w:r>
      <w:r w:rsidRPr="004E0837">
        <w:rPr>
          <w:rFonts w:eastAsia="Times New Roman" w:cs="Arial"/>
          <w:b/>
          <w:szCs w:val="20"/>
          <w:lang w:val="en-US"/>
        </w:rPr>
        <w:t xml:space="preserve"> ngày 01/11/2023 của </w:t>
      </w:r>
      <w:r>
        <w:rPr>
          <w:rFonts w:eastAsia="Times New Roman" w:cs="Arial"/>
          <w:b/>
          <w:szCs w:val="20"/>
          <w:lang w:val="en-US"/>
        </w:rPr>
        <w:t>B</w:t>
      </w:r>
      <w:r w:rsidRPr="004E0837">
        <w:rPr>
          <w:rFonts w:eastAsia="Times New Roman" w:cs="Arial"/>
          <w:b/>
          <w:szCs w:val="20"/>
          <w:lang w:val="en-US"/>
        </w:rPr>
        <w:t>ộ</w:t>
      </w:r>
    </w:p>
    <w:p w:rsidR="007268A2" w:rsidRDefault="007268A2" w:rsidP="007268A2">
      <w:pPr>
        <w:shd w:val="clear" w:color="auto" w:fill="FFFFFF"/>
        <w:jc w:val="center"/>
        <w:rPr>
          <w:rFonts w:eastAsia="Times New Roman" w:cs="Arial"/>
          <w:b/>
          <w:szCs w:val="20"/>
          <w:lang w:val="en-US"/>
        </w:rPr>
      </w:pPr>
      <w:r w:rsidRPr="004E0837">
        <w:rPr>
          <w:rFonts w:eastAsia="Times New Roman" w:cs="Arial"/>
          <w:b/>
          <w:szCs w:val="20"/>
          <w:lang w:val="en-US"/>
        </w:rPr>
        <w:t xml:space="preserve"> trưởng </w:t>
      </w:r>
      <w:r>
        <w:rPr>
          <w:rFonts w:eastAsia="Times New Roman" w:cs="Arial"/>
          <w:b/>
          <w:szCs w:val="20"/>
          <w:lang w:val="en-US"/>
        </w:rPr>
        <w:t>Bộ T</w:t>
      </w:r>
      <w:r w:rsidRPr="004E0837">
        <w:rPr>
          <w:rFonts w:eastAsia="Times New Roman" w:cs="Arial"/>
          <w:b/>
          <w:szCs w:val="20"/>
          <w:lang w:val="en-US"/>
        </w:rPr>
        <w:t>ài chính quy định chức năng, nhiệm vụ, quyền hạn và cơ cấu tổ</w:t>
      </w:r>
    </w:p>
    <w:p w:rsidR="004E0837" w:rsidRDefault="007268A2" w:rsidP="007268A2">
      <w:pPr>
        <w:shd w:val="clear" w:color="auto" w:fill="FFFFFF"/>
        <w:jc w:val="center"/>
        <w:rPr>
          <w:rFonts w:eastAsia="Times New Roman" w:cs="Arial"/>
          <w:b/>
          <w:szCs w:val="20"/>
          <w:lang w:val="en-US"/>
        </w:rPr>
      </w:pPr>
      <w:r>
        <w:rPr>
          <w:rFonts w:eastAsia="Times New Roman" w:cs="Arial"/>
          <w:b/>
          <w:szCs w:val="20"/>
          <w:lang w:val="en-US"/>
        </w:rPr>
        <w:t xml:space="preserve"> chức của Cục Quản lý, giám sát C</w:t>
      </w:r>
      <w:r w:rsidRPr="004E0837">
        <w:rPr>
          <w:rFonts w:eastAsia="Times New Roman" w:cs="Arial"/>
          <w:b/>
          <w:szCs w:val="20"/>
          <w:lang w:val="en-US"/>
        </w:rPr>
        <w:t>hính sách thuế, phí và lệ phí</w:t>
      </w:r>
    </w:p>
    <w:p w:rsidR="007268A2" w:rsidRPr="004E0837" w:rsidRDefault="007268A2" w:rsidP="007268A2">
      <w:pPr>
        <w:shd w:val="clear" w:color="auto" w:fill="FFFFFF"/>
        <w:jc w:val="center"/>
        <w:rPr>
          <w:rFonts w:eastAsia="Times New Roman" w:cs="Arial"/>
          <w:b/>
          <w:szCs w:val="20"/>
          <w:lang w:val="en-US"/>
        </w:rPr>
      </w:pPr>
      <w:r>
        <w:rPr>
          <w:rFonts w:eastAsia="Times New Roman" w:cs="Arial"/>
          <w:bCs/>
          <w:szCs w:val="20"/>
          <w:vertAlign w:val="superscript"/>
          <w:lang w:val="en-US"/>
        </w:rPr>
        <w:t>________</w:t>
      </w:r>
      <w:r>
        <w:rPr>
          <w:rFonts w:eastAsia="Times New Roman" w:cs="Arial"/>
          <w:bCs/>
          <w:szCs w:val="20"/>
          <w:vertAlign w:val="superscript"/>
          <w:lang w:val="en-US"/>
        </w:rPr>
        <w:t>__</w:t>
      </w:r>
    </w:p>
    <w:p w:rsidR="004E0837" w:rsidRDefault="004E0837" w:rsidP="007268A2">
      <w:pPr>
        <w:shd w:val="clear" w:color="auto" w:fill="FFFFFF"/>
        <w:jc w:val="center"/>
        <w:rPr>
          <w:rFonts w:eastAsia="Times New Roman" w:cs="Arial"/>
          <w:b/>
          <w:bCs/>
          <w:szCs w:val="20"/>
          <w:lang w:val="en-US"/>
        </w:rPr>
      </w:pPr>
      <w:r w:rsidRPr="004E0837">
        <w:rPr>
          <w:rFonts w:eastAsia="Times New Roman" w:cs="Arial"/>
          <w:b/>
          <w:bCs/>
          <w:szCs w:val="20"/>
          <w:lang w:val="en-US"/>
        </w:rPr>
        <w:t>BỘ TRƯỞNG BỘ TÀI CHÍNH</w:t>
      </w:r>
    </w:p>
    <w:p w:rsidR="007268A2" w:rsidRPr="004E0837" w:rsidRDefault="007268A2" w:rsidP="007268A2">
      <w:pPr>
        <w:shd w:val="clear" w:color="auto" w:fill="FFFFFF"/>
        <w:jc w:val="center"/>
        <w:rPr>
          <w:rFonts w:eastAsia="Times New Roman" w:cs="Arial"/>
          <w:szCs w:val="20"/>
          <w:lang w:val="en-US"/>
        </w:rPr>
      </w:pPr>
    </w:p>
    <w:p w:rsidR="004E0837" w:rsidRPr="004E0837" w:rsidRDefault="004E0837" w:rsidP="007268A2">
      <w:pPr>
        <w:shd w:val="clear" w:color="auto" w:fill="FFFFFF"/>
        <w:spacing w:after="120"/>
        <w:ind w:firstLine="720"/>
        <w:jc w:val="both"/>
        <w:rPr>
          <w:rFonts w:eastAsia="Times New Roman" w:cs="Arial"/>
          <w:szCs w:val="20"/>
          <w:lang w:val="en-US"/>
        </w:rPr>
      </w:pPr>
      <w:r w:rsidRPr="004E0837">
        <w:rPr>
          <w:rFonts w:eastAsia="Times New Roman" w:cs="Arial"/>
          <w:i/>
          <w:iCs/>
          <w:szCs w:val="20"/>
          <w:lang w:val="en-US"/>
        </w:rPr>
        <w:t>Căn cứ Nghị định số </w:t>
      </w:r>
      <w:r w:rsidRPr="007268A2">
        <w:rPr>
          <w:rFonts w:eastAsia="Times New Roman" w:cs="Arial"/>
          <w:i/>
          <w:iCs/>
          <w:szCs w:val="20"/>
          <w:lang w:val="en-US"/>
        </w:rPr>
        <w:t>123/2016/NĐ-CP</w:t>
      </w:r>
      <w:r w:rsidRPr="004E0837">
        <w:rPr>
          <w:rFonts w:eastAsia="Times New Roman" w:cs="Arial"/>
          <w:i/>
          <w:iCs/>
          <w:szCs w:val="20"/>
          <w:lang w:val="en-US"/>
        </w:rPr>
        <w:t> ngày 01 tháng 9 năm 2016 của Chính phủ quy định chức năng, nhiệm vụ, quyền hạn và cơ cấu Tổ chức của Bộ, cơ quan ngang Bộ; Nghị định số </w:t>
      </w:r>
      <w:r w:rsidRPr="007268A2">
        <w:rPr>
          <w:rFonts w:eastAsia="Times New Roman" w:cs="Arial"/>
          <w:i/>
          <w:iCs/>
          <w:szCs w:val="20"/>
          <w:lang w:val="en-US"/>
        </w:rPr>
        <w:t>101/2020/NĐ-CP</w:t>
      </w:r>
      <w:r w:rsidRPr="004E0837">
        <w:rPr>
          <w:rFonts w:eastAsia="Times New Roman" w:cs="Arial"/>
          <w:i/>
          <w:iCs/>
          <w:szCs w:val="20"/>
          <w:lang w:val="en-US"/>
        </w:rPr>
        <w:t> ngày 28 tháng 8 năm 2020 của Chính phủ sửa đổi, bổ sung một số điều của Nghị định số </w:t>
      </w:r>
      <w:r w:rsidRPr="007268A2">
        <w:rPr>
          <w:rFonts w:eastAsia="Times New Roman" w:cs="Arial"/>
          <w:i/>
          <w:iCs/>
          <w:szCs w:val="20"/>
          <w:lang w:val="en-US"/>
        </w:rPr>
        <w:t>123/2016/NĐ-CP</w:t>
      </w:r>
      <w:r w:rsidRPr="004E0837">
        <w:rPr>
          <w:rFonts w:eastAsia="Times New Roman" w:cs="Arial"/>
          <w:i/>
          <w:iCs/>
          <w:szCs w:val="20"/>
          <w:lang w:val="en-US"/>
        </w:rPr>
        <w:t> ;</w:t>
      </w:r>
    </w:p>
    <w:p w:rsidR="004E0837" w:rsidRPr="004E0837" w:rsidRDefault="004E0837" w:rsidP="007268A2">
      <w:pPr>
        <w:shd w:val="clear" w:color="auto" w:fill="FFFFFF"/>
        <w:spacing w:after="120"/>
        <w:ind w:firstLine="720"/>
        <w:jc w:val="both"/>
        <w:rPr>
          <w:rFonts w:eastAsia="Times New Roman" w:cs="Arial"/>
          <w:szCs w:val="20"/>
          <w:lang w:val="en-US"/>
        </w:rPr>
      </w:pPr>
      <w:r w:rsidRPr="004E0837">
        <w:rPr>
          <w:rFonts w:eastAsia="Times New Roman" w:cs="Arial"/>
          <w:i/>
          <w:iCs/>
          <w:szCs w:val="20"/>
          <w:lang w:val="en-US"/>
        </w:rPr>
        <w:t>Nghị định số </w:t>
      </w:r>
      <w:r w:rsidRPr="007268A2">
        <w:rPr>
          <w:rFonts w:eastAsia="Times New Roman" w:cs="Arial"/>
          <w:i/>
          <w:iCs/>
          <w:szCs w:val="20"/>
          <w:lang w:val="en-US"/>
        </w:rPr>
        <w:t>03/2024/NĐ-CP</w:t>
      </w:r>
      <w:r w:rsidRPr="004E0837">
        <w:rPr>
          <w:rFonts w:eastAsia="Times New Roman" w:cs="Arial"/>
          <w:i/>
          <w:iCs/>
          <w:szCs w:val="20"/>
          <w:lang w:val="en-US"/>
        </w:rPr>
        <w:t> ngày 11/01/2024 của Chính phủ quy định về cơ quan thực hiện chức năng thanh tra chuyên ngành và hoạt động của cơ quan được giao thực hiện chức năng thanh tra chuyên ngành;</w:t>
      </w:r>
      <w:bookmarkStart w:id="0" w:name="_GoBack"/>
      <w:bookmarkEnd w:id="0"/>
    </w:p>
    <w:p w:rsidR="004E0837" w:rsidRPr="004E0837" w:rsidRDefault="004E0837" w:rsidP="007268A2">
      <w:pPr>
        <w:shd w:val="clear" w:color="auto" w:fill="FFFFFF"/>
        <w:spacing w:after="120"/>
        <w:ind w:firstLine="720"/>
        <w:jc w:val="both"/>
        <w:rPr>
          <w:rFonts w:eastAsia="Times New Roman" w:cs="Arial"/>
          <w:szCs w:val="20"/>
          <w:lang w:val="en-US"/>
        </w:rPr>
      </w:pPr>
      <w:r w:rsidRPr="004E0837">
        <w:rPr>
          <w:rFonts w:eastAsia="Times New Roman" w:cs="Arial"/>
          <w:i/>
          <w:iCs/>
          <w:szCs w:val="20"/>
          <w:lang w:val="en-US"/>
        </w:rPr>
        <w:t>Căn cứ Nghị định số </w:t>
      </w:r>
      <w:r w:rsidRPr="007268A2">
        <w:rPr>
          <w:rFonts w:eastAsia="Times New Roman" w:cs="Arial"/>
          <w:i/>
          <w:iCs/>
          <w:szCs w:val="20"/>
          <w:lang w:val="en-US"/>
        </w:rPr>
        <w:t>14/2023/NĐ-CP</w:t>
      </w:r>
      <w:r w:rsidRPr="004E0837">
        <w:rPr>
          <w:rFonts w:eastAsia="Times New Roman" w:cs="Arial"/>
          <w:i/>
          <w:iCs/>
          <w:szCs w:val="20"/>
          <w:lang w:val="en-US"/>
        </w:rPr>
        <w:t> ngày 20 tháng 4 năm 2023 của Chính phủ quy định chức năng, nhiệm vụ, quyền hạn và cơ cấu tổ chức của Bộ Tài chính;</w:t>
      </w:r>
    </w:p>
    <w:p w:rsidR="004E0837" w:rsidRPr="004E0837" w:rsidRDefault="004E0837" w:rsidP="007268A2">
      <w:pPr>
        <w:shd w:val="clear" w:color="auto" w:fill="FFFFFF"/>
        <w:ind w:firstLine="720"/>
        <w:jc w:val="both"/>
        <w:rPr>
          <w:rFonts w:eastAsia="Times New Roman" w:cs="Arial"/>
          <w:szCs w:val="20"/>
          <w:lang w:val="en-US"/>
        </w:rPr>
      </w:pPr>
      <w:r w:rsidRPr="004E0837">
        <w:rPr>
          <w:rFonts w:eastAsia="Times New Roman" w:cs="Arial"/>
          <w:i/>
          <w:iCs/>
          <w:szCs w:val="20"/>
          <w:lang w:val="en-US"/>
        </w:rPr>
        <w:t>Theo đề nghị của Cục trưởng Cục Quản lý, giám sát chính sách thuế, phí và lệ phí, Vụ trưởng Vụ Tổ chức cán bộ.</w:t>
      </w:r>
    </w:p>
    <w:p w:rsidR="007268A2" w:rsidRDefault="007268A2" w:rsidP="007268A2">
      <w:pPr>
        <w:shd w:val="clear" w:color="auto" w:fill="FFFFFF"/>
        <w:jc w:val="center"/>
        <w:rPr>
          <w:rFonts w:eastAsia="Times New Roman" w:cs="Arial"/>
          <w:b/>
          <w:bCs/>
          <w:szCs w:val="20"/>
          <w:lang w:val="en-US"/>
        </w:rPr>
      </w:pPr>
    </w:p>
    <w:p w:rsidR="004E0837" w:rsidRDefault="004E0837" w:rsidP="007268A2">
      <w:pPr>
        <w:shd w:val="clear" w:color="auto" w:fill="FFFFFF"/>
        <w:jc w:val="center"/>
        <w:rPr>
          <w:rFonts w:eastAsia="Times New Roman" w:cs="Arial"/>
          <w:b/>
          <w:bCs/>
          <w:szCs w:val="20"/>
          <w:lang w:val="en-US"/>
        </w:rPr>
      </w:pPr>
      <w:r w:rsidRPr="004E0837">
        <w:rPr>
          <w:rFonts w:eastAsia="Times New Roman" w:cs="Arial"/>
          <w:b/>
          <w:bCs/>
          <w:szCs w:val="20"/>
          <w:lang w:val="en-US"/>
        </w:rPr>
        <w:t>QUYẾT ĐỊNH:</w:t>
      </w:r>
    </w:p>
    <w:p w:rsidR="007268A2" w:rsidRPr="004E0837" w:rsidRDefault="007268A2" w:rsidP="007268A2">
      <w:pPr>
        <w:shd w:val="clear" w:color="auto" w:fill="FFFFFF"/>
        <w:ind w:firstLine="720"/>
        <w:jc w:val="both"/>
        <w:rPr>
          <w:rFonts w:eastAsia="Times New Roman" w:cs="Arial"/>
          <w:szCs w:val="20"/>
          <w:lang w:val="en-US"/>
        </w:rPr>
      </w:pPr>
    </w:p>
    <w:p w:rsidR="004E0837" w:rsidRPr="004E0837" w:rsidRDefault="004E0837" w:rsidP="007268A2">
      <w:pPr>
        <w:shd w:val="clear" w:color="auto" w:fill="FFFFFF"/>
        <w:spacing w:after="120"/>
        <w:ind w:firstLine="720"/>
        <w:jc w:val="both"/>
        <w:rPr>
          <w:rFonts w:eastAsia="Times New Roman" w:cs="Arial"/>
          <w:szCs w:val="20"/>
          <w:lang w:val="en-US"/>
        </w:rPr>
      </w:pPr>
      <w:r w:rsidRPr="004E0837">
        <w:rPr>
          <w:rFonts w:eastAsia="Times New Roman" w:cs="Arial"/>
          <w:b/>
          <w:bCs/>
          <w:szCs w:val="20"/>
          <w:lang w:val="en-US"/>
        </w:rPr>
        <w:t>Điều 1. Bổ sung khoản 10a Điều 2 Quyết định số </w:t>
      </w:r>
      <w:r w:rsidRPr="007268A2">
        <w:rPr>
          <w:rFonts w:eastAsia="Times New Roman" w:cs="Arial"/>
          <w:b/>
          <w:bCs/>
          <w:szCs w:val="20"/>
          <w:lang w:val="en-US"/>
        </w:rPr>
        <w:t>2368/QĐ-BTC</w:t>
      </w:r>
      <w:r w:rsidRPr="004E0837">
        <w:rPr>
          <w:rFonts w:eastAsia="Times New Roman" w:cs="Arial"/>
          <w:b/>
          <w:bCs/>
          <w:szCs w:val="20"/>
          <w:lang w:val="en-US"/>
        </w:rPr>
        <w:t> ngày 01/11/2023 của Bộ trưởng Bộ Tài chính quy định chức năng, nhiệm vụ, quyền hạn và cơ cấu tổ chức của Cục Quản lý, giám sát Chính sách thuế, phí và lệ phí như sau:</w:t>
      </w:r>
    </w:p>
    <w:p w:rsidR="004E0837" w:rsidRPr="004E0837" w:rsidRDefault="004E0837" w:rsidP="007268A2">
      <w:pPr>
        <w:shd w:val="clear" w:color="auto" w:fill="FFFFFF"/>
        <w:spacing w:after="120"/>
        <w:ind w:firstLine="720"/>
        <w:jc w:val="both"/>
        <w:rPr>
          <w:rFonts w:eastAsia="Times New Roman" w:cs="Arial"/>
          <w:szCs w:val="20"/>
          <w:lang w:val="en-US"/>
        </w:rPr>
      </w:pPr>
      <w:r w:rsidRPr="004E0837">
        <w:rPr>
          <w:rFonts w:eastAsia="Times New Roman" w:cs="Arial"/>
          <w:szCs w:val="20"/>
          <w:lang w:val="en-US"/>
        </w:rPr>
        <w:t>“10a. Thực hiện thanh tra chuyên ngành, giải quyết khiếu nại, tố cáo và xử lý vi phạm hành chính trong thực hiện các chính sách, văn bản quy phạm pháp luật về chính sách thuế, phí và lệ phí theo quy định của pháp luật.”</w:t>
      </w:r>
    </w:p>
    <w:p w:rsidR="004E0837" w:rsidRPr="004E0837" w:rsidRDefault="004E0837" w:rsidP="007268A2">
      <w:pPr>
        <w:shd w:val="clear" w:color="auto" w:fill="FFFFFF"/>
        <w:spacing w:after="120"/>
        <w:ind w:firstLine="720"/>
        <w:jc w:val="both"/>
        <w:rPr>
          <w:rFonts w:eastAsia="Times New Roman" w:cs="Arial"/>
          <w:szCs w:val="20"/>
          <w:lang w:val="en-US"/>
        </w:rPr>
      </w:pPr>
      <w:r w:rsidRPr="004E0837">
        <w:rPr>
          <w:rFonts w:eastAsia="Times New Roman" w:cs="Arial"/>
          <w:b/>
          <w:bCs/>
          <w:szCs w:val="20"/>
          <w:lang w:val="en-US"/>
        </w:rPr>
        <w:t>Điều 2. Hiệu lực và trách nhiệm thi hành</w:t>
      </w:r>
    </w:p>
    <w:p w:rsidR="004E0837" w:rsidRDefault="004E0837" w:rsidP="007268A2">
      <w:pPr>
        <w:shd w:val="clear" w:color="auto" w:fill="FFFFFF"/>
        <w:ind w:firstLine="720"/>
        <w:jc w:val="both"/>
        <w:rPr>
          <w:rFonts w:eastAsia="Times New Roman" w:cs="Arial"/>
          <w:szCs w:val="20"/>
          <w:lang w:val="en-US"/>
        </w:rPr>
      </w:pPr>
      <w:r w:rsidRPr="004E0837">
        <w:rPr>
          <w:rFonts w:eastAsia="Times New Roman" w:cs="Arial"/>
          <w:szCs w:val="20"/>
          <w:lang w:val="en-US"/>
        </w:rPr>
        <w:t>Quyết định này có hiệu lực kể từ ngày ký. Cục trưởng Cục Quản lý, giám sát Chính sách thuế, phí và lệ phí, Vụ trưởng Vụ Tổ chức cán bộ, Chánh Văn phòng Bộ Tài chính và Thủ trưởng các tổ chức, đơn vị thuộc Bộ Tài chính chịu trách nhiệm thi hành Quyết định này./.</w:t>
      </w:r>
    </w:p>
    <w:p w:rsidR="007268A2" w:rsidRPr="004E0837" w:rsidRDefault="007268A2" w:rsidP="007268A2">
      <w:pPr>
        <w:shd w:val="clear" w:color="auto" w:fill="FFFFFF"/>
        <w:rPr>
          <w:rFonts w:eastAsia="Times New Roman" w:cs="Arial"/>
          <w:szCs w:val="20"/>
          <w:lang w:val="en-US"/>
        </w:rPr>
      </w:pPr>
    </w:p>
    <w:tbl>
      <w:tblPr>
        <w:tblW w:w="5000" w:type="pct"/>
        <w:tblCellSpacing w:w="0" w:type="dxa"/>
        <w:tblCellMar>
          <w:left w:w="0" w:type="dxa"/>
          <w:right w:w="0" w:type="dxa"/>
        </w:tblCellMar>
        <w:tblLook w:val="04A0" w:firstRow="1" w:lastRow="0" w:firstColumn="1" w:lastColumn="0" w:noHBand="0" w:noVBand="1"/>
      </w:tblPr>
      <w:tblGrid>
        <w:gridCol w:w="4514"/>
        <w:gridCol w:w="4515"/>
      </w:tblGrid>
      <w:tr w:rsidR="007268A2" w:rsidRPr="007268A2" w:rsidTr="004E0837">
        <w:trPr>
          <w:tblCellSpacing w:w="0" w:type="dxa"/>
        </w:trPr>
        <w:tc>
          <w:tcPr>
            <w:tcW w:w="2500" w:type="pct"/>
            <w:tcMar>
              <w:top w:w="0" w:type="dxa"/>
              <w:left w:w="108" w:type="dxa"/>
              <w:bottom w:w="0" w:type="dxa"/>
              <w:right w:w="108" w:type="dxa"/>
            </w:tcMar>
            <w:hideMark/>
          </w:tcPr>
          <w:p w:rsidR="004E0837" w:rsidRPr="004E0837" w:rsidRDefault="004E0837" w:rsidP="007268A2">
            <w:pPr>
              <w:rPr>
                <w:rFonts w:eastAsia="Times New Roman" w:cs="Arial"/>
                <w:szCs w:val="20"/>
                <w:lang w:val="en-US"/>
              </w:rPr>
            </w:pPr>
            <w:r w:rsidRPr="004E0837">
              <w:rPr>
                <w:rFonts w:eastAsia="Times New Roman" w:cs="Arial"/>
                <w:b/>
                <w:bCs/>
                <w:i/>
                <w:iCs/>
                <w:szCs w:val="20"/>
                <w:lang w:val="en-US"/>
              </w:rPr>
              <w:t>Nơi nhận:</w:t>
            </w:r>
            <w:r w:rsidRPr="004E0837">
              <w:rPr>
                <w:rFonts w:eastAsia="Times New Roman" w:cs="Arial"/>
                <w:b/>
                <w:bCs/>
                <w:i/>
                <w:iCs/>
                <w:szCs w:val="20"/>
                <w:lang w:val="en-US"/>
              </w:rPr>
              <w:br/>
            </w:r>
            <w:r w:rsidRPr="004E0837">
              <w:rPr>
                <w:rFonts w:eastAsia="Times New Roman" w:cs="Arial"/>
                <w:szCs w:val="20"/>
                <w:lang w:val="en-US"/>
              </w:rPr>
              <w:t>- Lãnh đạo Bộ;</w:t>
            </w:r>
            <w:r w:rsidRPr="004E0837">
              <w:rPr>
                <w:rFonts w:eastAsia="Times New Roman" w:cs="Arial"/>
                <w:szCs w:val="20"/>
                <w:lang w:val="en-US"/>
              </w:rPr>
              <w:br/>
              <w:t>- VP Đảng ủy, Công đoàn;</w:t>
            </w:r>
            <w:r w:rsidRPr="004E0837">
              <w:rPr>
                <w:rFonts w:eastAsia="Times New Roman" w:cs="Arial"/>
                <w:szCs w:val="20"/>
                <w:lang w:val="en-US"/>
              </w:rPr>
              <w:br/>
              <w:t>- Như Điều 2;</w:t>
            </w:r>
            <w:r w:rsidRPr="004E0837">
              <w:rPr>
                <w:rFonts w:eastAsia="Times New Roman" w:cs="Arial"/>
                <w:szCs w:val="20"/>
                <w:lang w:val="en-US"/>
              </w:rPr>
              <w:br/>
              <w:t>- Cổng TTĐT Bộ Tài chính;</w:t>
            </w:r>
            <w:r w:rsidRPr="004E0837">
              <w:rPr>
                <w:rFonts w:eastAsia="Times New Roman" w:cs="Arial"/>
                <w:szCs w:val="20"/>
                <w:lang w:val="en-US"/>
              </w:rPr>
              <w:br/>
              <w:t>- Lưu: VT, Vụ TCCB (06b).</w:t>
            </w:r>
          </w:p>
        </w:tc>
        <w:tc>
          <w:tcPr>
            <w:tcW w:w="2500" w:type="pct"/>
            <w:tcMar>
              <w:top w:w="0" w:type="dxa"/>
              <w:left w:w="108" w:type="dxa"/>
              <w:bottom w:w="0" w:type="dxa"/>
              <w:right w:w="108" w:type="dxa"/>
            </w:tcMar>
            <w:hideMark/>
          </w:tcPr>
          <w:p w:rsidR="004E0837" w:rsidRPr="004E0837" w:rsidRDefault="004E0837" w:rsidP="007268A2">
            <w:pPr>
              <w:jc w:val="center"/>
              <w:rPr>
                <w:rFonts w:eastAsia="Times New Roman" w:cs="Arial"/>
                <w:szCs w:val="20"/>
                <w:lang w:val="en-US"/>
              </w:rPr>
            </w:pPr>
            <w:r w:rsidRPr="004E0837">
              <w:rPr>
                <w:rFonts w:eastAsia="Times New Roman" w:cs="Arial"/>
                <w:b/>
                <w:bCs/>
                <w:szCs w:val="20"/>
                <w:lang w:val="en-US"/>
              </w:rPr>
              <w:t>BỘ TRƯỞNG</w:t>
            </w:r>
            <w:r w:rsidRPr="004E0837">
              <w:rPr>
                <w:rFonts w:eastAsia="Times New Roman" w:cs="Arial"/>
                <w:b/>
                <w:bCs/>
                <w:szCs w:val="20"/>
                <w:lang w:val="en-US"/>
              </w:rPr>
              <w:br/>
            </w:r>
            <w:r w:rsidRPr="004E0837">
              <w:rPr>
                <w:rFonts w:eastAsia="Times New Roman" w:cs="Arial"/>
                <w:b/>
                <w:bCs/>
                <w:szCs w:val="20"/>
                <w:lang w:val="en-US"/>
              </w:rPr>
              <w:br/>
            </w:r>
            <w:r w:rsidRPr="004E0837">
              <w:rPr>
                <w:rFonts w:eastAsia="Times New Roman" w:cs="Arial"/>
                <w:b/>
                <w:bCs/>
                <w:szCs w:val="20"/>
                <w:lang w:val="en-US"/>
              </w:rPr>
              <w:br/>
            </w:r>
            <w:r w:rsidRPr="004E0837">
              <w:rPr>
                <w:rFonts w:eastAsia="Times New Roman" w:cs="Arial"/>
                <w:b/>
                <w:bCs/>
                <w:szCs w:val="20"/>
                <w:lang w:val="en-US"/>
              </w:rPr>
              <w:br/>
            </w:r>
            <w:r w:rsidRPr="004E0837">
              <w:rPr>
                <w:rFonts w:eastAsia="Times New Roman" w:cs="Arial"/>
                <w:b/>
                <w:bCs/>
                <w:szCs w:val="20"/>
                <w:lang w:val="en-US"/>
              </w:rPr>
              <w:br/>
              <w:t>Hồ Đức Phớc</w:t>
            </w:r>
          </w:p>
        </w:tc>
      </w:tr>
    </w:tbl>
    <w:p w:rsidR="007268A2" w:rsidRPr="007268A2" w:rsidRDefault="007268A2">
      <w:pPr>
        <w:rPr>
          <w:rFonts w:cs="Arial"/>
          <w:szCs w:val="20"/>
          <w:lang w:val="en-US"/>
        </w:rPr>
      </w:pPr>
    </w:p>
    <w:sectPr w:rsidR="007268A2" w:rsidRPr="007268A2" w:rsidSect="007268A2">
      <w:pgSz w:w="11909" w:h="16834"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837"/>
    <w:rsid w:val="00017AFF"/>
    <w:rsid w:val="000C3E46"/>
    <w:rsid w:val="0017574B"/>
    <w:rsid w:val="00211129"/>
    <w:rsid w:val="002377CE"/>
    <w:rsid w:val="002E4ED0"/>
    <w:rsid w:val="002F21D8"/>
    <w:rsid w:val="003A101D"/>
    <w:rsid w:val="004E0837"/>
    <w:rsid w:val="00503D2F"/>
    <w:rsid w:val="00571CBC"/>
    <w:rsid w:val="00636D5A"/>
    <w:rsid w:val="007268A2"/>
    <w:rsid w:val="00763CD5"/>
    <w:rsid w:val="007F5F1F"/>
    <w:rsid w:val="0083752D"/>
    <w:rsid w:val="00884118"/>
    <w:rsid w:val="00A51CA3"/>
    <w:rsid w:val="00CF2953"/>
    <w:rsid w:val="00DC0EC9"/>
    <w:rsid w:val="00E33319"/>
    <w:rsid w:val="00EA3F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60083"/>
  <w15:chartTrackingRefBased/>
  <w15:docId w15:val="{C259166B-637D-49CA-B33E-D6E3569B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Cs w:val="22"/>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837"/>
    <w:pPr>
      <w:spacing w:before="100" w:beforeAutospacing="1" w:after="100" w:afterAutospacing="1"/>
    </w:pPr>
    <w:rPr>
      <w:rFonts w:ascii="Times New Roman" w:eastAsia="Times New Roman" w:hAnsi="Times New Roman"/>
      <w:color w:val="auto"/>
      <w:sz w:val="24"/>
      <w:szCs w:val="24"/>
      <w:lang w:val="en-US"/>
    </w:rPr>
  </w:style>
  <w:style w:type="character" w:styleId="Hyperlink">
    <w:name w:val="Hyperlink"/>
    <w:basedOn w:val="DefaultParagraphFont"/>
    <w:uiPriority w:val="99"/>
    <w:semiHidden/>
    <w:unhideWhenUsed/>
    <w:rsid w:val="004E08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2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dc:description/>
  <cp:lastModifiedBy>Phạm Thị Hòa</cp:lastModifiedBy>
  <cp:revision>2</cp:revision>
  <dcterms:created xsi:type="dcterms:W3CDTF">2024-09-12T02:00:00Z</dcterms:created>
  <dcterms:modified xsi:type="dcterms:W3CDTF">2024-09-12T02:05:00Z</dcterms:modified>
</cp:coreProperties>
</file>