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1A517C" w:rsidRPr="00B8286A" w14:paraId="0CACB66B" w14:textId="77777777" w:rsidTr="001A517C">
        <w:trPr>
          <w:trHeight w:val="851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4BEE" w14:textId="77777777" w:rsidR="001A517C" w:rsidRPr="00A13C91" w:rsidRDefault="001A517C" w:rsidP="001A517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QUỐC HỘI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5096AF5E" w14:textId="7AD5239B" w:rsidR="001A517C" w:rsidRPr="001A517C" w:rsidRDefault="001A517C" w:rsidP="001A517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Luật số: 138/2025/QH15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950C" w14:textId="77777777" w:rsidR="001A517C" w:rsidRPr="00B8286A" w:rsidRDefault="001A517C" w:rsidP="001A517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2A594874" w14:textId="77777777" w:rsidR="001A517C" w:rsidRDefault="001A517C" w:rsidP="001A517C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21B161C9" w14:textId="77777777" w:rsidR="001A517C" w:rsidRDefault="001A517C" w:rsidP="001A517C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0D8A1DC9" w14:textId="77777777" w:rsidR="00A6685F" w:rsidRDefault="00744CF9" w:rsidP="001A517C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</w:p>
    <w:p w14:paraId="06A56BFC" w14:textId="77777777" w:rsidR="00A6685F" w:rsidRDefault="00744CF9" w:rsidP="001A517C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</w:t>
      </w:r>
    </w:p>
    <w:p w14:paraId="1E181D2A" w14:textId="77777777" w:rsidR="001A517C" w:rsidRDefault="001A517C" w:rsidP="001A517C">
      <w:pPr>
        <w:adjustRightInd w:val="0"/>
        <w:snapToGrid w:val="0"/>
        <w:spacing w:after="0" w:line="240" w:lineRule="auto"/>
        <w:jc w:val="center"/>
      </w:pPr>
    </w:p>
    <w:p w14:paraId="132C4C5C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pháp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Nam đã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a </w:t>
      </w:r>
      <w:r>
        <w:rPr>
          <w:rFonts w:ascii="Arial" w:hAnsi="Arial"/>
          <w:i/>
          <w:sz w:val="20"/>
        </w:rPr>
        <w:t>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theo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quy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203/2025/QH15;</w:t>
      </w:r>
    </w:p>
    <w:p w14:paraId="257A2689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ban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ng kê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89/2015/QH13 đã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theo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01/2021/QH15.</w:t>
      </w:r>
    </w:p>
    <w:p w14:paraId="5A2529B0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</w:t>
      </w:r>
      <w:r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</w:t>
      </w:r>
    </w:p>
    <w:p w14:paraId="5EBD2F8F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như sau:</w:t>
      </w:r>
    </w:p>
    <w:p w14:paraId="1AD66D00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như sau:</w:t>
      </w:r>
    </w:p>
    <w:p w14:paraId="2F2049A1" w14:textId="1E25F41E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“5. </w:t>
      </w:r>
      <w:r>
        <w:rPr>
          <w:rFonts w:ascii="Arial" w:hAnsi="Arial"/>
          <w:i/>
          <w:sz w:val="20"/>
        </w:rPr>
        <w:t>Cơ s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 xml:space="preserve"> d</w:t>
      </w:r>
      <w:r>
        <w:rPr>
          <w:rFonts w:ascii="Arial" w:hAnsi="Arial"/>
          <w:i/>
          <w:sz w:val="20"/>
        </w:rPr>
        <w:t>ữ</w:t>
      </w:r>
      <w:r>
        <w:rPr>
          <w:rFonts w:ascii="Arial" w:hAnsi="Arial"/>
          <w:i/>
          <w:sz w:val="20"/>
        </w:rPr>
        <w:t xml:space="preserve"> li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u th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ng kê</w:t>
      </w:r>
      <w:r>
        <w:rPr>
          <w:rFonts w:ascii="Arial" w:hAnsi="Arial"/>
          <w:sz w:val="20"/>
        </w:rPr>
        <w:t xml:space="preserve"> là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 w:rsidR="004473C3"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có liên quan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nhau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trúc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khai thác,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và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hình thành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hành chính, báo cáo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và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a,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phương.”;</w:t>
      </w:r>
    </w:p>
    <w:p w14:paraId="04B57AE9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8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9 như sau:</w:t>
      </w:r>
    </w:p>
    <w:p w14:paraId="4138F2D1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“8. </w:t>
      </w:r>
      <w:r>
        <w:rPr>
          <w:rFonts w:ascii="Arial" w:hAnsi="Arial"/>
          <w:i/>
          <w:sz w:val="20"/>
        </w:rPr>
        <w:t>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tra th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ng kê</w:t>
      </w:r>
      <w:r>
        <w:rPr>
          <w:rFonts w:ascii="Arial" w:hAnsi="Arial"/>
          <w:sz w:val="20"/>
        </w:rPr>
        <w:t xml:space="preserve"> là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theo phương pháp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trong phương án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cho m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tra.</w:t>
      </w:r>
    </w:p>
    <w:p w14:paraId="40C82247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9. </w:t>
      </w:r>
      <w:r>
        <w:rPr>
          <w:rFonts w:ascii="Arial" w:hAnsi="Arial"/>
          <w:i/>
          <w:sz w:val="20"/>
        </w:rPr>
        <w:t>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tra viên th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ng kê</w:t>
      </w:r>
      <w:r>
        <w:rPr>
          <w:rFonts w:ascii="Arial" w:hAnsi="Arial"/>
          <w:sz w:val="20"/>
        </w:rPr>
        <w:t xml:space="preserve">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</w:t>
      </w:r>
      <w:r>
        <w:rPr>
          <w:rFonts w:ascii="Arial" w:hAnsi="Arial"/>
          <w:sz w:val="20"/>
        </w:rPr>
        <w:t>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kê.”;</w:t>
      </w:r>
    </w:p>
    <w:p w14:paraId="58D7DC47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11 như sau:</w:t>
      </w:r>
    </w:p>
    <w:p w14:paraId="6C2A6B81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“11. </w:t>
      </w:r>
      <w:r>
        <w:rPr>
          <w:rFonts w:ascii="Arial" w:hAnsi="Arial"/>
          <w:i/>
          <w:sz w:val="20"/>
        </w:rPr>
        <w:t>Ho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th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ng kê</w:t>
      </w:r>
      <w:r>
        <w:rPr>
          <w:rFonts w:ascii="Arial" w:hAnsi="Arial"/>
          <w:sz w:val="20"/>
        </w:rPr>
        <w:t xml:space="preserve"> là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thông tin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thu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phân tích và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báo,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đánh giá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trong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không gian và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.”.</w:t>
      </w:r>
    </w:p>
    <w:p w14:paraId="326B1A4B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 như sau:</w:t>
      </w:r>
    </w:p>
    <w:p w14:paraId="51DC6E69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“b) Bình đ</w:t>
      </w:r>
      <w:r>
        <w:rPr>
          <w:rFonts w:ascii="Arial" w:hAnsi="Arial"/>
          <w:sz w:val="20"/>
        </w:rPr>
        <w:t>ẳ</w:t>
      </w:r>
      <w:r>
        <w:rPr>
          <w:rFonts w:ascii="Arial" w:hAnsi="Arial"/>
          <w:sz w:val="20"/>
        </w:rPr>
        <w:t>ng tro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khai thác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;”.</w:t>
      </w:r>
    </w:p>
    <w:p w14:paraId="108490B5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 như sau:</w:t>
      </w:r>
    </w:p>
    <w:p w14:paraId="48B02C12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chuyên ngành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</w:t>
      </w:r>
    </w:p>
    <w:p w14:paraId="299790D9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xem xét, đánh giá,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kê.</w:t>
      </w:r>
    </w:p>
    <w:p w14:paraId="369C944C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ngành.”.</w:t>
      </w:r>
    </w:p>
    <w:p w14:paraId="2FF1FBAE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b </w:t>
      </w:r>
      <w:r>
        <w:rPr>
          <w:rFonts w:ascii="Arial" w:hAnsi="Arial"/>
          <w:sz w:val="20"/>
        </w:rPr>
        <w:t>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14 như sau:</w:t>
      </w:r>
    </w:p>
    <w:p w14:paraId="71511468" w14:textId="591D0234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“b)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do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1A517C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xã; Tòa án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Tòa án nhân dân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p.”.</w:t>
      </w:r>
    </w:p>
    <w:p w14:paraId="4E88BD96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15 như sau:</w:t>
      </w:r>
    </w:p>
    <w:p w14:paraId="6EDDFB3B" w14:textId="62A878F3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“b)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do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1A517C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Tòa án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cơ quan trung ương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</w:t>
      </w:r>
      <w:bookmarkStart w:id="0" w:name="_GoBack"/>
      <w:bookmarkEnd w:id="0"/>
      <w:r>
        <w:rPr>
          <w:rFonts w:ascii="Arial" w:hAnsi="Arial"/>
          <w:sz w:val="20"/>
        </w:rPr>
        <w:t>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cơ quan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p.”.</w:t>
      </w:r>
    </w:p>
    <w:p w14:paraId="54FBFB2C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6.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16 như sau:</w:t>
      </w:r>
    </w:p>
    <w:p w14:paraId="61DFA0D2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thông tin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xã</w:t>
      </w:r>
    </w:p>
    <w:p w14:paraId="5B299053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tình hình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xã.</w:t>
      </w:r>
    </w:p>
    <w:p w14:paraId="6492998A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671937B8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do cơ quan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</w:t>
      </w:r>
    </w:p>
    <w:p w14:paraId="4D7B7FF6" w14:textId="2B9F748E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do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1A517C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xã, Tòa án nhân dân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kh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thuê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các cơ quan khác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cơ quan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p.</w:t>
      </w:r>
    </w:p>
    <w:p w14:paraId="15E8CC59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xã.</w:t>
      </w:r>
    </w:p>
    <w:p w14:paraId="1EF42CDA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 xml:space="preserve"> cơ quan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trách.”.</w:t>
      </w:r>
    </w:p>
    <w:p w14:paraId="18697BB8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như sau:</w:t>
      </w:r>
    </w:p>
    <w:p w14:paraId="21BBF120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như sau:</w:t>
      </w:r>
    </w:p>
    <w:p w14:paraId="421E23B4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là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Chánh án Tòa án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ban hành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hình thành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và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gia.”;</w:t>
      </w:r>
    </w:p>
    <w:p w14:paraId="194C8A62" w14:textId="757504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 w:rsidR="001A517C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a vào sau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như sau:</w:t>
      </w:r>
    </w:p>
    <w:p w14:paraId="28658AD9" w14:textId="229A8F73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</w:t>
      </w:r>
      <w:r w:rsidR="001A517C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a.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trách và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ngành,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vùng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trách.”;</w:t>
      </w:r>
    </w:p>
    <w:p w14:paraId="5A8C77FA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59E3A728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Các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do:</w:t>
      </w:r>
    </w:p>
    <w:p w14:paraId="0D90949B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ngành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</w:t>
      </w:r>
    </w:p>
    <w:p w14:paraId="7EA1C76F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và các cơ quan có liên quan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</w:t>
      </w:r>
    </w:p>
    <w:p w14:paraId="1F6CF852" w14:textId="086264C3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1A517C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xã; Tòa án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Tòa án nhân dân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p.”;</w:t>
      </w:r>
    </w:p>
    <w:p w14:paraId="327F132B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như sau:</w:t>
      </w:r>
    </w:p>
    <w:p w14:paraId="500F26FF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“4.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Chánh án Tòa án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toán </w:t>
      </w:r>
      <w:r>
        <w:rPr>
          <w:rFonts w:ascii="Arial" w:hAnsi="Arial"/>
          <w:sz w:val="20"/>
        </w:rPr>
        <w:t>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ban 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ngành.”.</w:t>
      </w:r>
    </w:p>
    <w:p w14:paraId="7057DE53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20 như sau:</w:t>
      </w:r>
    </w:p>
    <w:p w14:paraId="75F9003F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“4.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là 10 ngày,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không quá 20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cơ quan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nh.”.</w:t>
      </w:r>
    </w:p>
    <w:p w14:paraId="6C8B78E1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22 như sau:</w:t>
      </w:r>
    </w:p>
    <w:p w14:paraId="3DA943A7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22. 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 xml:space="preserve"> tiêu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t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nh,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xã</w:t>
      </w:r>
    </w:p>
    <w:p w14:paraId="21953782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là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hình thành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ê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và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</w:t>
      </w:r>
    </w:p>
    <w:p w14:paraId="747F47E5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là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hình thành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ngành.</w:t>
      </w:r>
    </w:p>
    <w:p w14:paraId="51F61BF2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là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phân công,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ng kê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và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báo cáo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báo cáo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xã.</w:t>
      </w:r>
    </w:p>
    <w:p w14:paraId="699AE136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ngành và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75BECDB3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ban 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xã.”.</w:t>
      </w:r>
    </w:p>
    <w:p w14:paraId="33E63A3F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10.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26 như sau:</w:t>
      </w:r>
    </w:p>
    <w:p w14:paraId="22556439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“4.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là 10 ngày,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không quá 20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cơ quan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nh.”.</w:t>
      </w:r>
    </w:p>
    <w:p w14:paraId="40F2904F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27 như sau:</w:t>
      </w:r>
    </w:p>
    <w:p w14:paraId="349709FB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ngoài chương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gia.”.</w:t>
      </w:r>
    </w:p>
    <w:p w14:paraId="2166AF83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28 như sau:</w:t>
      </w:r>
    </w:p>
    <w:p w14:paraId="7B67F972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28. Chương trình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tra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gia</w:t>
      </w:r>
    </w:p>
    <w:p w14:paraId="5ED987D8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Chương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ng Chính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</w:t>
      </w:r>
    </w:p>
    <w:p w14:paraId="5A3D4601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Chương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tên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và cơ quan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cơ quan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7BB37AB6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Chương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là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phương án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kinh phí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kê.</w:t>
      </w:r>
    </w:p>
    <w:p w14:paraId="2F779CF7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1ACD8B85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chương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5A6E3459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chương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</w:t>
      </w:r>
    </w:p>
    <w:p w14:paraId="50DB1BAA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trong chương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00C120BA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v</w:t>
      </w:r>
      <w:r>
        <w:rPr>
          <w:rFonts w:ascii="Arial" w:hAnsi="Arial"/>
          <w:sz w:val="20"/>
        </w:rPr>
        <w:t>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0C113C7E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Chánh án Tòa án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 tro</w:t>
      </w:r>
      <w:r>
        <w:rPr>
          <w:rFonts w:ascii="Arial" w:hAnsi="Arial"/>
          <w:sz w:val="20"/>
        </w:rPr>
        <w:t>ng chương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0C4A54BE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trung ương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 cho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chương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gia.”.</w:t>
      </w:r>
    </w:p>
    <w:p w14:paraId="1AA1A706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29 như sau:</w:t>
      </w:r>
    </w:p>
    <w:p w14:paraId="46915088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4FCB4E34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“b)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Chánh án Tòa án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này.”;</w:t>
      </w:r>
    </w:p>
    <w:p w14:paraId="45840C7D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như sau:</w:t>
      </w:r>
    </w:p>
    <w:p w14:paraId="75DFEAF4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Chánh án Tòa án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</w:t>
      </w:r>
      <w:r>
        <w:rPr>
          <w:rFonts w:ascii="Arial" w:hAnsi="Arial"/>
          <w:sz w:val="20"/>
        </w:rPr>
        <w:t>án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n.”.</w:t>
      </w:r>
    </w:p>
    <w:p w14:paraId="2A4580C9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14.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30 như sau:</w:t>
      </w:r>
    </w:p>
    <w:p w14:paraId="476A7975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30.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tra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 ngoài chương trình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tra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gia</w:t>
      </w:r>
    </w:p>
    <w:p w14:paraId="5AC2608F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ngoài chương trình 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6DFF2CBB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7163F984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khi có thiên tai,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khác;</w:t>
      </w:r>
    </w:p>
    <w:p w14:paraId="23683943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trách nhưng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70698000" w14:textId="0719F8FB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có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1A517C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nh.</w:t>
      </w:r>
    </w:p>
    <w:p w14:paraId="1A6076D7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ngoài chương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01BBCCE2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Chánh án Tòa án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sát nhân dân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 và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1CAFA51D" w14:textId="3CFF5F1A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1A517C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này.”.</w:t>
      </w:r>
    </w:p>
    <w:p w14:paraId="195E070E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15.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31 như sau:</w:t>
      </w:r>
    </w:p>
    <w:p w14:paraId="4741736F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như sau:</w:t>
      </w:r>
    </w:p>
    <w:p w14:paraId="34F650E0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“d)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và phương pháp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tra;”;</w:t>
      </w:r>
    </w:p>
    <w:p w14:paraId="68897C43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g như sau:</w:t>
      </w:r>
    </w:p>
    <w:p w14:paraId="7D70FCD7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“g) Quy trình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thông tin,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tra;”.</w:t>
      </w:r>
    </w:p>
    <w:p w14:paraId="72A0B086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16.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32 như sau:</w:t>
      </w:r>
    </w:p>
    <w:p w14:paraId="19A0FE97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đích,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và phương pháp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và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rong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tra.</w:t>
      </w:r>
    </w:p>
    <w:p w14:paraId="5053AEB6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là 10 ngày,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không quá 20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cơ quan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phương án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là 05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c.”.</w:t>
      </w:r>
    </w:p>
    <w:p w14:paraId="35625D60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17.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33 như sau:</w:t>
      </w:r>
    </w:p>
    <w:p w14:paraId="19A4FCE0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“c)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thông tin đã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p.”.</w:t>
      </w:r>
    </w:p>
    <w:p w14:paraId="6985DE69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18.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34 nh</w:t>
      </w:r>
      <w:r>
        <w:rPr>
          <w:rFonts w:ascii="Arial" w:hAnsi="Arial"/>
          <w:sz w:val="20"/>
        </w:rPr>
        <w:t>ư sau:</w:t>
      </w:r>
    </w:p>
    <w:p w14:paraId="4FB25575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theo đúng phương án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kê;”.</w:t>
      </w:r>
    </w:p>
    <w:p w14:paraId="07855840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19.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40 như sau:</w:t>
      </w:r>
    </w:p>
    <w:p w14:paraId="21975490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“c)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báo cáo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xã.”.</w:t>
      </w:r>
    </w:p>
    <w:p w14:paraId="4593CC76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20.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</w:t>
      </w:r>
      <w:r>
        <w:rPr>
          <w:rFonts w:ascii="Arial" w:hAnsi="Arial"/>
          <w:sz w:val="20"/>
        </w:rPr>
        <w:t>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42 như sau:</w:t>
      </w:r>
    </w:p>
    <w:p w14:paraId="5217B4E4" w14:textId="600FB5C1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“a)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 và các cơ quan có liên quan;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ngành;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1A517C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xã; Tòa án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Tòa án nhân dân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c;”.</w:t>
      </w:r>
    </w:p>
    <w:p w14:paraId="7283697D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21.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42a vào sau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42 như sau:</w:t>
      </w:r>
    </w:p>
    <w:p w14:paraId="3672D85F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42a.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báo cáo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t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nh,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xã</w:t>
      </w:r>
    </w:p>
    <w:p w14:paraId="6EE38701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báo cáo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xã.</w:t>
      </w:r>
    </w:p>
    <w:p w14:paraId="29BF310B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báo cáo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26C93A41" w14:textId="40FBBD7D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1A517C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xã; Tòa án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Tòa án nhân dân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</w:t>
      </w:r>
      <w:r>
        <w:rPr>
          <w:rFonts w:ascii="Arial" w:hAnsi="Arial"/>
          <w:sz w:val="20"/>
        </w:rPr>
        <w:t>ân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cơ quan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cơ quan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; cơ quan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;</w:t>
      </w:r>
    </w:p>
    <w:p w14:paraId="10CC9F7D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50F4A04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ban hành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báo cáo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xã.”.</w:t>
      </w:r>
    </w:p>
    <w:p w14:paraId="0697397F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43 như sau:</w:t>
      </w:r>
    </w:p>
    <w:p w14:paraId="72857FE5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“4.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là 10 ngày,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không quá 20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cơ quan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nh.”.</w:t>
      </w:r>
    </w:p>
    <w:p w14:paraId="06886E54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i,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tên Chương V như sau:</w:t>
      </w:r>
    </w:p>
    <w:p w14:paraId="3AFD42FD" w14:textId="77777777" w:rsidR="00A6685F" w:rsidRDefault="00744CF9" w:rsidP="001A517C">
      <w:pPr>
        <w:adjustRightInd w:val="0"/>
        <w:snapToGrid w:val="0"/>
        <w:spacing w:after="120" w:line="240" w:lineRule="auto"/>
        <w:jc w:val="center"/>
      </w:pPr>
      <w:r>
        <w:rPr>
          <w:rFonts w:ascii="Arial" w:hAnsi="Arial"/>
          <w:sz w:val="20"/>
        </w:rPr>
        <w:t>“CHƯƠNG V</w:t>
      </w:r>
    </w:p>
    <w:p w14:paraId="20FFBFC6" w14:textId="77777777" w:rsidR="00A6685F" w:rsidRDefault="00744CF9" w:rsidP="001A517C">
      <w:pPr>
        <w:adjustRightInd w:val="0"/>
        <w:snapToGrid w:val="0"/>
        <w:spacing w:after="120" w:line="240" w:lineRule="auto"/>
        <w:jc w:val="center"/>
      </w:pPr>
      <w:r>
        <w:rPr>
          <w:rFonts w:ascii="Arial" w:hAnsi="Arial"/>
          <w:b/>
          <w:sz w:val="20"/>
        </w:rPr>
        <w:t>NGHIÊN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 xml:space="preserve">U,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PHƯƠNG PHÁP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NG KÊ, </w:t>
      </w:r>
      <w:r>
        <w:br/>
      </w:r>
      <w:r>
        <w:rPr>
          <w:rFonts w:ascii="Arial" w:hAnsi="Arial"/>
          <w:b/>
          <w:sz w:val="20"/>
        </w:rPr>
        <w:t>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THÔNG TIN,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VÀ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TÁC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</w:t>
      </w:r>
      <w:r>
        <w:br/>
      </w:r>
      <w:r>
        <w:rPr>
          <w:rFonts w:ascii="Arial" w:hAnsi="Arial"/>
          <w:b/>
          <w:sz w:val="20"/>
        </w:rPr>
        <w:t>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C”.</w:t>
      </w:r>
    </w:p>
    <w:p w14:paraId="0E6CDCEF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24.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51 như sau:</w:t>
      </w:r>
    </w:p>
    <w:p w14:paraId="016473AD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51.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n,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ông tin và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 s</w:t>
      </w:r>
      <w:r>
        <w:rPr>
          <w:rFonts w:ascii="Arial" w:hAnsi="Arial"/>
          <w:b/>
          <w:sz w:val="20"/>
        </w:rPr>
        <w:t>ố</w:t>
      </w:r>
    </w:p>
    <w:p w14:paraId="05B665D4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ưu tiên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416D2F6A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thông tin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</w:t>
      </w:r>
    </w:p>
    <w:p w14:paraId="14C0B9BA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gia;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và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thông tin;</w:t>
      </w:r>
    </w:p>
    <w:p w14:paraId="40A1E259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ngành;</w:t>
      </w:r>
    </w:p>
    <w:p w14:paraId="1D7538A4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ng;</w:t>
      </w:r>
    </w:p>
    <w:p w14:paraId="350AA9EB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Các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phương pháp th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lý, 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phân tích và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thông tin.</w:t>
      </w:r>
    </w:p>
    <w:p w14:paraId="75257B01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các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kê.</w:t>
      </w:r>
    </w:p>
    <w:p w14:paraId="39ECBF03" w14:textId="078D9E0F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hóa, tin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hóa, quy trình hóa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Chánh án Tòa án nhân dân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1A517C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phương.”.</w:t>
      </w:r>
    </w:p>
    <w:p w14:paraId="4A68B46D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25.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51a vào sau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51 như sau:</w:t>
      </w:r>
    </w:p>
    <w:p w14:paraId="2DDE8760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51a.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gia</w:t>
      </w:r>
    </w:p>
    <w:p w14:paraId="4CFC362E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là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trên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toàn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hóa,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và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02B7676B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Cơ quan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trung ương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</w:t>
      </w:r>
      <w:r>
        <w:rPr>
          <w:rFonts w:ascii="Arial" w:hAnsi="Arial"/>
          <w:sz w:val="20"/>
        </w:rPr>
        <w:t xml:space="preserve"> công.</w:t>
      </w:r>
    </w:p>
    <w:p w14:paraId="51072C24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n: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báo cáo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hành chính,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và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</w:t>
      </w:r>
      <w:r>
        <w:rPr>
          <w:rFonts w:ascii="Arial" w:hAnsi="Arial"/>
          <w:sz w:val="20"/>
        </w:rPr>
        <w:t>c;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tính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hóa,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chính xác và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i.</w:t>
      </w:r>
    </w:p>
    <w:p w14:paraId="1B354ABB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chuyên ngành và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t.”.</w:t>
      </w:r>
    </w:p>
    <w:p w14:paraId="6680B6C2" w14:textId="68382F5B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26.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</w:t>
      </w:r>
      <w:r w:rsidR="001A517C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 vào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53 như sau:</w:t>
      </w:r>
    </w:p>
    <w:p w14:paraId="72F00D9C" w14:textId="37A524CD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“a</w:t>
      </w:r>
      <w:r w:rsidR="001A517C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)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gia;”.</w:t>
      </w:r>
    </w:p>
    <w:p w14:paraId="7E471167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27.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62 như sau:</w:t>
      </w:r>
    </w:p>
    <w:p w14:paraId="0773A6D0" w14:textId="4E7DA16E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“3. Cơ quan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trung ương là cơ quan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tham mưu giúp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kê;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kê;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cho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vai trò trung tâm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tích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 xml:space="preserve">ia.”. </w:t>
      </w:r>
    </w:p>
    <w:p w14:paraId="7AD33FEB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28.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64 như sau:</w:t>
      </w:r>
    </w:p>
    <w:p w14:paraId="154809B8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64.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kê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đơn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hành chính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xã</w:t>
      </w:r>
    </w:p>
    <w:p w14:paraId="07A98853" w14:textId="02D4CB21" w:rsidR="00A6685F" w:rsidRDefault="001A517C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Ủy ban nhân dân cấp xã chịu trách nhiệm tổ chức thực hiện công tác thống kê phục vụ yêu cầu quản lý của cấp xã; thực hiện chế độ báo cáo thống kê của Nhà nước, phối hợp thực hiện điều tra thống kê.”.</w:t>
      </w:r>
    </w:p>
    <w:p w14:paraId="0DDF9FA3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29.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44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62.</w:t>
      </w:r>
    </w:p>
    <w:p w14:paraId="56FBEEA1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30.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,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như sau:</w:t>
      </w:r>
    </w:p>
    <w:p w14:paraId="19FE7C18" w14:textId="4FDBB7F3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“</w:t>
      </w:r>
      <w:r w:rsidR="00133911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</w:t>
      </w:r>
      <w:proofErr w:type="gramEnd"/>
      <w:r>
        <w:rPr>
          <w:rFonts w:ascii="Arial" w:hAnsi="Arial"/>
          <w:sz w:val="20"/>
        </w:rPr>
        <w:t xml:space="preserve"> huy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48,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50,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52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59;</w:t>
      </w:r>
    </w:p>
    <w:p w14:paraId="52EB63E2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b) Thay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n” thành “c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42;</w:t>
      </w:r>
    </w:p>
    <w:p w14:paraId="2B63B3AA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n” thành “cơ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62;</w:t>
      </w:r>
    </w:p>
    <w:p w14:paraId="2AF03D14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tư”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“B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chính”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17,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50,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52,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60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62.</w:t>
      </w:r>
    </w:p>
    <w:p w14:paraId="5D63E435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5C36AB14" w14:textId="77777777" w:rsidR="00A6685F" w:rsidRDefault="00744CF9" w:rsidP="001A517C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01 năm 2026.</w:t>
      </w:r>
    </w:p>
    <w:p w14:paraId="384E18B3" w14:textId="48812FD1" w:rsidR="00A6685F" w:rsidRDefault="00744CF9" w:rsidP="001A517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này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</w:t>
      </w:r>
      <w:r>
        <w:rPr>
          <w:rFonts w:ascii="Arial" w:hAnsi="Arial"/>
          <w:i/>
          <w:sz w:val="20"/>
        </w:rPr>
        <w:t>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Nam khóa XV, K</w:t>
      </w:r>
      <w:r>
        <w:rPr>
          <w:rFonts w:ascii="Arial" w:hAnsi="Arial"/>
          <w:i/>
          <w:sz w:val="20"/>
        </w:rPr>
        <w:t>ỳ</w:t>
      </w:r>
      <w:r>
        <w:rPr>
          <w:rFonts w:ascii="Arial" w:hAnsi="Arial"/>
          <w:i/>
          <w:sz w:val="20"/>
        </w:rPr>
        <w:t xml:space="preserve">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p th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10 thông qua ngày 10 tháng 12 năm 2025.</w:t>
      </w:r>
    </w:p>
    <w:p w14:paraId="6EF90547" w14:textId="77777777" w:rsidR="001A517C" w:rsidRDefault="001A517C" w:rsidP="001A517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1A517C" w:rsidRPr="00A13C91" w14:paraId="2CA92685" w14:textId="77777777" w:rsidTr="00327A70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AAF94" w14:textId="77777777" w:rsidR="001A517C" w:rsidRPr="00A13C91" w:rsidRDefault="001A517C" w:rsidP="001A517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00985401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6870" w14:textId="77777777" w:rsidR="001A517C" w:rsidRDefault="001A517C" w:rsidP="001A517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CHỦ TỊCH QUỐC HỘI</w:t>
            </w:r>
          </w:p>
          <w:p w14:paraId="1CFC76CF" w14:textId="77777777" w:rsidR="001A517C" w:rsidRDefault="001A517C" w:rsidP="001A517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8A962" w14:textId="77777777" w:rsidR="001A517C" w:rsidRDefault="001A517C" w:rsidP="001A517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CC1C10" w14:textId="77777777" w:rsidR="001A517C" w:rsidRDefault="001A517C" w:rsidP="001A517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EFCA7E" w14:textId="77777777" w:rsidR="001A517C" w:rsidRDefault="001A517C" w:rsidP="001A517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9EA83E" w14:textId="72537D0C" w:rsidR="001A517C" w:rsidRPr="001A517C" w:rsidRDefault="001A517C" w:rsidP="001A517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17C">
              <w:rPr>
                <w:rFonts w:ascii="Arial" w:hAnsi="Arial" w:cs="Arial"/>
                <w:b/>
                <w:bCs/>
                <w:sz w:val="20"/>
                <w:szCs w:val="20"/>
              </w:rPr>
              <w:t>Trần Thanh Mẫn</w:t>
            </w:r>
          </w:p>
        </w:tc>
      </w:tr>
      <w:bookmarkEnd w:id="1"/>
    </w:tbl>
    <w:p w14:paraId="36757455" w14:textId="1F143D0B" w:rsidR="00A6685F" w:rsidRDefault="00A6685F" w:rsidP="001A517C">
      <w:pPr>
        <w:adjustRightInd w:val="0"/>
        <w:snapToGrid w:val="0"/>
        <w:spacing w:after="120" w:line="240" w:lineRule="auto"/>
        <w:ind w:firstLine="720"/>
        <w:jc w:val="both"/>
      </w:pPr>
    </w:p>
    <w:sectPr w:rsidR="00A6685F" w:rsidSect="001A517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F32F3" w14:textId="77777777" w:rsidR="00744CF9" w:rsidRDefault="00744CF9">
      <w:pPr>
        <w:spacing w:after="0" w:line="240" w:lineRule="auto"/>
      </w:pPr>
      <w:r>
        <w:separator/>
      </w:r>
    </w:p>
  </w:endnote>
  <w:endnote w:type="continuationSeparator" w:id="0">
    <w:p w14:paraId="196AF9D8" w14:textId="77777777" w:rsidR="00744CF9" w:rsidRDefault="0074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02BF6" w14:textId="77777777" w:rsidR="00744CF9" w:rsidRDefault="00744CF9">
      <w:pPr>
        <w:spacing w:after="0" w:line="240" w:lineRule="auto"/>
      </w:pPr>
      <w:r>
        <w:separator/>
      </w:r>
    </w:p>
  </w:footnote>
  <w:footnote w:type="continuationSeparator" w:id="0">
    <w:p w14:paraId="224553C1" w14:textId="77777777" w:rsidR="00744CF9" w:rsidRDefault="00744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5F"/>
    <w:rsid w:val="00133911"/>
    <w:rsid w:val="001A517C"/>
    <w:rsid w:val="00260C79"/>
    <w:rsid w:val="004473C3"/>
    <w:rsid w:val="00476645"/>
    <w:rsid w:val="004D2682"/>
    <w:rsid w:val="005409BC"/>
    <w:rsid w:val="00637AE3"/>
    <w:rsid w:val="00674B97"/>
    <w:rsid w:val="00744CF9"/>
    <w:rsid w:val="007D181A"/>
    <w:rsid w:val="008659A5"/>
    <w:rsid w:val="008B77AD"/>
    <w:rsid w:val="00A6685F"/>
    <w:rsid w:val="00F4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3850"/>
  <w15:docId w15:val="{2F7BF528-C3F3-4755-B1CE-F035582E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17C"/>
  </w:style>
  <w:style w:type="paragraph" w:styleId="Footer">
    <w:name w:val="footer"/>
    <w:basedOn w:val="Normal"/>
    <w:link w:val="FooterChar"/>
    <w:uiPriority w:val="99"/>
    <w:unhideWhenUsed/>
    <w:rsid w:val="001A5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F71F6-9205-40F3-BD32-A4FD4916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2556</Words>
  <Characters>14574</Characters>
  <Application>Microsoft Office Word</Application>
  <DocSecurity>0</DocSecurity>
  <Lines>121</Lines>
  <Paragraphs>34</Paragraphs>
  <ScaleCrop>false</ScaleCrop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2025-12-26T05:02:00Z</dcterms:created>
  <dcterms:modified xsi:type="dcterms:W3CDTF">2025-12-26T08:43:00Z</dcterms:modified>
</cp:coreProperties>
</file>