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3677"/>
        <w:gridCol w:w="5349"/>
      </w:tblGrid>
      <w:tr w:rsidR="00420935" w:rsidRPr="00C734AF" w14:paraId="5C547ECA" w14:textId="77777777" w:rsidTr="000724B1">
        <w:tc>
          <w:tcPr>
            <w:tcW w:w="2037" w:type="pct"/>
          </w:tcPr>
          <w:p w14:paraId="4ABF6E29" w14:textId="68F0B7C5" w:rsidR="00420935" w:rsidRPr="00C734AF" w:rsidRDefault="00227E4A" w:rsidP="000724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CHÍNH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: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263/2026/NĐ-CP</w:t>
            </w:r>
          </w:p>
        </w:tc>
        <w:tc>
          <w:tcPr>
            <w:tcW w:w="2963" w:type="pct"/>
          </w:tcPr>
          <w:p w14:paraId="2CF2091E" w14:textId="75C6ECAF" w:rsidR="00420935" w:rsidRPr="00C734AF" w:rsidRDefault="00227E4A" w:rsidP="000724B1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HÒA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CH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NGHĨA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VI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Ệ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NAM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l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ậ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ự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–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ạ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</w:t>
            </w:r>
            <w:r w:rsidR="00B80EB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phúc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Hà</w:t>
            </w:r>
            <w:r w:rsidR="00B80E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C734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i,</w:t>
            </w:r>
            <w:r w:rsidR="00B80E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</w:t>
            </w:r>
            <w:r w:rsidR="00B80E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01</w:t>
            </w:r>
            <w:r w:rsidR="00B80E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tháng</w:t>
            </w:r>
            <w:r w:rsidR="00B80E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7</w:t>
            </w:r>
            <w:r w:rsidR="00B80E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năm</w:t>
            </w:r>
            <w:r w:rsidR="00B80EB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C734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2026</w:t>
            </w:r>
          </w:p>
        </w:tc>
      </w:tr>
    </w:tbl>
    <w:p w14:paraId="0DFFC025" w14:textId="77777777" w:rsidR="00C734AF" w:rsidRPr="00C734AF" w:rsidRDefault="00C734AF" w:rsidP="00C734A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3F15649" w14:textId="77777777" w:rsidR="00C734AF" w:rsidRPr="00C734AF" w:rsidRDefault="00C734AF" w:rsidP="00C734A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09102BF" w14:textId="277AFAB9" w:rsidR="00420935" w:rsidRPr="00C734AF" w:rsidRDefault="00227E4A" w:rsidP="00C734A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46231A6D" w14:textId="77777777" w:rsidR="00420935" w:rsidRPr="00C734AF" w:rsidRDefault="00227E4A" w:rsidP="00C734A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19BB42D6" w14:textId="77777777" w:rsidR="00C734AF" w:rsidRPr="00C734AF" w:rsidRDefault="00C734AF" w:rsidP="00C734A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BB9948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t T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c Chính ph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s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63/2025/QH15;</w:t>
      </w:r>
    </w:p>
    <w:p w14:paraId="2984AD9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t Công ngh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cao s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133/2025/QH15;</w:t>
      </w:r>
    </w:p>
    <w:p w14:paraId="6204D89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Căn c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Lu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t Khoa h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c, công ngh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o s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93/2025/QH15;</w:t>
      </w:r>
    </w:p>
    <w:p w14:paraId="6EF6FFE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Theo đ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ngh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a B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trư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Nông nghi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p và Môi trư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ng;</w:t>
      </w:r>
    </w:p>
    <w:p w14:paraId="14C477AC" w14:textId="77777777" w:rsidR="00420935" w:rsidRPr="00C734AF" w:rsidRDefault="00227E4A" w:rsidP="00C734AF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Chính ph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ban hành Ngh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nh quy đ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nh v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khu nông nghi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ng công n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gh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 xml:space="preserve"> cao.</w:t>
      </w:r>
    </w:p>
    <w:p w14:paraId="55C9E5CD" w14:textId="77777777" w:rsidR="00C734AF" w:rsidRPr="00C734AF" w:rsidRDefault="00C734AF" w:rsidP="00C734A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02FB5DC" w14:textId="3FFFDCE4" w:rsidR="00420935" w:rsidRPr="00C734AF" w:rsidRDefault="00227E4A" w:rsidP="00C734A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I </w:t>
      </w:r>
    </w:p>
    <w:p w14:paraId="5160917D" w14:textId="77777777" w:rsidR="00420935" w:rsidRPr="00C734AF" w:rsidRDefault="00227E4A" w:rsidP="00C734A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QUY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 CHUNG</w:t>
      </w:r>
    </w:p>
    <w:p w14:paraId="38C3C7FD" w14:textId="77777777" w:rsidR="00C734AF" w:rsidRPr="00C734AF" w:rsidRDefault="00C734AF" w:rsidP="00C734AF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0BA36B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1. 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m vi 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02D1B6D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24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năm 2025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tiêu chí,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42601DF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nh này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các bi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pháp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thi hành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chính sách ưu đãi,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7C6A531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2.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tư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áp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</w:t>
      </w:r>
    </w:p>
    <w:p w14:paraId="1603BB4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áp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á nhân có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liên quan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1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283580A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3. Gi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thích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ng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ữ</w:t>
      </w:r>
    </w:p>
    <w:p w14:paraId="2795F81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Trong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này, các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đây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như sau:</w:t>
      </w:r>
    </w:p>
    <w:p w14:paraId="3F5B474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24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là khu có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ranh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lý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nh,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theo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trình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BCA15C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là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tăng quy mô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đã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2B1785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là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thay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khu, bao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m: tên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i; ranh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i;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 mô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tích;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 và các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khác có liên quan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khu.</w:t>
      </w:r>
    </w:p>
    <w:p w14:paraId="6D62524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là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trăm (%)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(bao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c)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trên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6FFC7D1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khu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bao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m: Giao thông và an ninh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khu;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i; phòng cháy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cháy,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ng;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thông.</w:t>
      </w:r>
    </w:p>
    <w:p w14:paraId="4457A469" w14:textId="77777777" w:rsidR="00420935" w:rsidRPr="00C734AF" w:rsidRDefault="00227E4A" w:rsidP="00B80EB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6.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bao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m: các công trình giáo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y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thao, văn hóa,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lưu trú, các công trình công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khác.</w:t>
      </w:r>
    </w:p>
    <w:p w14:paraId="7A101879" w14:textId="77777777" w:rsidR="00B80EB8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14B2DE1" w14:textId="3C328B20" w:rsidR="00420935" w:rsidRPr="00C734AF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Chương II</w:t>
      </w:r>
    </w:p>
    <w:p w14:paraId="6D291232" w14:textId="70942D97" w:rsidR="00420935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HO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TRONG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br/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3333DAF4" w14:textId="77777777" w:rsidR="00B80EB8" w:rsidRPr="00C734AF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5BABF7E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4. Các lo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hình ho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trong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</w:t>
      </w:r>
      <w:bookmarkStart w:id="0" w:name="_GoBack"/>
      <w:bookmarkEnd w:id="0"/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ng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6F516C5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1.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24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theo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21B6649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Các lo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hình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t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bao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6D3E52D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hoàn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làm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trong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0AFDF03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m, trình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mô hình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4AF4E7E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 và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trong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3071BA8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160C86B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đ) Cung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trong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cho các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 nhân trong và ngoài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7998AF2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Các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sinh thái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và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bao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718496D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liên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tác xã và các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khác trong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69B224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lãm,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đàn, trình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các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xúc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xúc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87DC5F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Tư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môi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xúc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đánh giá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giá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; tư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pháp lý;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trong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5C218BD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này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tiêu chí tương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DFDDC5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5. Tiêu chí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tư th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 trong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5EFBDD4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cao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tiêu chí chung sau đây:</w:t>
      </w:r>
    </w:p>
    <w:p w14:paraId="7F64286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Đúng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ngành,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tiên thu hút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406E17A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hình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4 Ng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A8E832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Áp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hoàn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làm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giao,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tiên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Danh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Danh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849C04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yêu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phòng, an ninh,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có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pháp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phát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khí nhà kính,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tài nguyên, năng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g, an toàn sinh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an toàn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an toàn thông tin và các yêu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khác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3061AF6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tiêu chí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hình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2, 3, 4, 5 và 6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2E9376F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tiêu chí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tương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hình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2,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3,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4,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5 và 6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6A48769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Tiêu chí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hoàn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làm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78FA5EE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a)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ng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xác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rõ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 hoàn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làm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ra và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8180B9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áp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Danh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tiên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Danh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khích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do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0D81EFA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thích nghi,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CD2E7C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ngũ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có chuyên môn trong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tham gia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ít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70%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trong đó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có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lên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ít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85%;</w:t>
      </w:r>
    </w:p>
    <w:p w14:paraId="5212938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và khai thác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chuyên ngành;</w:t>
      </w:r>
    </w:p>
    <w:p w14:paraId="2DB2CB3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e)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tiêu đánh giá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 ra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3F2B75D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Tiêu chí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trình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mô hình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c:</w:t>
      </w:r>
    </w:p>
    <w:p w14:paraId="0153B58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quy trình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mô hình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c;</w:t>
      </w:r>
    </w:p>
    <w:p w14:paraId="0367FDB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quy trình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trong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đã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pháp;</w:t>
      </w:r>
    </w:p>
    <w:p w14:paraId="477E4BF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Quy mô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công su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dây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mô hình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t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trình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tuân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(quy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phân khu,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t)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3356EA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an toàn sinh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an toàn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và truy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chuyên ngành;</w:t>
      </w:r>
    </w:p>
    <w:p w14:paraId="43E2B31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Đánh giá toàn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kinh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năng nhân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6AFC681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e) Đưa ra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pháp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đai,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năng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át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i.</w:t>
      </w:r>
    </w:p>
    <w:p w14:paraId="70314CA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Tiêu chí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E56CC3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khai chương trình,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trong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52E5CF5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không gian làm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khu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phòng thí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hóa;</w:t>
      </w:r>
    </w:p>
    <w:p w14:paraId="5551447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ngũ chuyên gia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tư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có chuyên môn phù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29BCFBC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tài chính,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tác và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213B3A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tiêu và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ương pháp đánh giá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58DF9D2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 Tiêu chí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và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trong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p:</w:t>
      </w:r>
    </w:p>
    <w:p w14:paraId="159DB83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và chương trình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bám sát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tiêu,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EAFF86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ngũ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viên, chuyên gia, cán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yêu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chuyên môn;</w:t>
      </w:r>
    </w:p>
    <w:p w14:paraId="1FD987F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trang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hành,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m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77430FC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Quá trình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tác xã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có liên quan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tính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62C17D2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đánh giá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công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33EBAAD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6. Tiêu chí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cung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theo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hình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đăng ký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như sau:</w:t>
      </w:r>
    </w:p>
    <w:p w14:paraId="7306F51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nh, phân tích, đo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ng: Phòng thí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trang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tiêu chu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quy chu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t tương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thì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đó;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ngũ nhân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có trình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chuyên môn phù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p; quy trình chuyên môn và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năng truy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theo đúng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nh; có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năng cung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đánh giá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tư, quy trình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trong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CF5698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tư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iao,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trong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 có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giáo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chuyên gia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p; phương án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cung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có tính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thi;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thông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in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khách hàng.</w:t>
      </w:r>
    </w:p>
    <w:p w14:paraId="1DDDD80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và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yêu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an toàn thông tin, an ninh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năng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tích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chuyên ngành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thông tin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và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gia có liên quan.</w:t>
      </w:r>
    </w:p>
    <w:p w14:paraId="62B54DBF" w14:textId="77777777" w:rsidR="00420935" w:rsidRPr="00C734AF" w:rsidRDefault="00227E4A" w:rsidP="00B80EB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7.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lo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hình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tiêu chí tương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lo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hình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đăng ký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0FF1C177" w14:textId="77777777" w:rsidR="00B80EB8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07483FB" w14:textId="5CD91B1B" w:rsidR="00420935" w:rsidRPr="00C734AF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Chương III</w:t>
      </w:r>
    </w:p>
    <w:p w14:paraId="7C0D167F" w14:textId="49877065" w:rsidR="00420935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THÀNH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NH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br/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7BDCAC83" w14:textId="77777777" w:rsidR="00B80EB8" w:rsidRPr="00C734AF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D2506F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6. 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thành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3088085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24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như sau:</w:t>
      </w:r>
    </w:p>
    <w:p w14:paraId="6DB3F12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Khu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trong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vi không gian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phương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đã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trong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vùng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đã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đã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phân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tiêu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trong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2B383ED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bên ngoài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i: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giao thông;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(đi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n;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c;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x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lý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i;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thông, ...); có phương án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tác, liên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ng;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tác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thư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c; có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nhiên phù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27CE87F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có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trí các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các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4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nh này và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dài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không gian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lý, không manh mún, phân tán;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duy tu,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trì,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phòng, an ninh,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3942860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an ninh thông tin;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chia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ẻ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 nhân liên quan; có phòng thí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khu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khu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trình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;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lưu trú cho chuyên gia,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nhà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ngư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làm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481D04C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 Có phương án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thi,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duy trì liên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các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khu; có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năng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u; có phương án thu hút và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cao,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o; có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c;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tác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tác xã; có phương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cho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khai thác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C4D034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6. Có phương án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thi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thu hút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chính sách đãi ng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đáng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lương, thư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nâng cao năng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nhà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sinh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khai và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tác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5183DBD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7. 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m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4A94A1A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cao:</w:t>
      </w:r>
    </w:p>
    <w:p w14:paraId="430ACE3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Khu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095536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đã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các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24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có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4BAD0D8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đã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tuân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(quy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chung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phân khu)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đã khai thác,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48EBD01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đã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cho thuê, giao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60%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199B3EC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Khu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có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trí li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lân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(giao thông,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thoát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x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lý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các công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khác) và các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73C511A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cao:</w:t>
      </w:r>
    </w:p>
    <w:p w14:paraId="6A42B23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Phương án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sau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 tương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6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1BBCE37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không làm phá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tính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387032F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ranh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khu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năng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không gian,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hành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4360E20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8. 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sơ, trình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, th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thành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76CD449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sơ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01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bao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BCD71A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trình thành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theo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01: TT-NNCNC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38F00C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3, 4 và 5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này, theo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02: ĐA-NNCNC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ban hành kèm theo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01E4AC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Trình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</w:t>
      </w:r>
    </w:p>
    <w:p w14:paraId="1526B43E" w14:textId="223C53AB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a)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giao cơ quan chuyên môn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cơ quan có liên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quan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08DD781B" w14:textId="02E5F02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Cơ quan chuyên môn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sơ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xem xét, đánh giá theo hình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qua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công;</w:t>
      </w:r>
    </w:p>
    <w:p w14:paraId="33556586" w14:textId="47521C3D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c)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xem xét, đánh giá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sơ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6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này và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6E24849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xem xét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trong quá trình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hành khác có liên quan;</w:t>
      </w:r>
    </w:p>
    <w:p w14:paraId="0A00916B" w14:textId="2F9B07B8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đ)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trình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các cơ quan liên quan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tham mưu cho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 Trình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không làm phát sinh thêm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hành chính ngoài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2D77EA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3021A84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a) Căn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pháp lý và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164171B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Đánh giá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các 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trí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lý,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nhiên, tài nguyên,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kinh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các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so sánh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67B3CBE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Đánh giá và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trình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năng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6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(kèm theo các tài li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có liên quan);</w:t>
      </w:r>
    </w:p>
    <w:p w14:paraId="77A30C2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phương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m: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tính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 phương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các ngành,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tiên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các khu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24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không gian,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ngũ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451611D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các phương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phâ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ch,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trình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7AB6CDF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e)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các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pháp và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207DE9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g)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ương án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trên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1:10.000 - 1:25.000.</w:t>
      </w:r>
    </w:p>
    <w:p w14:paraId="12F3DFE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30E1D44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Các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a, b, d, đ, e, g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629A3B9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b) Đánh giá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và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trình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năng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7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1ED748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Đánh giá công tác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u.</w:t>
      </w:r>
    </w:p>
    <w:p w14:paraId="1D9C93B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các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sau:</w:t>
      </w:r>
    </w:p>
    <w:p w14:paraId="1ADAEB0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Các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a, b, d, đ, e và g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này;</w:t>
      </w:r>
    </w:p>
    <w:p w14:paraId="5B7763C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Đánh giá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dung, các 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công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0E3C9DC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Đánh giá công tác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467D506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Đánh giá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năng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7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y.</w:t>
      </w:r>
    </w:p>
    <w:p w14:paraId="508358D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6.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đánh giá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sơ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bao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59F3F18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pháp lý và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7E8544B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Đánh giá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và phương án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6, 7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này;</w:t>
      </w:r>
    </w:p>
    <w:p w14:paraId="59AB2D8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Đánh giá sơ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đóng góp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kinh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-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16FE5B4D" w14:textId="77777777" w:rsidR="00420935" w:rsidRPr="00C734AF" w:rsidRDefault="00227E4A" w:rsidP="00B80EB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Tính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thi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các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pháp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3ADBD167" w14:textId="77777777" w:rsidR="00B80EB8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70168D9" w14:textId="34123DDB" w:rsidR="00420935" w:rsidRPr="00C734AF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Chương IV</w:t>
      </w:r>
    </w:p>
    <w:p w14:paraId="06563EBB" w14:textId="3A881851" w:rsidR="00420935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CHÍNH SÁCH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TƯ VÀ PHÁT TRI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N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br/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="00F171E3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13571356" w14:textId="77777777" w:rsidR="00B80EB8" w:rsidRPr="00C734AF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35B14EB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u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9. Ngu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ng, phát tri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6E24D66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1.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bao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16433D0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chính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(ODA),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vay ưu đãi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ngoài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C886A1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vào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085AD19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theo phương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tác công tư,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và các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pháp khác.</w:t>
      </w:r>
    </w:p>
    <w:p w14:paraId="1F26800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tiên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trí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309F93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Chu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cư,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0AA6BB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34F29F2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các cô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xung quanh.</w:t>
      </w:r>
    </w:p>
    <w:p w14:paraId="5ACF541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tiên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trí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các chương trình,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pháp khác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o;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án,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và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5ED9921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khích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 nhân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hình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kinh doanh,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tác công tư,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và các hình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khác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 khuy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 khích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tái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cư,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BC5EB0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 Kinh phí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và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tài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pháp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 nhân cho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tài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công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52D706C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10. Chính sách ưu đãi, 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tư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các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tư trong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1E2BA47C" w14:textId="01F09DBB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Căn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phương và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ban hành chính sách và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thu hút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thu hút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cao,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và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0B51F8A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hành chính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đai,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lao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quan và các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khác có liên quan theo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liên thông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t;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trong quá trình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khai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2BBC1D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Các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(d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này)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tiên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tham gia các chương trình,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chính sách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a, xúc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xúc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và các chương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pháp khác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808BD1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như sau:</w:t>
      </w:r>
    </w:p>
    <w:p w14:paraId="624AB641" w14:textId="519C6308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tiên xem xét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hàng, tài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chương trình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cơ quan ngang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trung ương và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theo phương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giao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hàng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theo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như sau:</w:t>
      </w:r>
    </w:p>
    <w:p w14:paraId="673EBD7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Tài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đa 100% kinh phí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theo hình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liên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do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tài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hàng theo hình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tác công tư.</w:t>
      </w:r>
    </w:p>
    <w:p w14:paraId="6CF786F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Áp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khoán chi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o;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ro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35,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36,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37,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38,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39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267/2025/NĐ-CP ngày 14 tháng 10 năm 2025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chi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c, công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chương trình,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và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thúc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o.</w:t>
      </w:r>
    </w:p>
    <w:p w14:paraId="6F01EB4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mua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bí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mã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chương trình,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gia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đa 100% kinh phí.</w:t>
      </w:r>
    </w:p>
    <w:p w14:paraId="37AAEC90" w14:textId="6E72C370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xem xét tài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kinh phí,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cho vay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cơ quan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, cơ quan khác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Trung ương,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334222F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Ưu đãi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: Các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ưu đãi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0B43F84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Ưu đãi,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c: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đa 100% kinh phí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cho các cá nhân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nâng cao năng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thông qua các chương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gia và các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khác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4997BAF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hóa:</w:t>
      </w:r>
    </w:p>
    <w:p w14:paraId="5CED72E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100% chi phí đăng ký,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trong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đa 50% chi phí đăng ký,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ngoài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1C5DA61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giá, khai thác,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 và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tài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trí tu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hình thành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4FBA881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vay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70% lãi su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cho vay theo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cho vay đã ký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và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nhưng không quá 8%/năm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gia,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ngành,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phương,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gia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phương (sau đây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là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) cho mu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máy móc, dây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cho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4203C73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vay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vay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tính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lãi su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vay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khi hoàn thành nghĩa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nhưng không quá 05 năm và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còn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12 tháng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vay tính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hoàn thành nghĩa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tín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25FED2F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e)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mua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trang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;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nâng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phòng thí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dùng chung,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công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p.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 nhân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phòng thí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dùng chung,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do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thông qua phi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tài chính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23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268/2025/NĐ-CP ngày 14 tháng 10 năm 2025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BF1025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không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đãi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tư:</w:t>
      </w:r>
    </w:p>
    <w:p w14:paraId="27F4641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a) Không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không duy trì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tiêu chí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này;</w:t>
      </w:r>
    </w:p>
    <w:p w14:paraId="65B0393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490E18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Không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vi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trong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01 năm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ghi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3528E85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11.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và kinh doanh k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</w:t>
      </w:r>
    </w:p>
    <w:p w14:paraId="7D66F5F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tiên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khuy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khích các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 nhân có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kinh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năng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tham gia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toàn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 và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71F7488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2.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cho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36A5E1E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vào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công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theo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(ho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phân khu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ng)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trong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kinh doanh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cơ quan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cho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đai;</w:t>
      </w:r>
    </w:p>
    <w:p w14:paraId="14D8D8D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không bao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này, căn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thu hút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cơ quan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có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cho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cho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E03ECE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kinh doanh, cho thuê công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nhà xư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văn phòng, kho bãi do mình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sau khi đã hoàn thành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theo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thu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khác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chi phí chu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(n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có),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thuê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mua nhà xư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văn phòng, kho bãi và các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(n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có);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không tính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kinh phí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vào chi phí cho thuê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thuê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57A50FB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kinh phí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, tái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cư theo phương án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cơ quan có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a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này thì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tính vào chi phí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7259EF7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không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t:</w:t>
      </w:r>
    </w:p>
    <w:p w14:paraId="7F43D92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cho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kinh doanh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theo hình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cho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gian thuê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đai;</w:t>
      </w:r>
    </w:p>
    <w:p w14:paraId="68EFA1C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cho thuê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đã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theo các giai đo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văn phòng, nhà xư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kho bãi đã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đai, kinh doanh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khác có liên quan;</w:t>
      </w:r>
    </w:p>
    <w:p w14:paraId="4C1E816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năm thì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cho thuê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năm;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cho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gian thuê thì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có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cho thuê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cho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gian thuê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năm;</w:t>
      </w:r>
    </w:p>
    <w:p w14:paraId="4956F6A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iêu chí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cho thuê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đã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công trình nhà xư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văn phòng, kho bãi cho các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trong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kinh doanh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phê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thu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khác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15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chi phí chu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thuê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mua nhà xư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văn phòng, kho bãi và các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khác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nh;</w:t>
      </w:r>
    </w:p>
    <w:p w14:paraId="284235C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kinh phí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theo phương án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cơ quan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có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thì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hoàn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tính vào chi phí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0F15A82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thì các phân khu có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phóng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ng, san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theo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năng cân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ngân sách và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CDF9A2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tích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trình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dùng chung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(quy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chi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phân khu)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thì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mi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nghĩa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tài chính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đai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đai.</w:t>
      </w:r>
    </w:p>
    <w:p w14:paraId="3928E14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6. Trình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kinh doanh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công,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khác có liên quan.</w:t>
      </w:r>
    </w:p>
    <w:p w14:paraId="7056E28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12. Chính sách phát tri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xã 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ngư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lao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trong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503CC29C" w14:textId="4B2DF45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 tư khu nhà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lưu trú và các công trình công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nhu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và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4602C0CD" w14:textId="4B6D123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Trong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vi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a phương,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nhân dân,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ban hành chính sách và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trí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 hút các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72AB420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lưu trú, nhà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công trình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lao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chuyên gia làm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áp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ưu đãi,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nhà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nhà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đai và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F11D4C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13. Chính sách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ho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nghiên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và phát tri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n, ươm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o, đào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o nhân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</w:t>
      </w:r>
    </w:p>
    <w:p w14:paraId="5A1D7B7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tiên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trí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 tư trong khu nông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i:</w:t>
      </w:r>
    </w:p>
    <w:p w14:paraId="38173B0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trong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6E408CD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Phòng thí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phân tích và các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dùng chung;</w:t>
      </w:r>
    </w:p>
    <w:p w14:paraId="3D67829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u;</w:t>
      </w:r>
    </w:p>
    <w:p w14:paraId="4709080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trong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p;</w:t>
      </w:r>
    </w:p>
    <w:p w14:paraId="40870C4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và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thông tin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và q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trong khu.</w:t>
      </w:r>
    </w:p>
    <w:p w14:paraId="17EFD28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ưu tiên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khai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các chương trình,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o; chương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tác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tác song phương, đa phương;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trong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p.</w:t>
      </w:r>
    </w:p>
    <w:p w14:paraId="666CFFE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khích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khai các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có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soát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mô hình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7EA21FD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khích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lãm,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đàn,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trình di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cung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xúc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xúc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2CACCD5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 Khuy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khích và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cho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c, cá nhân cung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đánh giá,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giá và giám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tư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trí tu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pháp lý, tài chính,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và các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khác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thúc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và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giao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7C4EE9E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14. 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nhà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tư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án xây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và kinh doanh k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7A705EE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kinh doanh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sau đây:</w:t>
      </w:r>
    </w:p>
    <w:p w14:paraId="43F63E1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a)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kinh doanh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kinh doanh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58B9587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b)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giao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cho thuê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cho phép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đích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đai;</w:t>
      </w:r>
    </w:p>
    <w:p w14:paraId="5983B21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Có năng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tài chính, năng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và kinh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kinh doanh,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khai thác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C53BC3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2.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theo hình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tiêu chí đánh giá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u, pháp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quan, các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này.</w:t>
      </w:r>
    </w:p>
    <w:p w14:paraId="2367D1F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15. Quy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và nghĩa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a nhà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tư trong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60ED9CC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ngoài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quan, còn có các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16A39DA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thuê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thuê nhà xư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văn phòng, kho bãi,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các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đích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khu;</w:t>
      </w:r>
    </w:p>
    <w:p w14:paraId="1DE343E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cơ quan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 và tuân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phòng, an ninh,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, an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toàn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an toàn sinh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an toàn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phòng cháy và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cháy, an toàn và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sinh lao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32B14FB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báo cáo, cung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thông tin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tình hình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74BBB9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Nhà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lo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hình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0F67FB0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a)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duy trì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các tiêu chí tương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trong su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quá trình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án;</w:t>
      </w:r>
    </w:p>
    <w:p w14:paraId="2316025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cam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tiêu,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tiêu chí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các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khác đã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ghi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tư.</w:t>
      </w:r>
    </w:p>
    <w:p w14:paraId="1E65032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thuê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t, thuê nhà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xư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văn phòng, kho bãi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các nghĩa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tài chính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2435A09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kinh doanh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cao, ngoài các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1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này, còn có các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nghĩa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sau đây:</w:t>
      </w:r>
    </w:p>
    <w:p w14:paraId="385EA30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khai thác,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hành, duy tu,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1A081F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Ký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 nhân có liên quan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hành, duy tu các công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5A7567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Thu các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đã ký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1FAE179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và các cơ quan liên quan trong thanh tra,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tra, giám sát, x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m;</w:t>
      </w:r>
    </w:p>
    <w:p w14:paraId="74CB99F9" w14:textId="25D0F9C5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</w:t>
      </w:r>
      <w:r w:rsidR="009D7479">
        <w:rPr>
          <w:rFonts w:ascii="Arial" w:hAnsi="Arial" w:cs="Arial"/>
          <w:color w:val="000000" w:themeColor="text1"/>
          <w:sz w:val="20"/>
          <w:szCs w:val="20"/>
        </w:rPr>
        <w:t xml:space="preserve"> xây dựng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thu hút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danh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thu hút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xúc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trong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1DEE669" w14:textId="77777777" w:rsidR="00420935" w:rsidRDefault="00227E4A" w:rsidP="00B80EB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e)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11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này,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thu hút các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 tư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tiêu chí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các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theo yêu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báo cáo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45A09132" w14:textId="77777777" w:rsidR="00B80EB8" w:rsidRPr="00C734AF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72913E07" w14:textId="77777777" w:rsidR="00B80EB8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 </w:t>
      </w:r>
    </w:p>
    <w:p w14:paraId="1F3A14DA" w14:textId="650B037A" w:rsidR="00420935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QU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73859608" w14:textId="77777777" w:rsidR="00B80EB8" w:rsidRPr="00C734AF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23EA658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16. Qu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lý ho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tư trong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08804BD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tuân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và các lo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hình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4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3CE9869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4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này,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trình và cam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các tiêu chí tương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65DC22E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3. Cơ quan có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xem xét, đánh giá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dung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tiêu chí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trong quá trình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9338A3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cam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và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duy trì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tiêu chí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5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và là căn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giám sát, đánh giá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thanh tra,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 và x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949ACA7" w14:textId="40B9A0A0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 Căn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ng, trình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ban hành Danh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thu hút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vào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7A71729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17. Qu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lý,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hành 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trong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6D46B2B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khai thác,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hành, duy tu,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do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 các công trì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bàn giao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các công trình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giao cho đơn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chuyên ngành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hành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C442EC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khai thác,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 hành, duy tu,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công trình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do mình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tư;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bàn giao cho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đơn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thông và các đơn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chuyên ngành khác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hành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tính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ng.</w:t>
      </w:r>
    </w:p>
    <w:p w14:paraId="6EC2E5E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Đơn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cung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thông và các đơn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chuyên ngành khác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khai thác,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hành, duy tu,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công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do mình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bàn giao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45FA9A7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hành, duy tu,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dư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m:</w:t>
      </w:r>
    </w:p>
    <w:p w14:paraId="3A03E4D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Tuân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(quy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chi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phân khu),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426F461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tính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an toàn, liên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trong khai thác,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ng;</w:t>
      </w:r>
    </w:p>
    <w:p w14:paraId="41E040A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c)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yêu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các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trong khu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531D739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Tuân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thoát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thông,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phòng cháy và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cháy, an ninh, an toàn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2BE8BD7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t trong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đúng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đích,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an toàn,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 thanh toán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các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chi phí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các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khác theo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1AB9C5B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6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. Giá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giá cho thuê công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nhà xư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văn phòng, kho bãi và các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pháp khác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xác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như sau:</w:t>
      </w:r>
    </w:p>
    <w:p w14:paraId="63E1DF01" w14:textId="2A2DCEA4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toàn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giá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t do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giá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giá;</w:t>
      </w:r>
    </w:p>
    <w:p w14:paraId="6B35230B" w14:textId="21F6CAD6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tham gia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tư nhân,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phương án giá, trình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giá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n. Giá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do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nhưng không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quá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giá đã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08E5C9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do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tư nhân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toàn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giá trên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bên thuê thông qua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giá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chuyên ngành;</w:t>
      </w:r>
    </w:p>
    <w:p w14:paraId="2083405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d) Kê khai, niêm 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công khai giá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giá.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tư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báo cáo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giá đã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theo dõi, giám sát theo Quy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khu.</w:t>
      </w:r>
    </w:p>
    <w:p w14:paraId="6646F1B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7.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theo dõi, giám sát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cung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công khai giá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các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thu khác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kinh doanh minh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ch,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trong khu.</w:t>
      </w:r>
    </w:p>
    <w:p w14:paraId="4AB4ADB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8.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hình thành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ngân sách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là tài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công;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này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tài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công.</w:t>
      </w:r>
    </w:p>
    <w:p w14:paraId="1079E97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18. Qu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lý b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môi trư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ng, lao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ng, an toàn và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sinh lao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ng, phòng cháy và ch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a cháy, an ninh tr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và các ho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khác trong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2FFEC18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phòng cháy, và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cháy,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an ninh,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an toàn giao thông và các công trình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khác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ch,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hành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,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mô,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và các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trong khu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t.</w:t>
      </w:r>
    </w:p>
    <w:p w14:paraId="5B53AB4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các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 nhân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trong khu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tuân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lao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an toàn và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sinh lao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phòng cháy và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cháy, an ninh,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an toàn giao thông, an toàn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an toàn sinh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các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khác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quan;</w:t>
      </w:r>
    </w:p>
    <w:p w14:paraId="33DE2B4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chuyên ngành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trong các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2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này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 nhân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6D2EA83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nh,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tra, thanh tra,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phép,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xác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dung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ng, lao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an toàn và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sinh lao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phòng cháy và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cháy, an ninh,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các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khác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chuyên ngành.</w:t>
      </w:r>
    </w:p>
    <w:p w14:paraId="31F74D7F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19. Trách nhi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m qu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khu nông n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7764D7FA" w14:textId="36CD5ADE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trong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vi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mình có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và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có các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72BE7FA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hành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chuyên ngành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lý;</w:t>
      </w:r>
    </w:p>
    <w:p w14:paraId="113481B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các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liên ngành phát sinh trong quá trình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26600A3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tra, giám sát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x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theo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cá nhân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vi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ngành,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4D73B7B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20. Quy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n, trách nhi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m qu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a B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 và Môi trư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khu nông n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6B5ADC7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là cơ quan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trì giúp Chính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trong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nh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này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17C9836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và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có các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28C3A22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trình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có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ban hành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ban hành theo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văn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quy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chương trình,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ch,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chính sách phát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743146F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217BD7B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c)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cơ quan liên quan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các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chính sách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và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ươm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270FF9B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theo dõi,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đánh giá tình hình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trên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vi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c;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ỳ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năm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xu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báo cáo Chính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Chính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2AEC116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tra, giám sát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n;</w:t>
      </w:r>
    </w:p>
    <w:p w14:paraId="3D64D5DE" w14:textId="17FA2B83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e)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trì,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, cơ quan liên quan và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lý,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606D6EA0" w14:textId="5FC75D1E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21. Trách nhi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m qu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a </w:t>
      </w:r>
      <w:r w:rsidR="00B80EB8">
        <w:rPr>
          <w:rFonts w:ascii="Arial" w:hAnsi="Arial" w:cs="Arial"/>
          <w:b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6139ED2E" w14:textId="4C800142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1.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trên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bàn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cao,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và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quan.</w:t>
      </w:r>
    </w:p>
    <w:p w14:paraId="064CDD9F" w14:textId="24BFFE52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2.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có các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sau đây:</w:t>
      </w:r>
    </w:p>
    <w:p w14:paraId="4DDEE36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a)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phê duy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ch,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án, chương trình,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7AC764B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b)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ban hành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chính sách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thu hút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nhân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nghiên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và thương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hóa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khai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các cơ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chính sách sau khi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ban hành;</w:t>
      </w:r>
    </w:p>
    <w:p w14:paraId="4E6FF9C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c)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khu nông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n;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các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trên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bàn;</w:t>
      </w:r>
    </w:p>
    <w:p w14:paraId="38CE28C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d)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trí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và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ặ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theo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t;</w:t>
      </w:r>
    </w:p>
    <w:p w14:paraId="57FF19D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đ)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án, trình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nhân dân cùng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i,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cơ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c; ban hành quy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cơ quan chuyên môn,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có trên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bàn;</w:t>
      </w:r>
    </w:p>
    <w:p w14:paraId="708EDB6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e)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cho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theo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m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nh,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;</w:t>
      </w:r>
    </w:p>
    <w:p w14:paraId="338465F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g) Ban hành danh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thu hút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tra, đôn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cao;</w:t>
      </w:r>
    </w:p>
    <w:p w14:paraId="7947D93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h)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tra, thanh tra, giám sát và x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lý vi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theo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546601A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22. Cơ quan qu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685B484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trên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bàn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theo các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này,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công,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khoa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c,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sáng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chuy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đai,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lao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có liên quan và theo phân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n; có vai trò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ỗ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các doanh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p, nhà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hành chính,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khai các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và tăng cư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tra, giám sát trong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nhà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c.</w:t>
      </w:r>
    </w:p>
    <w:p w14:paraId="10EFA980" w14:textId="3BEF08D3" w:rsidR="00420935" w:rsidRDefault="00227E4A" w:rsidP="00B80EB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năng,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cơ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cơ quan qu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lý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do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t. </w:t>
      </w:r>
    </w:p>
    <w:p w14:paraId="13F75016" w14:textId="77777777" w:rsidR="00B80EB8" w:rsidRPr="00C734AF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4E29D39" w14:textId="77777777" w:rsidR="00B80EB8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Chương VI </w:t>
      </w:r>
    </w:p>
    <w:p w14:paraId="55465CB4" w14:textId="755DA728" w:rsidR="00420935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KHO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THI HÀNH</w:t>
      </w:r>
    </w:p>
    <w:p w14:paraId="4425B355" w14:textId="77777777" w:rsidR="00B80EB8" w:rsidRPr="00C734AF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75F50FE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23. Quy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 chuy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ti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</w:t>
      </w:r>
    </w:p>
    <w:p w14:paraId="6EB2CD74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Các khu nông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đã hoàn thành các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pháp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thì không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thêm các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quy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ch,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tư,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ày.</w:t>
      </w:r>
    </w:p>
    <w:p w14:paraId="5C80C949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Các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trong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đã đư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phép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tư/Gi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tư/Quy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trương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tư/Gi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y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nh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đăng ký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thi hành thì khi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u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có liên quan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thì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i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53B6CFF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đã thành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thi hành thì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theo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m a và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b kho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3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27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2754CD1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24. 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thi hành</w:t>
      </w:r>
    </w:p>
    <w:p w14:paraId="7B4B973B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 có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thi hành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ừ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ngày 01 tháng 7 năm 2026.</w:t>
      </w:r>
    </w:p>
    <w:p w14:paraId="1DF5AA06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Bãi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ỏ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10/2024/NĐ-CP ngày 01 tháng 02 năm 2024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Chính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quy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khu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cao.</w:t>
      </w:r>
    </w:p>
    <w:p w14:paraId="748857C2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25.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</w:t>
      </w:r>
    </w:p>
    <w:p w14:paraId="2D9B946E" w14:textId="300FCA8D" w:rsidR="00420935" w:rsidRDefault="00227E4A" w:rsidP="00B80EB8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Các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ng,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cơ quan ngang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,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ch 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Ủy ban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nhân dân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nh, thành ph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trung ương và các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</w:t>
      </w:r>
      <w:r w:rsidR="00D04FCE">
        <w:rPr>
          <w:rFonts w:ascii="Arial" w:hAnsi="Arial" w:cs="Arial"/>
          <w:color w:val="000000" w:themeColor="text1"/>
          <w:sz w:val="20"/>
          <w:szCs w:val="20"/>
        </w:rPr>
        <w:t>,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cá nhân có liên quan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trách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thi hành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này.</w:t>
      </w:r>
    </w:p>
    <w:p w14:paraId="027089BF" w14:textId="77777777" w:rsidR="00B80EB8" w:rsidRPr="00C734AF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4513"/>
        <w:gridCol w:w="4513"/>
      </w:tblGrid>
      <w:tr w:rsidR="00420935" w:rsidRPr="00C734AF" w14:paraId="27D9E399" w14:textId="77777777" w:rsidTr="00B80EB8">
        <w:tc>
          <w:tcPr>
            <w:tcW w:w="2500" w:type="pct"/>
          </w:tcPr>
          <w:p w14:paraId="09C46ACE" w14:textId="54922A0C" w:rsidR="00420935" w:rsidRPr="00C734AF" w:rsidRDefault="00227E4A" w:rsidP="00B80EB8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A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Nơi nh</w:t>
            </w:r>
            <w:r w:rsidRPr="00C734A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ậ</w:t>
            </w:r>
            <w:r w:rsidRPr="00C734AF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n: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 Ban Bí thư Trung ương Đ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Th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ng, 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các Phó Th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tư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ng Chính ph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Các b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, cơ quan ngang b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HĐND, UBND các t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nh, thành ph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ự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c thu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c trung ương</w:t>
            </w:r>
            <w:r w:rsidR="00E457B5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Trung ương và các Ban c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a Đ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ả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ng;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T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ng Bí thư;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Ch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ch nư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i đ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ồ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ng Dân t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 và các 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a Qu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Văn phòng Qu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c 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Tòa án nhân dân t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Vi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 ki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m sát nhân dân t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i cao;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Ki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ể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m toán nhà nư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ớ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c;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t>Ủy ban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Trung ương M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ặ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t tr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 T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qu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ố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c Vi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t Nam;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Cơ quan trung ương c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ủ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a các t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ổ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c chính tr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ị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- xã 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i;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VPCP: BTCN, các PCN, Tr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ợ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lý TTg, các V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, C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c,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Công báo;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- Lưu: VT, NN (2).</w:t>
            </w:r>
          </w:p>
        </w:tc>
        <w:tc>
          <w:tcPr>
            <w:tcW w:w="2500" w:type="pct"/>
          </w:tcPr>
          <w:p w14:paraId="3CB28660" w14:textId="06D9C4E5" w:rsidR="00420935" w:rsidRPr="00C734AF" w:rsidRDefault="00227E4A" w:rsidP="002150C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TM. CHÍNH PH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KT. TH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="00B80EB8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PHÓ TH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Ủ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TƯ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Ớ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NG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H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ồ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Qu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ố</w:t>
            </w: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 Dũng</w:t>
            </w:r>
          </w:p>
        </w:tc>
      </w:tr>
    </w:tbl>
    <w:p w14:paraId="513D0D2E" w14:textId="77777777" w:rsidR="00B80EB8" w:rsidRDefault="00B80EB8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E2F87E3" w14:textId="77777777" w:rsidR="00B80EB8" w:rsidRDefault="00B80EB8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  <w:sectPr w:rsidR="00B80EB8" w:rsidSect="00B80EB8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CFD2C70" w14:textId="377CFE85" w:rsidR="00420935" w:rsidRPr="00B80EB8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80EB8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Ph</w:t>
      </w:r>
      <w:r w:rsidRPr="00B80EB8">
        <w:rPr>
          <w:rFonts w:ascii="Arial" w:hAnsi="Arial" w:cs="Arial"/>
          <w:b/>
          <w:bCs/>
          <w:color w:val="000000" w:themeColor="text1"/>
          <w:sz w:val="20"/>
          <w:szCs w:val="20"/>
        </w:rPr>
        <w:t>ụ</w:t>
      </w:r>
      <w:r w:rsidRPr="00B80EB8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l</w:t>
      </w:r>
      <w:r w:rsidRPr="00B80EB8">
        <w:rPr>
          <w:rFonts w:ascii="Arial" w:hAnsi="Arial" w:cs="Arial"/>
          <w:b/>
          <w:bCs/>
          <w:color w:val="000000" w:themeColor="text1"/>
          <w:sz w:val="20"/>
          <w:szCs w:val="20"/>
        </w:rPr>
        <w:t>ụ</w:t>
      </w:r>
      <w:r w:rsidRPr="00B80EB8">
        <w:rPr>
          <w:rFonts w:ascii="Arial" w:hAnsi="Arial" w:cs="Arial"/>
          <w:b/>
          <w:bCs/>
          <w:color w:val="000000" w:themeColor="text1"/>
          <w:sz w:val="20"/>
          <w:szCs w:val="20"/>
        </w:rPr>
        <w:t>c</w:t>
      </w:r>
    </w:p>
    <w:p w14:paraId="479EA5F2" w14:textId="77777777" w:rsidR="00420935" w:rsidRPr="00C734AF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CÁC BI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M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</w:t>
      </w:r>
    </w:p>
    <w:p w14:paraId="3B6262CA" w14:textId="29E6AA3D" w:rsidR="00420935" w:rsidRPr="00B80EB8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</w:pP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(Kèm theo Ngh</w:t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ị</w:t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 đ</w:t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ị</w:t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nh s</w:t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ố</w:t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 263/2026/NĐ-CP</w:t>
      </w:r>
      <w:r w:rsidR="00B80EB8"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br/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 xml:space="preserve">ngày 01 tháng </w:t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7 năm 2026 c</w:t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ủ</w:t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a Chính ph</w:t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ủ</w:t>
      </w:r>
      <w:r w:rsidRPr="00B80EB8">
        <w:rPr>
          <w:rFonts w:ascii="Arial" w:hAnsi="Arial" w:cs="Arial"/>
          <w:bCs/>
          <w:i/>
          <w:iCs/>
          <w:color w:val="000000" w:themeColor="text1"/>
          <w:sz w:val="20"/>
          <w:szCs w:val="20"/>
        </w:rPr>
        <w:t>)</w:t>
      </w:r>
    </w:p>
    <w:p w14:paraId="4874A418" w14:textId="77777777" w:rsidR="00420935" w:rsidRPr="00C734AF" w:rsidRDefault="00420935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270"/>
        <w:gridCol w:w="6746"/>
      </w:tblGrid>
      <w:tr w:rsidR="00420935" w:rsidRPr="00C734AF" w14:paraId="25140889" w14:textId="77777777" w:rsidTr="00B80EB8">
        <w:tc>
          <w:tcPr>
            <w:tcW w:w="1259" w:type="pct"/>
          </w:tcPr>
          <w:p w14:paraId="3DC7F5D9" w14:textId="77777777" w:rsidR="00420935" w:rsidRPr="00C734AF" w:rsidRDefault="00227E4A" w:rsidP="00B80EB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u 01: TT-NNCNC</w:t>
            </w:r>
          </w:p>
        </w:tc>
        <w:tc>
          <w:tcPr>
            <w:tcW w:w="3741" w:type="pct"/>
            <w:vAlign w:val="bottom"/>
          </w:tcPr>
          <w:p w14:paraId="3B2F6A76" w14:textId="77777777" w:rsidR="00420935" w:rsidRPr="00C734AF" w:rsidRDefault="00227E4A" w:rsidP="00B80EB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T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ờ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trình thành l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p, m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ng, đi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u ch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nh khu nông nghi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 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ng công ngh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cao</w:t>
            </w:r>
          </w:p>
        </w:tc>
      </w:tr>
      <w:tr w:rsidR="00420935" w:rsidRPr="00C734AF" w14:paraId="2778C342" w14:textId="77777777" w:rsidTr="00B80EB8">
        <w:tc>
          <w:tcPr>
            <w:tcW w:w="1259" w:type="pct"/>
          </w:tcPr>
          <w:p w14:paraId="0C98372E" w14:textId="77777777" w:rsidR="00420935" w:rsidRPr="00C734AF" w:rsidRDefault="00227E4A" w:rsidP="00B80EB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M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ẫ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u 02: ĐA-NNCNC</w:t>
            </w:r>
          </w:p>
        </w:tc>
        <w:tc>
          <w:tcPr>
            <w:tcW w:w="3741" w:type="pct"/>
            <w:vAlign w:val="center"/>
          </w:tcPr>
          <w:p w14:paraId="46899728" w14:textId="77777777" w:rsidR="00420935" w:rsidRPr="00C734AF" w:rsidRDefault="00227E4A" w:rsidP="00B80EB8">
            <w:pPr>
              <w:adjustRightInd w:val="0"/>
              <w:snapToGrid w:val="0"/>
              <w:spacing w:before="40" w:after="4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Đ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án thành l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ậ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p, m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ở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ộ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ng, đi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ề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u ch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ỉ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nh khu nông nghi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 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ứ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ng d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ụ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ng công ngh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>ệ</w:t>
            </w:r>
            <w:r w:rsidRPr="00C734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cao</w:t>
            </w:r>
          </w:p>
        </w:tc>
      </w:tr>
    </w:tbl>
    <w:p w14:paraId="7EE8F754" w14:textId="77777777" w:rsidR="00B80EB8" w:rsidRDefault="00B80EB8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62B549C" w14:textId="77777777" w:rsidR="00B80EB8" w:rsidRDefault="00B80EB8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B80EB8" w:rsidSect="00B80EB8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5EE779C4" w14:textId="0445A574" w:rsidR="00420935" w:rsidRPr="00C734AF" w:rsidRDefault="00227E4A" w:rsidP="00B80EB8">
      <w:pPr>
        <w:adjustRightInd w:val="0"/>
        <w:snapToGrid w:val="0"/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01: TT-NNCNC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21"/>
        <w:gridCol w:w="4905"/>
      </w:tblGrid>
      <w:tr w:rsidR="00B80EB8" w14:paraId="47E4F3A5" w14:textId="77777777" w:rsidTr="00B80EB8">
        <w:tc>
          <w:tcPr>
            <w:tcW w:w="2283" w:type="pct"/>
          </w:tcPr>
          <w:p w14:paraId="1CFF9F68" w14:textId="6779A912" w:rsidR="00B80EB8" w:rsidRPr="00B80EB8" w:rsidRDefault="00B80EB8" w:rsidP="00B80EB8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EB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TÊN CƠ QUAN, TỔ CHỨC (1)</w:t>
            </w:r>
            <w:r w:rsidRPr="00B80EB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B80EB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Số:.../TTr-...(2)...</w:t>
            </w:r>
          </w:p>
        </w:tc>
        <w:tc>
          <w:tcPr>
            <w:tcW w:w="2717" w:type="pct"/>
          </w:tcPr>
          <w:p w14:paraId="15931DA5" w14:textId="50B5C330" w:rsidR="00B80EB8" w:rsidRPr="00B80EB8" w:rsidRDefault="00B80EB8" w:rsidP="00B80EB8">
            <w:pPr>
              <w:adjustRightInd w:val="0"/>
              <w:snapToGri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80EB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CỘNG HÒA XÃ HỘI CHỦ NGHĨA VIỆT NAM</w:t>
            </w:r>
            <w:r w:rsidRPr="00B80EB8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Độc lập – Tự do – Hạnh phúc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80EB8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_______________________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80EB8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...(3)..., ngày ... tháng ... năm ...</w:t>
            </w:r>
          </w:p>
        </w:tc>
      </w:tr>
    </w:tbl>
    <w:p w14:paraId="4C978F2D" w14:textId="77777777" w:rsidR="00B80EB8" w:rsidRDefault="00B80EB8" w:rsidP="007E6785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C045C8A" w14:textId="77777777" w:rsidR="004F35F8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TRÌNH</w:t>
      </w:r>
    </w:p>
    <w:p w14:paraId="6A9C527B" w14:textId="1E5EE3DD" w:rsidR="00420935" w:rsidRPr="00C734AF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án thành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p/m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ng/đi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br/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ng công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1150AC1D" w14:textId="77777777" w:rsidR="00B80EB8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A153033" w14:textId="6F2E54E3" w:rsidR="00420935" w:rsidRDefault="00227E4A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Kính g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i: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................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(4)</w:t>
      </w:r>
      <w:r w:rsidR="00B80EB8">
        <w:rPr>
          <w:rFonts w:ascii="Arial" w:hAnsi="Arial" w:cs="Arial"/>
          <w:color w:val="000000" w:themeColor="text1"/>
          <w:sz w:val="20"/>
          <w:szCs w:val="20"/>
        </w:rPr>
        <w:t>.....................</w:t>
      </w:r>
    </w:p>
    <w:p w14:paraId="73C6A650" w14:textId="77777777" w:rsidR="00B80EB8" w:rsidRPr="00C734AF" w:rsidRDefault="00B80EB8" w:rsidP="00B80EB8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9E6BD23" w14:textId="48BC0889" w:rsidR="00420935" w:rsidRPr="00C734AF" w:rsidRDefault="004F35F8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I.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SỰ CẦN THIẾT THÀNH LẬP/MỞ RỘNG/ĐIỀU CHỈNH KHU NÔNG NGHIỆP ỨNG DỤNG CÔNG NGHỆ CAO</w:t>
      </w:r>
    </w:p>
    <w:p w14:paraId="53F2D2C9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chính tr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</w:p>
    <w:p w14:paraId="258D5884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pháp lý</w:t>
      </w:r>
    </w:p>
    <w:p w14:paraId="3A897E38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47BC0202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II. M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ĐÍCH THÀNH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P/M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NG/ĐI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NH KHU NÔNG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12A5F480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đích</w:t>
      </w:r>
    </w:p>
    <w:p w14:paraId="03A189F3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 Quan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</w:p>
    <w:p w14:paraId="6735F2A3" w14:textId="5585A772" w:rsidR="00420935" w:rsidRDefault="004F35F8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III.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QUÁ TRÌNH XÂY DỰNG ĐỀ ÁN</w:t>
      </w:r>
    </w:p>
    <w:p w14:paraId="539FAAC8" w14:textId="29F77C2C" w:rsidR="004F35F8" w:rsidRPr="00C734AF" w:rsidRDefault="004F35F8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...........</w:t>
      </w:r>
    </w:p>
    <w:p w14:paraId="1BAA3C5F" w14:textId="77777777" w:rsidR="00420935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IV.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I DUNG CHÍNH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51C1A683" w14:textId="0D1DE3A8" w:rsidR="004F35F8" w:rsidRPr="00C734AF" w:rsidRDefault="004F35F8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...........</w:t>
      </w:r>
    </w:p>
    <w:p w14:paraId="6CDAC43A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V.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XU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T, KI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1FA6DC5C" w14:textId="0019FB7C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Trên đây là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trình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  <w:r w:rsidR="004F35F8">
        <w:rPr>
          <w:rFonts w:ascii="Arial" w:hAnsi="Arial" w:cs="Arial"/>
          <w:color w:val="000000" w:themeColor="text1"/>
          <w:sz w:val="20"/>
          <w:szCs w:val="20"/>
        </w:rPr>
        <w:t>........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4F35F8">
        <w:rPr>
          <w:rFonts w:ascii="Arial" w:hAnsi="Arial" w:cs="Arial"/>
          <w:color w:val="000000" w:themeColor="text1"/>
          <w:sz w:val="20"/>
          <w:szCs w:val="20"/>
        </w:rPr>
        <w:t>...(1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)</w:t>
      </w:r>
      <w:r w:rsidR="004F35F8">
        <w:rPr>
          <w:rFonts w:ascii="Arial" w:hAnsi="Arial" w:cs="Arial"/>
          <w:color w:val="000000" w:themeColor="text1"/>
          <w:sz w:val="20"/>
          <w:szCs w:val="20"/>
        </w:rPr>
        <w:t>...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xin kính trình...(4)... xem xét,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nh.</w:t>
      </w:r>
    </w:p>
    <w:p w14:paraId="5F606F7D" w14:textId="77777777" w:rsidR="00420935" w:rsidRDefault="00227E4A" w:rsidP="002150C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(Xin g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ử</w:t>
      </w:r>
      <w:r w:rsidRPr="00C734AF">
        <w:rPr>
          <w:rFonts w:ascii="Arial" w:hAnsi="Arial" w:cs="Arial"/>
          <w:i/>
          <w:color w:val="000000" w:themeColor="text1"/>
          <w:sz w:val="20"/>
          <w:szCs w:val="20"/>
        </w:rPr>
        <w:t>i kèm theo:... (5)).</w:t>
      </w:r>
    </w:p>
    <w:p w14:paraId="67038431" w14:textId="77777777" w:rsidR="001819AD" w:rsidRDefault="001819AD" w:rsidP="002150C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8"/>
        <w:gridCol w:w="4768"/>
      </w:tblGrid>
      <w:tr w:rsidR="001819AD" w14:paraId="000FF189" w14:textId="77777777" w:rsidTr="002150CE">
        <w:tc>
          <w:tcPr>
            <w:tcW w:w="2359" w:type="pct"/>
          </w:tcPr>
          <w:p w14:paraId="096CE3B3" w14:textId="5468FDF9" w:rsidR="001819AD" w:rsidRDefault="001819AD" w:rsidP="002150CE">
            <w:pPr>
              <w:adjustRightInd w:val="0"/>
              <w:snapToGrid w:val="0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2150CE">
              <w:rPr>
                <w:rFonts w:ascii="Arial" w:hAnsi="Arial" w:cs="Arial"/>
                <w:b/>
                <w:bCs/>
                <w:i/>
                <w:color w:val="000000" w:themeColor="text1"/>
                <w:sz w:val="20"/>
                <w:szCs w:val="20"/>
              </w:rPr>
              <w:t>Nơi nhận: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  <w:t>- Như trên;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  <w:t>- ..................;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  <w:t>- ..................;</w:t>
            </w:r>
            <w:r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  <w:t>- Lưu: VT, ...(6).A.XX(8).</w:t>
            </w:r>
          </w:p>
        </w:tc>
        <w:tc>
          <w:tcPr>
            <w:tcW w:w="2641" w:type="pct"/>
          </w:tcPr>
          <w:p w14:paraId="31680EE3" w14:textId="52B8BA8B" w:rsidR="001819AD" w:rsidRDefault="001819AD" w:rsidP="002150CE">
            <w:pPr>
              <w:adjustRightInd w:val="0"/>
              <w:snapToGrid w:val="0"/>
              <w:jc w:val="center"/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</w:pPr>
            <w:r w:rsidRPr="00C734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QUYỀN HẠN, CHỨC VỤ CỦA NGƯỜI KÝ</w:t>
            </w:r>
            <w:r w:rsidR="002150C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2150CE" w:rsidRPr="002150C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(Chữ ký, dấu)</w:t>
            </w:r>
            <w:r w:rsidR="002150C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</w:r>
            <w:r w:rsidR="002150C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</w:r>
            <w:r w:rsidR="002150C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</w:r>
            <w:r w:rsidR="002150CE">
              <w:rPr>
                <w:rFonts w:ascii="Arial" w:hAnsi="Arial" w:cs="Arial"/>
                <w:iCs/>
                <w:color w:val="000000" w:themeColor="text1"/>
                <w:sz w:val="20"/>
                <w:szCs w:val="20"/>
              </w:rPr>
              <w:br/>
            </w:r>
            <w:r w:rsidR="002150CE" w:rsidRPr="002150CE">
              <w:rPr>
                <w:rFonts w:ascii="Arial" w:hAnsi="Arial" w:cs="Arial"/>
                <w:b/>
                <w:bCs/>
                <w:iCs/>
                <w:color w:val="000000" w:themeColor="text1"/>
                <w:sz w:val="20"/>
                <w:szCs w:val="20"/>
              </w:rPr>
              <w:t>Họ và tên</w:t>
            </w:r>
          </w:p>
        </w:tc>
      </w:tr>
    </w:tbl>
    <w:p w14:paraId="778C4DB2" w14:textId="77777777" w:rsidR="001819AD" w:rsidRPr="001819AD" w:rsidRDefault="001819AD" w:rsidP="001819AD">
      <w:pPr>
        <w:adjustRightInd w:val="0"/>
        <w:snapToGrid w:val="0"/>
        <w:spacing w:after="120" w:line="240" w:lineRule="auto"/>
        <w:jc w:val="center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818344C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i/>
          <w:color w:val="000000" w:themeColor="text1"/>
          <w:sz w:val="20"/>
          <w:szCs w:val="20"/>
        </w:rPr>
        <w:t>Ghi chú:</w:t>
      </w:r>
    </w:p>
    <w:p w14:paraId="039B3383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(1) Tên cơ quan,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trình văn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7413CB47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(2)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ắ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tên cơ quan,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trình văn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n.</w:t>
      </w:r>
    </w:p>
    <w:p w14:paraId="366A66D1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(3)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danh.</w:t>
      </w:r>
    </w:p>
    <w:p w14:paraId="2AF73BDD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(4) Tên cơ quan có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quy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xem xét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án.</w:t>
      </w:r>
    </w:p>
    <w:p w14:paraId="69C06240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(5) Các tài li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liên quan (n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có).</w:t>
      </w:r>
    </w:p>
    <w:p w14:paraId="148630B5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(6)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lưu.</w:t>
      </w:r>
    </w:p>
    <w:p w14:paraId="7B07421A" w14:textId="77777777" w:rsidR="00420935" w:rsidRPr="00C734AF" w:rsidRDefault="00227E4A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(7) Ký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ngư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so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b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phát hành (n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n).</w:t>
      </w:r>
    </w:p>
    <w:p w14:paraId="11A847DB" w14:textId="77777777" w:rsidR="002150CE" w:rsidRDefault="002150CE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D9555A" w14:textId="77777777" w:rsidR="002150CE" w:rsidRDefault="002150CE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  <w:sectPr w:rsidR="002150CE" w:rsidSect="00B80EB8">
          <w:pgSz w:w="11906" w:h="16838" w:code="9"/>
          <w:pgMar w:top="1440" w:right="1440" w:bottom="1440" w:left="1440" w:header="0" w:footer="0" w:gutter="0"/>
          <w:cols w:space="720"/>
          <w:docGrid w:linePitch="326"/>
        </w:sectPr>
      </w:pPr>
    </w:p>
    <w:p w14:paraId="607FE20B" w14:textId="13D947E8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right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M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ẫ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02: ĐA-NNCNC</w:t>
      </w:r>
    </w:p>
    <w:p w14:paraId="250FB0EA" w14:textId="77777777" w:rsidR="00420935" w:rsidRPr="00C734AF" w:rsidRDefault="00227E4A" w:rsidP="002150C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6602D094" w14:textId="77777777" w:rsidR="00420935" w:rsidRDefault="00227E4A" w:rsidP="002150C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Thành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p/m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r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ng/đi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ch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20C96741" w14:textId="713B2285" w:rsidR="002150CE" w:rsidRPr="002150CE" w:rsidRDefault="002150CE" w:rsidP="002150C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</w:pPr>
      <w:r w:rsidRPr="002150CE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</w:t>
      </w:r>
    </w:p>
    <w:p w14:paraId="12746A23" w14:textId="77777777" w:rsidR="002150CE" w:rsidRPr="00C734AF" w:rsidRDefault="002150CE" w:rsidP="002150C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508BA39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1: Căn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án Khu CNC</w:t>
      </w:r>
    </w:p>
    <w:p w14:paraId="0ADCEB3C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1.1. Căn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pháp lý</w:t>
      </w:r>
    </w:p>
    <w:p w14:paraId="58391E0F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1.2. Căn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ễ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2243074F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2: S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thi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thành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 Khu CNC</w:t>
      </w:r>
    </w:p>
    <w:p w14:paraId="007C1DB9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2.1. Vai trò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a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trong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và nâng cao năng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tranh</w:t>
      </w:r>
    </w:p>
    <w:p w14:paraId="1BD18DBF" w14:textId="47BEFEF5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2.2. Khái quát tình hình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  <w:r w:rsidR="002150C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nay</w:t>
      </w:r>
    </w:p>
    <w:p w14:paraId="51379018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2.3. Vai trò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và vùng trong vi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kinh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p</w:t>
      </w:r>
    </w:p>
    <w:p w14:paraId="5B9FD7A6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2.4.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t xây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</w:t>
      </w:r>
    </w:p>
    <w:p w14:paraId="1E20E541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2.5.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 và nhi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</w:p>
    <w:p w14:paraId="6F07C24E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3: Đánh giá các đi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hình thành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a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</w:t>
      </w:r>
    </w:p>
    <w:p w14:paraId="17B6266C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3.1. Các 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và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xây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ao</w:t>
      </w:r>
    </w:p>
    <w:p w14:paraId="41ECA8EB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3.2. Xu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n, cơ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và thách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và vùng...</w:t>
      </w:r>
    </w:p>
    <w:p w14:paraId="2F19153E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3.3. Nhu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ỉ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nh...</w:t>
      </w:r>
    </w:p>
    <w:p w14:paraId="7050A524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3.4. Đánh giá kh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năng đáp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các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hình thành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</w:t>
      </w:r>
    </w:p>
    <w:p w14:paraId="60DC4A11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3.5.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7E124EE8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n 4: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thành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 và phát tri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1F6A073B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4.1. Quan đi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m,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tiêu và mô hình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41A41A1B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4.2. Các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năng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y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 (l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ọ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các lĩnh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4F8A5613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4.3. Phương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n Khu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nông nghi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cao</w:t>
      </w:r>
    </w:p>
    <w:p w14:paraId="0914EFB2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5: Khái toán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m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tư và phương th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tư</w:t>
      </w:r>
    </w:p>
    <w:p w14:paraId="033C3C83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5.1. D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 và phương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u tư</w:t>
      </w:r>
    </w:p>
    <w:p w14:paraId="38EA0D96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5.2.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và phương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huy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0617FC7B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6: Phát tri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ngu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nhân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 ch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o Khu nông nghi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p 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d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công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cao</w:t>
      </w:r>
    </w:p>
    <w:p w14:paraId="613D9BA6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6.1. Chính sách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</w:t>
      </w:r>
    </w:p>
    <w:p w14:paraId="13892C83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6.2.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CNC</w:t>
      </w:r>
    </w:p>
    <w:p w14:paraId="107D6513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6.3.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o, phát tri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ngũ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ỹ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trong Khu CNC</w:t>
      </w:r>
    </w:p>
    <w:p w14:paraId="359B4852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6.4. Thu hút trí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cho Khu CNC</w:t>
      </w:r>
    </w:p>
    <w:p w14:paraId="21323108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6.5. Liên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lư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các cơ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ở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o trong 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và ngoài nư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ể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đào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o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cho Khu CNC</w:t>
      </w:r>
    </w:p>
    <w:p w14:paraId="1D8FBF13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6.6. M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s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pháp thu hút ngu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ồ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nhân l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cho Khu CNC</w:t>
      </w:r>
    </w:p>
    <w:p w14:paraId="2EA1F41A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7: Đánh giá tác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a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161E45C4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7.1. Tác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kinh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</w:p>
    <w:p w14:paraId="22672C26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7.2. Tác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xã 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</w:t>
      </w:r>
    </w:p>
    <w:p w14:paraId="6B156D44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lastRenderedPageBreak/>
        <w:t>7.3. Đánh giá tác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v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môi trư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ờ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</w:t>
      </w:r>
    </w:p>
    <w:p w14:paraId="300DC423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8: T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1B2A4510" w14:textId="3FC27C28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8.1.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nh hư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ớ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quy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và ho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ạ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ng c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ủ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a Khu CNC</w:t>
      </w:r>
    </w:p>
    <w:p w14:paraId="3FA84231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8.2. Các gi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ả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i pháp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3500214D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8.3. T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ổ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ch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ứ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án</w:t>
      </w:r>
    </w:p>
    <w:p w14:paraId="610A5618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8.4. Ti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đ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ộ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 xml:space="preserve"> th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ự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c hi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6495CFBA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ầ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9: K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t lu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và ki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n ngh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ị</w:t>
      </w:r>
    </w:p>
    <w:p w14:paraId="624EF9D2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9.1. K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t lu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ậ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</w:t>
      </w:r>
    </w:p>
    <w:p w14:paraId="0AD2D2AC" w14:textId="77777777" w:rsidR="00420935" w:rsidRPr="00C734AF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color w:val="000000" w:themeColor="text1"/>
          <w:sz w:val="20"/>
          <w:szCs w:val="20"/>
        </w:rPr>
        <w:t>9.2. Ki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ế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n ngh</w:t>
      </w:r>
      <w:r w:rsidRPr="00C734AF">
        <w:rPr>
          <w:rFonts w:ascii="Arial" w:hAnsi="Arial" w:cs="Arial"/>
          <w:color w:val="000000" w:themeColor="text1"/>
          <w:sz w:val="20"/>
          <w:szCs w:val="20"/>
        </w:rPr>
        <w:t>ị</w:t>
      </w:r>
    </w:p>
    <w:p w14:paraId="54E8BABE" w14:textId="77777777" w:rsidR="00420935" w:rsidRDefault="00227E4A" w:rsidP="002150C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Ph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l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ụ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c: Tài li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ệ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u kèm theo Đ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>ề</w:t>
      </w:r>
      <w:r w:rsidRPr="00C734AF">
        <w:rPr>
          <w:rFonts w:ascii="Arial" w:hAnsi="Arial" w:cs="Arial"/>
          <w:b/>
          <w:color w:val="000000" w:themeColor="text1"/>
          <w:sz w:val="20"/>
          <w:szCs w:val="20"/>
        </w:rPr>
        <w:t xml:space="preserve"> án</w:t>
      </w:r>
    </w:p>
    <w:p w14:paraId="2E74A060" w14:textId="77777777" w:rsidR="002150CE" w:rsidRPr="00C734AF" w:rsidRDefault="002150CE" w:rsidP="00C734AF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2150CE" w:rsidRPr="00C734AF" w:rsidSect="00B80EB8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7D3EE1" w14:textId="77777777" w:rsidR="00227E4A" w:rsidRDefault="00227E4A">
      <w:pPr>
        <w:spacing w:after="0" w:line="240" w:lineRule="auto"/>
      </w:pPr>
      <w:r>
        <w:separator/>
      </w:r>
    </w:p>
  </w:endnote>
  <w:endnote w:type="continuationSeparator" w:id="0">
    <w:p w14:paraId="074425C0" w14:textId="77777777" w:rsidR="00227E4A" w:rsidRDefault="00227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ADE57" w14:textId="77777777" w:rsidR="00227E4A" w:rsidRDefault="00227E4A">
      <w:pPr>
        <w:spacing w:after="0" w:line="240" w:lineRule="auto"/>
      </w:pPr>
      <w:r>
        <w:separator/>
      </w:r>
    </w:p>
  </w:footnote>
  <w:footnote w:type="continuationSeparator" w:id="0">
    <w:p w14:paraId="3EDF2980" w14:textId="77777777" w:rsidR="00227E4A" w:rsidRDefault="00227E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35"/>
    <w:rsid w:val="000724B1"/>
    <w:rsid w:val="000D3A66"/>
    <w:rsid w:val="001819AD"/>
    <w:rsid w:val="002150CE"/>
    <w:rsid w:val="00227E4A"/>
    <w:rsid w:val="002D0D40"/>
    <w:rsid w:val="00346DE0"/>
    <w:rsid w:val="00420935"/>
    <w:rsid w:val="0044339E"/>
    <w:rsid w:val="004F35F8"/>
    <w:rsid w:val="00795B59"/>
    <w:rsid w:val="007E6785"/>
    <w:rsid w:val="00814B50"/>
    <w:rsid w:val="008D4B7D"/>
    <w:rsid w:val="00980DC2"/>
    <w:rsid w:val="009D7479"/>
    <w:rsid w:val="00A845EE"/>
    <w:rsid w:val="00B80EB8"/>
    <w:rsid w:val="00C734AF"/>
    <w:rsid w:val="00CD2A34"/>
    <w:rsid w:val="00D04FCE"/>
    <w:rsid w:val="00D46208"/>
    <w:rsid w:val="00D627FF"/>
    <w:rsid w:val="00E457B5"/>
    <w:rsid w:val="00F171E3"/>
    <w:rsid w:val="00F309F2"/>
    <w:rsid w:val="00FE32A5"/>
    <w:rsid w:val="00FF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41410"/>
  <w15:docId w15:val="{E5438FB8-E5DD-46B6-8BC2-3A85AC4E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d-ID" w:eastAsia="id-ID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0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EB8"/>
  </w:style>
  <w:style w:type="paragraph" w:styleId="Footer">
    <w:name w:val="footer"/>
    <w:basedOn w:val="Normal"/>
    <w:link w:val="FooterChar"/>
    <w:uiPriority w:val="99"/>
    <w:unhideWhenUsed/>
    <w:rsid w:val="00B80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EB8"/>
  </w:style>
  <w:style w:type="table" w:styleId="TableGrid">
    <w:name w:val="Table Grid"/>
    <w:basedOn w:val="TableNormal"/>
    <w:uiPriority w:val="39"/>
    <w:rsid w:val="00B80E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0A820-419F-450D-B4C1-7FD92782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8578</Words>
  <Characters>48899</Characters>
  <Application>Microsoft Office Word</Application>
  <DocSecurity>0</DocSecurity>
  <Lines>407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Xuan Huy</cp:lastModifiedBy>
  <cp:revision>16</cp:revision>
  <dcterms:created xsi:type="dcterms:W3CDTF">2026-07-09T03:14:00Z</dcterms:created>
  <dcterms:modified xsi:type="dcterms:W3CDTF">2026-07-13T02:24:00Z</dcterms:modified>
</cp:coreProperties>
</file>