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367B36" w:rsidRPr="00367B36">
        <w:tc>
          <w:tcPr>
            <w:tcW w:w="1645" w:type="pct"/>
          </w:tcPr>
          <w:p w:rsidR="008C29F6" w:rsidRPr="00367B36" w:rsidRDefault="00491AF1" w:rsidP="00367B36">
            <w:pPr>
              <w:spacing w:after="0" w:line="240" w:lineRule="auto"/>
              <w:jc w:val="center"/>
              <w:rPr>
                <w:rFonts w:ascii="Arial" w:hAnsi="Arial" w:cs="Arial"/>
                <w:color w:val="000000" w:themeColor="text1"/>
                <w:sz w:val="20"/>
                <w:szCs w:val="20"/>
              </w:rPr>
            </w:pPr>
            <w:r w:rsidRPr="00367B36">
              <w:rPr>
                <w:rFonts w:ascii="Arial" w:hAnsi="Arial" w:cs="Arial"/>
                <w:b/>
                <w:color w:val="000000" w:themeColor="text1"/>
                <w:sz w:val="20"/>
                <w:szCs w:val="20"/>
              </w:rPr>
              <w:t>CHÍNH PHỦ</w:t>
            </w:r>
            <w:r w:rsidRPr="00367B36">
              <w:rPr>
                <w:rFonts w:ascii="Arial" w:hAnsi="Arial" w:cs="Arial"/>
                <w:color w:val="000000" w:themeColor="text1"/>
                <w:sz w:val="20"/>
                <w:szCs w:val="20"/>
              </w:rPr>
              <w:br/>
            </w:r>
            <w:r w:rsidRPr="00367B36">
              <w:rPr>
                <w:rFonts w:ascii="Arial" w:hAnsi="Arial" w:cs="Arial"/>
                <w:color w:val="000000" w:themeColor="text1"/>
                <w:sz w:val="20"/>
                <w:szCs w:val="20"/>
                <w:vertAlign w:val="superscript"/>
              </w:rPr>
              <w:t>_______</w:t>
            </w:r>
            <w:r w:rsidRPr="00367B36">
              <w:rPr>
                <w:rFonts w:ascii="Arial" w:hAnsi="Arial" w:cs="Arial"/>
                <w:color w:val="000000" w:themeColor="text1"/>
                <w:sz w:val="20"/>
                <w:szCs w:val="20"/>
              </w:rPr>
              <w:br/>
              <w:t>Số: 310/2025/NĐ-CP</w:t>
            </w:r>
          </w:p>
        </w:tc>
        <w:tc>
          <w:tcPr>
            <w:tcW w:w="3355" w:type="pct"/>
          </w:tcPr>
          <w:p w:rsidR="008C29F6" w:rsidRPr="00367B36" w:rsidRDefault="00491AF1" w:rsidP="00367B36">
            <w:pPr>
              <w:spacing w:after="0" w:line="240" w:lineRule="auto"/>
              <w:jc w:val="center"/>
              <w:rPr>
                <w:rFonts w:ascii="Arial" w:hAnsi="Arial" w:cs="Arial"/>
                <w:color w:val="000000" w:themeColor="text1"/>
                <w:sz w:val="20"/>
                <w:szCs w:val="20"/>
              </w:rPr>
            </w:pPr>
            <w:r w:rsidRPr="00367B36">
              <w:rPr>
                <w:rFonts w:ascii="Arial" w:hAnsi="Arial" w:cs="Arial"/>
                <w:b/>
                <w:color w:val="000000" w:themeColor="text1"/>
                <w:sz w:val="20"/>
                <w:szCs w:val="20"/>
              </w:rPr>
              <w:t>CỘNG HÒA XÃ HỘI CHỦ NGHĨA VIỆT NAM</w:t>
            </w:r>
            <w:r w:rsidRPr="00367B36">
              <w:rPr>
                <w:rFonts w:ascii="Arial" w:hAnsi="Arial" w:cs="Arial"/>
                <w:color w:val="000000" w:themeColor="text1"/>
                <w:sz w:val="20"/>
                <w:szCs w:val="20"/>
              </w:rPr>
              <w:br/>
            </w:r>
            <w:r w:rsidRPr="00367B36">
              <w:rPr>
                <w:rFonts w:ascii="Arial" w:hAnsi="Arial" w:cs="Arial"/>
                <w:b/>
                <w:color w:val="000000" w:themeColor="text1"/>
                <w:sz w:val="20"/>
                <w:szCs w:val="20"/>
              </w:rPr>
              <w:t>Độc lập – Tự do – Hạnh phúc</w:t>
            </w:r>
            <w:r w:rsidRPr="00367B36">
              <w:rPr>
                <w:rFonts w:ascii="Arial" w:hAnsi="Arial" w:cs="Arial"/>
                <w:color w:val="000000" w:themeColor="text1"/>
                <w:sz w:val="20"/>
                <w:szCs w:val="20"/>
              </w:rPr>
              <w:br/>
            </w:r>
            <w:r w:rsidRPr="00367B36">
              <w:rPr>
                <w:rFonts w:ascii="Arial" w:hAnsi="Arial" w:cs="Arial"/>
                <w:color w:val="000000" w:themeColor="text1"/>
                <w:sz w:val="20"/>
                <w:szCs w:val="20"/>
                <w:vertAlign w:val="superscript"/>
              </w:rPr>
              <w:t>_________________</w:t>
            </w:r>
            <w:r w:rsidRPr="00367B36">
              <w:rPr>
                <w:rFonts w:ascii="Arial" w:hAnsi="Arial" w:cs="Arial"/>
                <w:color w:val="000000" w:themeColor="text1"/>
                <w:sz w:val="20"/>
                <w:szCs w:val="20"/>
              </w:rPr>
              <w:br/>
            </w:r>
            <w:r w:rsidRPr="00367B36">
              <w:rPr>
                <w:rFonts w:ascii="Arial" w:hAnsi="Arial" w:cs="Arial"/>
                <w:i/>
                <w:color w:val="000000" w:themeColor="text1"/>
                <w:sz w:val="20"/>
                <w:szCs w:val="20"/>
              </w:rPr>
              <w:t>Hà Nội, ngày 02 tháng 12 năm 2025</w:t>
            </w:r>
          </w:p>
        </w:tc>
      </w:tr>
    </w:tbl>
    <w:p w:rsidR="00367B36" w:rsidRDefault="00367B36" w:rsidP="00367B36">
      <w:pPr>
        <w:spacing w:after="0" w:line="240" w:lineRule="auto"/>
        <w:jc w:val="center"/>
        <w:rPr>
          <w:rFonts w:ascii="Arial" w:hAnsi="Arial" w:cs="Arial"/>
          <w:b/>
          <w:color w:val="000000" w:themeColor="text1"/>
          <w:sz w:val="20"/>
          <w:szCs w:val="20"/>
        </w:rPr>
      </w:pPr>
    </w:p>
    <w:p w:rsidR="00367B36" w:rsidRDefault="00367B36" w:rsidP="00367B36">
      <w:pPr>
        <w:spacing w:after="0" w:line="240" w:lineRule="auto"/>
        <w:jc w:val="center"/>
        <w:rPr>
          <w:rFonts w:ascii="Arial" w:hAnsi="Arial" w:cs="Arial"/>
          <w:b/>
          <w:color w:val="000000" w:themeColor="text1"/>
          <w:sz w:val="20"/>
          <w:szCs w:val="20"/>
        </w:rPr>
      </w:pPr>
    </w:p>
    <w:p w:rsidR="008C29F6" w:rsidRPr="00367B36" w:rsidRDefault="00491AF1" w:rsidP="00367B36">
      <w:pPr>
        <w:spacing w:after="0" w:line="240" w:lineRule="auto"/>
        <w:jc w:val="center"/>
        <w:rPr>
          <w:rFonts w:ascii="Arial" w:hAnsi="Arial" w:cs="Arial"/>
          <w:b/>
          <w:color w:val="000000" w:themeColor="text1"/>
          <w:sz w:val="20"/>
          <w:szCs w:val="20"/>
        </w:rPr>
      </w:pPr>
      <w:r w:rsidRPr="00367B36">
        <w:rPr>
          <w:rFonts w:ascii="Arial" w:hAnsi="Arial" w:cs="Arial"/>
          <w:b/>
          <w:color w:val="000000" w:themeColor="text1"/>
          <w:sz w:val="20"/>
          <w:szCs w:val="20"/>
        </w:rPr>
        <w:t>NGHỊ ĐỊNH</w:t>
      </w:r>
    </w:p>
    <w:p w:rsidR="008C29F6" w:rsidRPr="00367B36" w:rsidRDefault="00491AF1" w:rsidP="00367B36">
      <w:pPr>
        <w:spacing w:after="0" w:line="240" w:lineRule="auto"/>
        <w:jc w:val="center"/>
        <w:rPr>
          <w:rFonts w:ascii="Arial" w:hAnsi="Arial" w:cs="Arial"/>
          <w:b/>
          <w:color w:val="000000" w:themeColor="text1"/>
          <w:sz w:val="20"/>
          <w:szCs w:val="20"/>
        </w:rPr>
      </w:pPr>
      <w:r w:rsidRPr="00367B36">
        <w:rPr>
          <w:rFonts w:ascii="Arial" w:hAnsi="Arial" w:cs="Arial"/>
          <w:b/>
          <w:color w:val="000000" w:themeColor="text1"/>
          <w:sz w:val="20"/>
          <w:szCs w:val="20"/>
        </w:rPr>
        <w:t>Sửa đổi, bổ sung một số điều của Nghị định số 125/2020/NĐ-CP</w:t>
      </w:r>
      <w:r w:rsidR="00367B36">
        <w:rPr>
          <w:rFonts w:ascii="Arial" w:hAnsi="Arial" w:cs="Arial"/>
          <w:b/>
          <w:color w:val="000000" w:themeColor="text1"/>
          <w:sz w:val="20"/>
          <w:szCs w:val="20"/>
        </w:rPr>
        <w:br/>
      </w:r>
      <w:r w:rsidRPr="00367B36">
        <w:rPr>
          <w:rFonts w:ascii="Arial" w:hAnsi="Arial" w:cs="Arial"/>
          <w:b/>
          <w:color w:val="000000" w:themeColor="text1"/>
          <w:sz w:val="20"/>
          <w:szCs w:val="20"/>
        </w:rPr>
        <w:t>ngày 19 tháng 10 năm 2020 của Chính phủ quy định xử phạt</w:t>
      </w:r>
      <w:r w:rsidR="00367B36">
        <w:rPr>
          <w:rFonts w:ascii="Arial" w:hAnsi="Arial" w:cs="Arial"/>
          <w:b/>
          <w:color w:val="000000" w:themeColor="text1"/>
          <w:sz w:val="20"/>
          <w:szCs w:val="20"/>
        </w:rPr>
        <w:br/>
      </w:r>
      <w:r w:rsidRPr="00367B36">
        <w:rPr>
          <w:rFonts w:ascii="Arial" w:hAnsi="Arial" w:cs="Arial"/>
          <w:b/>
          <w:color w:val="000000" w:themeColor="text1"/>
          <w:sz w:val="20"/>
          <w:szCs w:val="20"/>
        </w:rPr>
        <w:t>vi phạm hành chính về thuế, hóa đơn</w:t>
      </w:r>
    </w:p>
    <w:p w:rsidR="00367B36" w:rsidRPr="00367B36" w:rsidRDefault="00367B36" w:rsidP="00367B36">
      <w:pPr>
        <w:spacing w:after="0" w:line="240" w:lineRule="auto"/>
        <w:jc w:val="center"/>
        <w:rPr>
          <w:rFonts w:ascii="Arial" w:hAnsi="Arial" w:cs="Arial"/>
          <w:b/>
          <w:color w:val="000000" w:themeColor="text1"/>
          <w:sz w:val="20"/>
          <w:szCs w:val="20"/>
        </w:rPr>
      </w:pP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i/>
          <w:color w:val="000000" w:themeColor="text1"/>
          <w:sz w:val="20"/>
          <w:szCs w:val="20"/>
        </w:rPr>
        <w:t>Căn cứ Luật Tổ chức Chính phủ số 63/2025/QH15;</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i/>
          <w:color w:val="000000" w:themeColor="text1"/>
          <w:sz w:val="20"/>
          <w:szCs w:val="20"/>
        </w:rPr>
        <w:t>Căn cứ Luật Xử lý vi phạm hành chính số 15/2012/QH13 được sửa đổi, bổ sung bởi Luật số 54/2014/QH13, Luật số 18/2017/QH14, Luật số 67/2020/QH14, Luật số 09/2022/QH15, Luật số 11/2022/QH15, Luật số 56/2024/QH15 và Luật số 88/2025/QH15;</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i/>
          <w:color w:val="000000" w:themeColor="text1"/>
          <w:sz w:val="20"/>
          <w:szCs w:val="20"/>
        </w:rPr>
        <w:t>Căn cứ Luật Quản lý thuế số 38/2019/QH14 được sửa đổi, bổ sung bởi Luật số 56/2024/QH15;</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i/>
          <w:color w:val="000000" w:themeColor="text1"/>
          <w:sz w:val="20"/>
          <w:szCs w:val="20"/>
        </w:rPr>
        <w:t>Theo đề nghị của Bộ trưởng Bộ Tài chính;</w:t>
      </w:r>
    </w:p>
    <w:p w:rsidR="008C29F6" w:rsidRDefault="00491AF1" w:rsidP="004D6012">
      <w:pPr>
        <w:adjustRightInd w:val="0"/>
        <w:snapToGrid w:val="0"/>
        <w:spacing w:after="0" w:line="240" w:lineRule="auto"/>
        <w:ind w:firstLine="720"/>
        <w:jc w:val="both"/>
        <w:rPr>
          <w:rFonts w:ascii="Arial" w:hAnsi="Arial" w:cs="Arial"/>
          <w:i/>
          <w:color w:val="000000" w:themeColor="text1"/>
          <w:sz w:val="20"/>
          <w:szCs w:val="20"/>
        </w:rPr>
      </w:pPr>
      <w:r w:rsidRPr="00367B36">
        <w:rPr>
          <w:rFonts w:ascii="Arial" w:hAnsi="Arial" w:cs="Arial"/>
          <w:i/>
          <w:color w:val="000000" w:themeColor="text1"/>
          <w:sz w:val="20"/>
          <w:szCs w:val="20"/>
        </w:rPr>
        <w:t>Chính phủ ban hành Nghị định sửa đổi, bổ sung một số điều của Nghị định số 125/2020/NĐ-CP ngày 19 tháng 10 năm 2020 của Chính phủ quy định xử phạt vi phạm hành chính về thuế, hóa đơn.</w:t>
      </w:r>
    </w:p>
    <w:p w:rsidR="004D6012" w:rsidRPr="00367B36" w:rsidRDefault="004D6012" w:rsidP="004D6012">
      <w:pPr>
        <w:adjustRightInd w:val="0"/>
        <w:snapToGrid w:val="0"/>
        <w:spacing w:after="0" w:line="240" w:lineRule="auto"/>
        <w:ind w:firstLine="720"/>
        <w:jc w:val="both"/>
        <w:rPr>
          <w:rFonts w:ascii="Arial" w:hAnsi="Arial" w:cs="Arial"/>
          <w:color w:val="000000" w:themeColor="text1"/>
          <w:sz w:val="20"/>
          <w:szCs w:val="20"/>
        </w:rPr>
      </w:pP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b/>
          <w:color w:val="000000" w:themeColor="text1"/>
          <w:sz w:val="20"/>
          <w:szCs w:val="20"/>
        </w:rPr>
        <w:t>Điều 1. Sửa đổi, bổ sung một số điều của Nghị định số 125/2020/NĐ-CP ngày 19 tháng 10 năm 2020 của Chính phủ quy định xử phạt vi phạm hành chính về thuế,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 Sửa đổi, bổ sung khoản 1; bổ sung khoản 10 vào Điều 2 như sau:</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Sửa đổi, bổ sung khoản 1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1. Vi phạm hành chính về thuế là hành vi có lỗi do tổ chức, cá nhân thực hiện vi phạm quy định của pháp luật về quản lý thuế, pháp luật về thuế và các khoản thu khác thuộc ngân sách nhà nước do cơ quan quản lý thuế quản lý thu (tiền sử dụng đất; tiền thuê đất, thuê mặt nước; tiền cấp quyền khai thác khoáng sản; tiền cấp quyền khai thác tài nguyên nước; lợi nhuận sau thuế còn lại sau khi trích lập các quỹ của doanh nghiệp do Nhà nước nắm giữ 100% vốn điều lệ; cổ tức, lợi nhuận được chia cho phần vốn nhà nước đầu tư tại công ty cổ phần, công ty trách nhiệm hữu hạn hai thành viên trở lên; các khoản thu theo quy định pháp luật về quản lý và đầu tư vốn nhà nước tại doanh nghiệp) mà không phải là tội phạm và theo quy định của pháp luật phải bị xử phạt vi phạm hành chính.</w:t>
      </w:r>
      <w:r>
        <w:rPr>
          <w:rFonts w:ascii="Arial" w:hAnsi="Arial" w:cs="Arial"/>
          <w:color w:val="000000" w:themeColor="text1"/>
          <w:sz w:val="20"/>
          <w:szCs w:val="20"/>
        </w:rPr>
        <w:t>”</w:t>
      </w:r>
      <w:r w:rsidR="00491AF1"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Bổ sung khoản 10 vào sau khoản 9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10. Các trường hợp bất khả kháng bao gồm: thiên tai, thảm họa, dịch bệnh, hỏa hoạn, tai nạn bất ngờ, chiến tranh, bạo loạn, đình công hoặc sự kiện xảy ra một cách khách quan không thể lường trước được và người nộp thuế không thể khắc phục được mặc dù đã áp dụng mọi biện pháp cần thiết và khả năng cho phép.</w:t>
      </w:r>
      <w:r>
        <w:rPr>
          <w:rFonts w:ascii="Arial" w:hAnsi="Arial" w:cs="Arial"/>
          <w:color w:val="000000" w:themeColor="text1"/>
          <w:sz w:val="20"/>
          <w:szCs w:val="20"/>
        </w:rPr>
        <w:t>”</w:t>
      </w:r>
      <w:r w:rsidR="00491AF1"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2. Sửa đổi, bổ sung điểm a khoản 1 Điều 3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a) Người nộp thuế có hành vi vi phạm hành chính về thuế,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Trường hợp người nộp thuế ủy quyền cho tổ chức, cá nhân khác thực hiện các nghĩa vụ về thuế mà pháp luật về thuế, quản lý thuế quy định nghĩa vụ, trách nhiệm của bên được ủy quyền phải thực hiện thay người nộp thuế thì nếu bên được ủy quyền có hành vi vi phạm hành chính quy định tại Nghị định này thì tổ chức, cá nhân được ủy quyền bị xử phạt theo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Trường hợp theo quy định của pháp luật về thuế và quản lý thuế, tổ chức, cá nhân có nghĩa vụ đăng ký thuế, khai, nộp thuế thay người nộp thuế mà tổ chức, cá nhân đăng ký thuế, khai, nộp thuế thay có hành vi vi phạm hành chính quy định tại Nghị định này thì tổ chức, cá nhân đăng ký thuế, khai, nộp thuế thay bị xử phạt vi phạm hành chính về thuế theo quy định tại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Trường hợp theo quy định chống xói mòn cơ sở thuế toàn cầu, đơn vị hợp thành chịu trách nhiệm kê khai có nghĩa vụ đăng ký thuế, nộp hồ sơ khai thuế và nộp thuế thu nhập doanh nghiệp bổ sung, đơn vị hợp thành được Tập đoàn giao trách nhiệm gửi thông báo đơn vị hợp thành chịu trách nhiệm kê khai và danh sách các đơn vị hợp thành thuộc đối tượng áp dụng Nghị quyết số 107/2023/QH15 có hành vi vi phạm hành chính tại Nghị định này thì bị xử phạt theo quy định tại Nghị định này.</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lastRenderedPageBreak/>
        <w:t>3. Sửa đổi điểm a, b, c khoản 3; bổ sung điểm đ, e, g vào khoản 3 Điều 5 như sau:</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Sửa đổi điểm a, b, c khoản 3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a) Trường hợp cùng một ngày người nộp thuế khai sai một hoặc nhiều chỉ tiêu trên các hồ sơ thuế thì hành vi khai sai thuộc trường hợp xử phạt về thủ tục thuế chỉ bị xử phạt về một hành vi khai sai chỉ tiêu trên hồ sơ thuế có khung phạt tiền cao nhất trong số các hành vi đã thực hiện theo quy định tại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Trường hợp cùng một ngày người nộp thuế chậm nộp nhiều hồ sơ khai thuế của cùng một sắc thuế thì chỉ bị xử phạt về một hành vi chậm nộp hồ sơ khai thuế có khung phạt tiền cao nhất trong số các hành vi đã thực hiện theo quy định tại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Trường hợp trong số hồ sơ khai thuế chậm nộp có hồ sơ khai thuế chậm nộp thuộc trường hợp trốn thuế thì tách riêng để xử phạt về hành vi trốn thuế;</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Trường hợp cùng một ngày người nộp thuế chậm nộp nhiều thông báo, báo cáo cùng loại về hóa đơn thì người nộp thuế bị xử phạt về một hành vi chậm nộp thông báo, báo cáo về hóa đơn có khung phạt tiền cao nhất trong số các hành vi đã thực hiện quy định tại Nghị định này;</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Bổ sung điểm đ, e, g vào sau điểm d khoản 3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đ) Trường hợp người nộp thuế thực hiện nhiều hành vi lập hóa đơn không đúng thời điểm, các hành vi vi phạm còn trong thời hiệu xử phạt và bị xử phạt trong một vụ việc vi phạm hành chính thì chỉ bị xử phạt về một hành vi lập hóa đơn không đúng thời điểm có khung tiền phạt tương ứng với số lượng hóa đơn đã lập không đúng thời điểm theo quy định tại khoản 2 Điều 24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e) Trường hợp người nộp thuế thực hiện nhiều hành vi không lập hóa đơn, các hành vi vi phạm còn trong thời hiệu xử phạt và bị xử phạt trong một vụ việc vi phạm hành chính thì chỉ bị xử phạt về một hành vi không lập hóa đơn có khung tiền phạt tương ứng với số lượng hóa đơn đã lập không đúng thời điểm theo quy định tại khoản 3 Điều 24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g) Trường hợp người nộp thuế khai sai nhiều chỉ tiêu trên một hồ sơ thuế thuộc trường hợp bị xử phạt về thủ tục thuế thì chỉ bị xử phạt về một hành vi khai sai chỉ tiêu trên hồ sơ thuế có khung tiền phạt cao nhất trong số các hành vi đã thực hiện theo quy định tại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Trường hợp người nộp thuế khai sai nhiều chỉ tiêu trên một hồ sơ thuế vừa thuộc trường hợp bị xử phạt về thủ tục thuế, vừa thuộc trường hợp bị xử phạt theo Điều 16 hoặc Điều 17 Nghị định này thì chỉ bị xử phạt về một hành vi theo Điều 16 hoặc Điều 17 Nghị định này.</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4. Sửa đổi, bổ sung khoản 2 Điều 6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2. Vi phạm hành chính có quy mô lớn theo điể</w:t>
      </w:r>
      <w:r w:rsidR="00F13E75">
        <w:rPr>
          <w:rFonts w:ascii="Arial" w:hAnsi="Arial" w:cs="Arial"/>
          <w:color w:val="000000" w:themeColor="text1"/>
          <w:sz w:val="20"/>
          <w:szCs w:val="20"/>
        </w:rPr>
        <w:t>m l</w:t>
      </w:r>
      <w:r w:rsidR="00491AF1" w:rsidRPr="00367B36">
        <w:rPr>
          <w:rFonts w:ascii="Arial" w:hAnsi="Arial" w:cs="Arial"/>
          <w:color w:val="000000" w:themeColor="text1"/>
          <w:sz w:val="20"/>
          <w:szCs w:val="20"/>
        </w:rPr>
        <w:t xml:space="preserve"> khoản 1 Điều 10 Luật Xử lý vi phạm hành chính được xác định trong các trường hợp sau:</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Thực hiện một hành vi vi phạm hành chính về hóa đơn với số lượng từ 10 số hóa đơn trở lên đối với các hành vi quy định tại khoản 2 Điều 22, Điều 26 và Điều 27 của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 xml:space="preserve">b) Thực hiện một hành vi trốn thuế quy định tại Điều 17 của Nghị định này với số tiền thuế </w:t>
      </w:r>
      <w:r w:rsidR="003D5591">
        <w:rPr>
          <w:rFonts w:ascii="Arial" w:hAnsi="Arial" w:cs="Arial"/>
          <w:color w:val="000000" w:themeColor="text1"/>
          <w:sz w:val="20"/>
          <w:szCs w:val="20"/>
        </w:rPr>
        <w:t>trốn</w:t>
      </w:r>
      <w:r w:rsidRPr="00367B36">
        <w:rPr>
          <w:rFonts w:ascii="Arial" w:hAnsi="Arial" w:cs="Arial"/>
          <w:color w:val="000000" w:themeColor="text1"/>
          <w:sz w:val="20"/>
          <w:szCs w:val="20"/>
        </w:rPr>
        <w:t xml:space="preserve"> từ 100.000.000 đồng trở lên đối với các trường hợp chuyển hồ sơ vi phạm để xử phạt vi phạm hành chính theo quy định tại Điều 63 Luật Xử lý vi phạm hành chính.</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5. Sửa đổi, bổ sung điểm b khoản 1; sửa đổi, bổ sung điểm d, e khoản 3; sửa đổi, bổ sung điểm d khoản 4 Điều 7 như sau:</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Sửa đổi, bổ sung điểm b khoản 1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b) Phạt tiền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Mức phạt tiền tối đa đối với một hành vi vi phạm hành chính về thủ tục thuế và hóa đơn thực hiện theo quy định của pháp luật về xử lý vi phạm hành chính.</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Phạt 20% số tiền thuế thiếu hoặc số tiền thuế đã được miễn, giảm, hoàn cao hơn quy định đối với hành vi khai sai dẫn đến thiếu số tiền thuế phải nộp hoặc tăng số tiền thuế được miễn, giảm, hoàn.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Phạt từ 01 đến 03 lần số tiền thuế trốn đối với hành vi trốn thuế.</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Phạt tiền tương ứng với số tiền không trích vào tài khoản của ngân sách nhà nước đối với hành vi vi phạm theo quy định tại khoản 1 Điều 18 Nghị định này.</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Sửa đổi, bổ sung điểm d, e khoản 3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lastRenderedPageBreak/>
        <w:t>“</w:t>
      </w:r>
      <w:r w:rsidR="00491AF1" w:rsidRPr="00367B36">
        <w:rPr>
          <w:rFonts w:ascii="Arial" w:hAnsi="Arial" w:cs="Arial"/>
          <w:color w:val="000000" w:themeColor="text1"/>
          <w:sz w:val="20"/>
          <w:szCs w:val="20"/>
        </w:rPr>
        <w:t>d) Buộc nộp thông báo đơn vị hợp thành chịu trách nhiệm kê khai và danh sách các đơn vị hợp thành thuộc đối tượng áp dụng Nghị quyết số 107/2023/QH15.</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e) Buộc tiêu hủy hóa đơn.</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Sửa đổi, bổ sung điểm d khoản 4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d) Khi phạt tiền, mức phạt tiền cụ thể đối với một hành vi vi phạm thủ tục thuế, hóa đơn và hành vi tại Điều 19 Nghị định này là mức trung bình của khung phạt tiền được quy định đối với hành vi đó. Nếu có một tình tiết giảm nhẹ thì được giảm 10% mức tiền phạt trung bình của khung tiền phạt; nếu có một tình tiết tăng nặng thì được tính tăng 10% mức tiền phạt trung bình của khung tiền phạt. Trong trường hợp có từ 02 tình tiết giảm nhẹ trở lên, thì áp dụng mức tối thiểu của khung tiền phạt; nếu có từ 02 tình tiết tăng nặng trở lên, thì áp dụng mức tối đa của khung tiền phạt.</w:t>
      </w:r>
      <w:r>
        <w:rPr>
          <w:rFonts w:ascii="Arial" w:hAnsi="Arial" w:cs="Arial"/>
          <w:color w:val="000000" w:themeColor="text1"/>
          <w:sz w:val="20"/>
          <w:szCs w:val="20"/>
        </w:rPr>
        <w:t>”</w:t>
      </w:r>
      <w:r w:rsidR="00491AF1"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6. Sửa đổi, bổ sung điểm c, d khoản 1; sửa đổi, bổ sung điểm a, b khoản 2 Điều 8 như sau:</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Sửa đổi, bổ sung điểm c, d khoản 1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c) Hành vi vi phạm hành chính về hóa đơn đang được thực hiện là các hành vi quy định tại khoản 3 Điều 24; điểm b khoản 3 Điều 25; điểm b khoản 2 và điểm b khoản 3 Điều 27; điểm b khoản 5 Điều 29; điểm b khoản 3 Điều 30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d) Hành vi vi phạm hành chính về hóa đơn không thuộc trường hợp quy định tại điểm c khoản này là hành vi vi phạm hành chính đã kết thúc. Thời điểm chấm dứt hành vi vi phạm là ngày thực hiện hành vi vi phạm đó.</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Đối với hành vi mất, cháy, hỏng hóa đơn nếu không xác định được ngày mất, cháy, hỏng hóa đơn thì thời điểm chấm dứt hành vi vi phạm là ngày phát hiện hóa đơn bị mất, cháy, hỏng.</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Đối với hành vi vi phạm về thời hạn thông báo, báo cáo về hóa đơn quy định tại khoản 1, 2 và điểm a khoản 3 Điều 25; khoản 1, điểm a khoản 2, khoản 3, khoản 4 và điểm a khoản 5 Điều 29 Nghị định này thì thời điểm chấm dứt hành vi vi phạm là ngày người nộp thuế nộp thông báo, báo cáo về hóa đơn.</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Sửa đổi, bổ sung điểm a, b khoản 2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a) Thời hiệu xử phạt đối với hành vi vi phạm thủ tục thuế là 02 năm, kể từ ngày thực hiện hành vi vi phạm.</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Ngày thực hiện hành vi vi phạm hành chính về thủ tục thuế là ngày kế tiếp ngày kết thúc thời hạn phải thực hiện thủ tục về thuế theo quy định của pháp luật về quản lý thuế, trừ các trường hợp sau đây: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Đối với hành vi quy định tại khoản 1, điểm a, b khoản 2, khoản 3 và điểm a khoản 4 Điều 10; khoản 1, 2, 3, 4 và điểm a khoản 5 Điều 11; khoản 1, 2, 3 và điểm a, b khoản 4, khoản 5 Điều 13 Nghị định này, ngày thực hiện hành vi vi phạm để tính thời hiệu là ngày người nộp thuế thực hiện đăng ký thuế hoặc thông báo với cơ quan thuế hoặc nộp hồ sơ khai thuế.</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Đối với hành vi quy định tại điểm c, d khoản 2, điểm b khoản 4 Điều 10; điểm b khoản 5 Điều 11; điểm c, d khoản 4 Điều 13 Nghị định này là hành vi vi phạm hành chính về thuế đang được thực hiện, ngày thực hiện hành vi vi phạm để tính thời hiệu là ngày người có thẩm quyền thi hành công vụ phát hiện hành vi vi phạm.</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Thời hiệu xử phạt đối với hành vi trốn thuế chưa đến mức truy cứu trách nhiệm hình sự, hành vi khai sai dẫn đến thiếu số tiền thuế phải nộp hoặc tăng số tiền thuế được miễn, giảm, hoàn là 05 năm, kể từ ngày thực hiện hành vi vi phạm.</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Ngày thực hiện hành vi khai sai dẫn đến thiếu số tiền thuế phải nộp hoặc tăng số tiền thuế được miễn, giảm, hoàn hoặc hành vi trốn thuế (trừ hành vi tại điểm a khoản 1 Điều 17 Nghị định này) là ngày tiếp theo ngày cuối cùng của thời hạn nộp hồ sơ khai thuế của kỳ tính thuế mà người nộp thuế thực hiện khai thiếu thuế, trốn thuế hoặc ngày tiếp theo ngày cơ quan có thẩm quyền ra quyết định miễn thuế, giảm thuế, hoàn thuế.</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Đối với hành vi không nộp hồ sơ đăng ký thuế, không nộp hồ sơ khai thuế tại điểm a khoản 1 Điều 17 Nghị định này là hành vi vi phạm hành chính về thuế đang được thực hiện, ngày thực hiện hành vi vi phạm để tính thời hiệu là ngày người có thẩm quyền thi hành công vụ phát hiện hành vi vi phạm. Đối với hành vi nộp hồ sơ khai thuế sau 90 ngày quy định tại điểm a khoản 1 Điều 17 Nghị định này thì ngày thực hiện hành vi vi phạm để tính thời hiệu là ngày người nộp thuế nộp hồ sơ khai thuế.</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lastRenderedPageBreak/>
        <w:t>7. Sửa đổi, bổ sung khoản 3 Điều 9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3. Không xử phạt vi phạm hành chính về thuế đối với trường hợp khai sai, người nộp thuế đã khai bổ sung hồ sơ khai thuế theo quy định của pháp luật quản lý thuế và đã tự giác nộp đủ số tiền thuế phải nộp trước thời điểm cơ quan thuế công bố quyết định kiểm tra thuế, cơ quan có thẩm quyền khác công bố quyết định thanh tra, kiểm tra tại trụ sở người nộp thuế hoặc trước thời điểm cơ quan thuế phát hiện không qua kiểm tra thuế tại trụ sở của người nộp thuế hoặc trước khi cơ quan có thẩm quyền khác phát hiện.</w:t>
      </w:r>
      <w:r>
        <w:rPr>
          <w:rFonts w:ascii="Arial" w:hAnsi="Arial" w:cs="Arial"/>
          <w:color w:val="000000" w:themeColor="text1"/>
          <w:sz w:val="20"/>
          <w:szCs w:val="20"/>
        </w:rPr>
        <w:t>”</w:t>
      </w:r>
      <w:r w:rsidR="00491AF1"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8. Sửa đổi tên Điều 10; sửa đổi, bổ sung khoản 1; bổ sung điểm d vào khoản 2; bổ sung khoản 5 Điều 10 như sau:</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Sửa đổi tên Điều 10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w:t>
      </w:r>
      <w:r w:rsidR="00491AF1" w:rsidRPr="00367B36">
        <w:rPr>
          <w:rFonts w:ascii="Arial" w:hAnsi="Arial" w:cs="Arial"/>
          <w:b/>
          <w:color w:val="000000" w:themeColor="text1"/>
          <w:sz w:val="20"/>
          <w:szCs w:val="20"/>
        </w:rPr>
        <w:t>Điều 10. Xử phạt hành vi vi phạm về thời hạn đăng ký thuế; thông báo tạm ngừng hoạt động kinh doanh; thông báo tiếp tục kinh doanh trước thời hạn; thông báo đơn vị hợp thành chịu trách nhiệm kê khai và danh sách các đơn vị hợp thành thuộc đối tượng áp dụng Nghị quyết số 107/2023/QH15</w:t>
      </w:r>
      <w:r>
        <w:rPr>
          <w:rFonts w:ascii="Arial" w:hAnsi="Arial" w:cs="Arial"/>
          <w:b/>
          <w:color w:val="000000" w:themeColor="text1"/>
          <w:sz w:val="20"/>
          <w:szCs w:val="20"/>
        </w:rPr>
        <w:t>”</w:t>
      </w:r>
      <w:r w:rsidR="00491AF1" w:rsidRPr="00367B36">
        <w:rPr>
          <w:rFonts w:ascii="Arial" w:hAnsi="Arial" w:cs="Arial"/>
          <w:b/>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Sửa đổi, bổ sung khoản 1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1. Phạt cảnh cáo đối với một trong các hành vi sau đây: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Đăng ký thuế; thông báo tạm ngừng hoạt động kinh doanh; thông báo tiếp tục kinh doanh trước thời hạn đã thông báo quá thời hạn quy định từ 01 ngày đến 10 ngày và có tình tiết giảm nhẹ;</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Thông báo đơn vị hợp thành chịu trách nhiệm kê khai và danh sách các đơn vị hợp thành thuộc đối tượng áp dụng Nghị quyết số 107/2023/QH15 quá thời hạn quy định.</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Bổ sung điểm d vào sau điểm c khoản 2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d) Không thông báo đơn vị hợp thành chịu trách nhiệm kê khai và danh sách các đơn vị hợp thành thuộc đối tượng áp dụng Nghị quyết số 107/2023/QH15.</w:t>
      </w:r>
      <w:r>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d) Bổ sung khoản 5 vào sau khoản 4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5. Biện pháp khắc phục hậu quả: Buộc nộp thông báo đơn vị hợp thành chịu trách nhiệm kê khai và danh sách các đơn vị hợp thành thuộc đối tượng áp dụng Nghị quyết số 107/2023/QH15 đối với hành vi quy định tại điểm d khoản 2 Điều này.</w:t>
      </w:r>
      <w:r>
        <w:rPr>
          <w:rFonts w:ascii="Arial" w:hAnsi="Arial" w:cs="Arial"/>
          <w:color w:val="000000" w:themeColor="text1"/>
          <w:sz w:val="20"/>
          <w:szCs w:val="20"/>
        </w:rPr>
        <w:t>”</w:t>
      </w:r>
      <w:r w:rsidR="00491AF1"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9. Sửa đổi, bổ sung khoản 6 Điều 11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6. Quy định tại Điều này không áp dụng đối với trường hợp sau đây: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Cá nhân không kinh doanh đã được cấp mã số thuế thu nhập cá nhân chậm thay đổi thông tin theo thẻ căn cước, căn cước điện tử;</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Cơ quan chi trả thu nhập chậm thông báo thay đổi thông tin khi người nộp thuế thu nhập cá nhân là các cá nhân ủy quyền quyết toán thuế thu nhập cá nhân có thay đổi thông tin theo thẻ căn cước, căn cước điện tử;</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 xml:space="preserve">c) Không thông báo hoặc thông báo thay đổi thông tin trên hồ sơ đăng ký thuế về địa chỉ người nộp thuế quá thời hạn quy định do thay đổi địa giới hành chính theo Nghị quyết của </w:t>
      </w:r>
      <w:r w:rsidR="004D6012">
        <w:rPr>
          <w:rFonts w:ascii="Arial" w:hAnsi="Arial" w:cs="Arial"/>
          <w:color w:val="000000" w:themeColor="text1"/>
          <w:sz w:val="20"/>
          <w:szCs w:val="20"/>
        </w:rPr>
        <w:t>Ủy ban</w:t>
      </w:r>
      <w:r w:rsidRPr="00367B36">
        <w:rPr>
          <w:rFonts w:ascii="Arial" w:hAnsi="Arial" w:cs="Arial"/>
          <w:color w:val="000000" w:themeColor="text1"/>
          <w:sz w:val="20"/>
          <w:szCs w:val="20"/>
        </w:rPr>
        <w:t xml:space="preserve"> thường vụ Quốc hội hoặc Nghị quyết của Quốc hội.</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10. Sửa đổi, bổ sung khoản 5; sửa đổi điểm a khoản 6 Điều 13 như sau:</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Sửa đổi, bổ sung khoản 5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5. Phạt tiền từ 15.000.000 đồng đến 25.000.000 đồng đối với hành vi nộp hồ sơ khai thuế quá thời hạn trên 90 ngày kể từ ngày hết hạn nộp hồ sơ khai thuế, có phát sinh số thuế phải nộp và người nộp thuế đã nộp đủ số tiền thuế, tiền chậm nộp vào ngân sách nhà nước trước thời điểm cơ quan thuế công bố quyết định kiểm tra thuế, cơ quan có thẩm quyền khác công bố quyết định thanh tra, kiểm tra hoặc trước thời điểm cơ quan thuế lập biên bản về hành vi chậm nộp hồ sơ khai thuế.</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Trường hợp số tiền phạt nếu áp dụng theo khoản này lớn hơn số tiền thuế phát sinh trên hồ sơ khai thuế thì số tiền phạt tối đa đối với trường hợp này bằng số tiền thuế phát sinh phải nộp trên hồ sơ khai thuế hoặc tổng số tiền thuế phát sinh phải nộp trên các hồ sơ khai thuế thuộc trường hợp quy định tại điểm b khoản 3 Điều 5 Nghị định này nhưng không thấp hơn mức trung bình của khung phạt tiền quy định tại khoản 4 Điều này.</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lastRenderedPageBreak/>
        <w:t>b) Sửa đổi điểm a khoản 6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a) Buộc nộp đủ số tiền chậm nộp tiền thuế vào ngân sách nhà nước đối với hành vi vi phạm quy định tại các khoản 1, 2, 3 và khoản 4 Điều này trong trường hợp người nộp thuế chậm nộp hồ sơ khai thuế dẫn đến chậm nộp tiền thuế;</w:t>
      </w:r>
      <w:r>
        <w:rPr>
          <w:rFonts w:ascii="Arial" w:hAnsi="Arial" w:cs="Arial"/>
          <w:color w:val="000000" w:themeColor="text1"/>
          <w:sz w:val="20"/>
          <w:szCs w:val="20"/>
        </w:rPr>
        <w:t>”</w:t>
      </w:r>
      <w:r w:rsidR="00491AF1"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11. Sửa đổi điểm c khoản 1 Điều 16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c) Khai sai làm giảm số tiền thuế phải nộp hoặc tăng số tiền thuế được hoàn, số thuế được miễn, giảm đã bị cơ quan có thẩm quyền lập biên bản vi phạm hành chính xác định là hành vi trốn thuế nhưng người nộp thuế vi phạm hành chính lần đầu về hành vi trốn thuế, đã khai bổ sung và nộp đủ số tiền thuế vào ngân sách nhà nước trước thời điểm cơ quan có thẩm quyền ra quyết định xử phạt và cơ quan thuế đã lập biên bản ghi nhận để xác định là hành vi khai sai dẫn đến thiếu thuế;</w:t>
      </w:r>
      <w:r>
        <w:rPr>
          <w:rFonts w:ascii="Arial" w:hAnsi="Arial" w:cs="Arial"/>
          <w:color w:val="000000" w:themeColor="text1"/>
          <w:sz w:val="20"/>
          <w:szCs w:val="20"/>
        </w:rPr>
        <w:t>”</w:t>
      </w:r>
      <w:r w:rsidR="00491AF1"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12. Sửa đổi, bổ sung Điều 19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w:t>
      </w:r>
      <w:r w:rsidR="00491AF1" w:rsidRPr="00367B36">
        <w:rPr>
          <w:rFonts w:ascii="Arial" w:hAnsi="Arial" w:cs="Arial"/>
          <w:b/>
          <w:color w:val="000000" w:themeColor="text1"/>
          <w:sz w:val="20"/>
          <w:szCs w:val="20"/>
        </w:rPr>
        <w:t>Điều 19. Xử phạt vi phạm hành chính về thuế đối với tổ chức, cá nhân liên quan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 Phạt tiền từ 2.000.000 đồng đến 6.000.000 đồng đối với hành vi cung cấp thông tin, tài liệu liên quan đến xác định nghĩa vụ thuế, tài khoản của người nộp thuế theo quy định của pháp luật hoặc yêu cầu của cơ quan thuế quá thời hạn quy định từ 05 ngày trở lên.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2. Phạt tiền từ 6.000.000 đồng đến 10.000.000 đồng đối với một trong các hành vi sau đây: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Cung cấp không chính xác thông tin liên quan đến tài sản, quyền, nghĩa vụ về tài sản của người nộp thuế do mình nắm giữ; thông tin, tài liệu liên quan đến xác định nghĩa vụ thuế của người nộp thuế theo quy định của pháp luật hoặc theo yêu cầu của cơ quan thuế;</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Cung cấp không chính xác thông tin liên quan đến tài khoản của người nộp thuế tại tổ chức tín dụng, kho bạc nhà nước, chi nhánh ngân hàng nước ngoài theo quy định của pháp luật hoặc theo yêu cầu của cơ quan thuế;</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Cung cấp không chính xác thông tin liên quan đến tiền lương, tiền công hoặc thu nhập của người nộp thuế do mình nắm giữ theo quy định của pháp luật hoặc theo yêu cầu của cơ quan thuế.</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3. Phạt tiền từ 10.000.000 đồng đến 16.000.000 đồng đối với một trong các hành vi sau đây: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Không cung cấp thông tin liên quan đến tài sản, quyền, nghĩa vụ về tài sản của người nộp thuế do mình nắm giữ; thông tin, tài liệu liên quan đến xác định nghĩa vụ thuế của người nộp thuế theo quy định của pháp luật hoặc theo yêu cầu của cơ quan thuế;</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Không cung cấp thông tin liên quan đến tài khoản của người nộp thuế tại tổ chức tín dụng, kho bạc nhà nước, chi nhánh ngân hàng nước ngoài theo quy định của pháp luật hoặc theo yêu cầu của cơ quan thuế;</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Không cung cấp thông tin liên quan đến tiền lương, tiền công hoặc thu nhập của người nộp thuế do mình nắm giữ theo quy định của pháp luật hoặc theo yêu cầu của cơ quan thuế;</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d) Thông đồng, bao che người nộp thuế trốn thuế, không thực hiện quyết định cưỡng chế hành chính thuế, trừ hành vi không trích chuyển tiền từ tài khoản của người nộp thuế quy định tại Điều 18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4. Biện pháp khắc phục hậu quả: Buộc cung cấp thông tin đầy đủ, chính xác đối với hành vi quy định tại khoản 2 và điểm a, b, c khoản 3 Điều này.</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13. Sửa đổi khoản 2 Điều 22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2. Phạt tiền từ 20.000.000 đồng đến 50.000.000 đồng đối với hành vi cho, bán hóa đơn.</w:t>
      </w:r>
      <w:r>
        <w:rPr>
          <w:rFonts w:ascii="Arial" w:hAnsi="Arial" w:cs="Arial"/>
          <w:color w:val="000000" w:themeColor="text1"/>
          <w:sz w:val="20"/>
          <w:szCs w:val="20"/>
        </w:rPr>
        <w:t>”</w:t>
      </w:r>
      <w:r w:rsidR="00491AF1"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14. Sửa đổi, bổ sung khoản 2, khoản 3 và khoản 6 Điều 24 như sau:</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Sửa đổi, bổ sung khoản 2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2. Hành vi lập hóa đơn không đúng thời điểm theo quy định của pháp luật bị xử phạt như sau:</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Phạt cảnh cáo đối với hành vi lập hóa đơn không đúng thời điểm đối với các hàng hóa, dịch vụ dùng để khuyến mại, quảng cáo, hàng mẫu; hàng hóa, dịch vụ dùng để cho, biếu, tặng, trao đổi, trả thay lương cho người lao động và tiêu dùng nội bộ (trừ hàng hóa luân chuyển nội bộ để tiếp tục quá trình sản xuất); xuất hàng dưới các hình thức cho vay, cho mượn hoặc hoàn trả hàng hóa 01 số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lastRenderedPageBreak/>
        <w:t>b) Phạt tiền từ 500.000 đồng đến 1.500.000 đồng trong trường hợp lập hóa đơn không đúng thời điểm đối với các hàng hóa, dịch vụ dùng để khuyến mại, quảng cáo, hàng mẫu; hàng hóa, dịch vụ dùng để cho, biếu, tặng, trao đổi, trả thay lương cho người lao động và tiêu dùng nội bộ (trừ hàng hóa luân chuyển nội bộ để tiếp tục quá trình sản xuất); xuất hàng dưới các hình thức cho vay, cho mượn hoặc hoàn trả hàng hóa từ 02 số hóa đơn đến dưới 10 số hóa đơn và trường hợp lập hóa đơn không đúng thời điểm khi bán hàng hóa, cung cấp dịch vụ 01 số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Phạt tiền từ 2.000.000 đồng đến 5.000.000 đồng trong trường hợp lập hóa đơn không đúng thời điểm đối với các hàng hóa, dịch vụ dùng để khuyến mại, quảng cáo, hàng mẫu; hàng hóa, dịch vụ dùng để cho, biếu, tặng, trao đổi, trả thay lương cho người lao động và tiêu dùng nội bộ (trừ hàng hóa luân chuyển nội bộ để tiếp tục quá trình sản xuất); xuất hàng dưới các hình thức cho vay, cho mượn hoặc hoàn trả hàng hóa từ 10 số hóa đơn đến dưới 50 số hóa đơn và trường hợp lập hóa đơn không đúng thời điểm khi bán hàng hóa, cung cấp dịch vụ từ 02 số hóa đơn đến dưới 10 số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d) Phạt tiền từ 5.000.000 đồng đến 15.000.000 đồng trong trường hợp lập hóa đơn không đúng thời điểm đối với các hàng hóa, dịch vụ dùng để khuyến mại, quảng cáo, hàng mẫu; hàng hóa, dịch vụ dùng để cho, biếu, tặng, trao đổi, trả thay lương cho người lao động và tiêu dùng nội bộ (trừ hàng hóa luân chuyển nội bộ để tiếp tục quá trình sản xuất); xuất hàng dưới các hình thức cho vay, cho mượn hoặc hoàn trả hàng hóa từ 50 số hóa đơn đến dưới 100 số hóa đơn và trường hợp lập hóa đơn không đúng thời điểm khi bán hàng hóa, cung cấp dịch vụ từ 10 số hóa đơn đến dưới 20 số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đ) Phạt tiền từ 15.000.000 đồng đến 30.000.000 đồng trong trường hợp lập hóa đơn không đúng thời điểm đối với các hàng hóa, dịch vụ dùng để khuyến mại, quảng cáo, hàng mẫu; hàng hóa, dịch vụ dùng để cho, biếu, tặng, trao đổi, trả thay lương cho người lao động và tiêu dùng nội bộ (trừ hàng hóa luân chuyển nội bộ để tiếp tục quá trình sản xuất); xuất hàng dưới các hình thức cho vay, cho mượn hoặc hoàn trả hàng hóa từ 100 số hóa đơn trở lên và trường hợp lập hóa đơn không đúng thời điểm khi bán hàng hóa, cung cấp dịch vụ từ 20 số hóa đơn đến dưới 50 số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e) Phạt tiền từ 30.000.000 đồng đến 50.000.000 đồng trong trường hợp lập hóa đơn không đúng thời điểm khi bán hàng hóa, cung cấp dịch vụ từ 50 số hóa đơn đến dưới 100 số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g) Phạt tiền từ 50.000.000 đồng đến 70.000.000 đồng trong trường hợp lập hóa đơn không đúng thời điểm khi bán hàng hóa, cung cấp dịch vụ từ 100 số hóa đơn trở lên.</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Sửa đổi, bổ sung khoản 3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3. Hành vi không lập hóa đơn theo quy định bị xử phạt như sau:</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Phạt cảnh cáo đối với hành vi không lập hóa đơn đối với các hàng hóa, dịch vụ dùng để khuyến mại, quảng cáo, hàng mẫu; hàng hóa, dịch vụ dùng để cho, biếu, tặng, trao đổi, trả thay lương cho người lao động và tiêu dùng nội bộ (trừ hàng hóa luân chuyển nội bộ để tiếp tục quá trình sản xuất); xuất hàng dưới các hình thức cho vay, cho mượn hoặc hoàn trả hàng hóa 01 số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Phạt tiền từ 1.000.000 đồng đến 2.000.000 đồng trong trường hợp không</w:t>
      </w:r>
      <w:r w:rsidR="00F13E75">
        <w:rPr>
          <w:rFonts w:ascii="Arial" w:hAnsi="Arial" w:cs="Arial"/>
          <w:color w:val="000000" w:themeColor="text1"/>
          <w:sz w:val="20"/>
          <w:szCs w:val="20"/>
        </w:rPr>
        <w:t xml:space="preserve"> </w:t>
      </w:r>
      <w:r w:rsidRPr="00367B36">
        <w:rPr>
          <w:rFonts w:ascii="Arial" w:hAnsi="Arial" w:cs="Arial"/>
          <w:color w:val="000000" w:themeColor="text1"/>
          <w:sz w:val="20"/>
          <w:szCs w:val="20"/>
        </w:rPr>
        <w:t>lập hóa đơn đối với các hàng hóa, dịch vụ dùng để khuyến mại, quảng cáo, hàng mẫu; hàng hóa, dịch vụ dùng để cho, biếu, tặng, trao đổi, trả thay lương cho người lao động và tiêu dùng nội bộ (trừ hàng hóa luân chuyển nội bộ để tiếp tục quá trình sản xuất); xuất hàng dưới các hình thức cho vay, cho mượn hoặc hoàn trả hàng hóa từ 02 số hóa đơn đến dưới 10 số hóa đơn và trường hợp không lập hóa đơn khi bán hàng hóa, cung cấp dịch vụ theo quy định 01 số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Phạt tiền từ 2.000.000 đồng đến 10.000.000 đồng trong trường hợp không lập hóa đơn đối với các hàng hóa, dịch vụ dùng để khuyến mại, quảng cáo, hàng mẫu; hàng hóa, dịch vụ dùng để cho, biếu, tặng, trao đổi, trả thay lương cho người lao động và tiêu dùng nội bộ (trừ hàng hóa luân chuyển nội bộ để tiếp tục quá trình sản xuất); xuất hàng dưới các hình thức cho vay, cho mượn hoặc hoàn trả hàng hóa từ 10 số hóa đơn đến dưới 50 số hóa đơn và trường hợp không lập hóa đơn khi bán hàng hóa, cung cấp dịch vụ theo quy định từ 02 số hóa đơn đến dưới 10 số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d) Phạt tiền từ 10.000.000 đồng đến 30.000.000 đồng trong trường hợp không lập hóa đơn đối với các hàng hóa, dịch vụ dùng để khuyến mại, quảng cáo, hàng mẫu; hàng hóa, dịch vụ dùng để cho, biếu, tặng, trao đổi, trả thay lương cho người lao động và tiêu dùng nội bộ (trừ hàng hóa luân chuyển nội bộ để tiếp tục quá trình sản xuất); xuất hàng dưới các hình thức cho vay, cho mượn hoặc hoàn trả hàng hóa từ 50 số hóa đơn đến dưới 100 số hóa đơn và trường hợp không lập hóa đơn khi bán hàng hóa, cung cấp dịch vụ theo quy định từ 10 số hóa đơn đến dưới 20 số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 xml:space="preserve">đ) Phạt tiền từ 30.000.000 đồng đến 50.000.000 đồng trong trường hợp không lập hóa đơn đối với các hàng hóa, dịch vụ dùng để khuyến mại, quảng cáo, hàng mẫu; hàng hóa, dịch vụ dùng để cho, </w:t>
      </w:r>
      <w:r w:rsidRPr="00367B36">
        <w:rPr>
          <w:rFonts w:ascii="Arial" w:hAnsi="Arial" w:cs="Arial"/>
          <w:color w:val="000000" w:themeColor="text1"/>
          <w:sz w:val="20"/>
          <w:szCs w:val="20"/>
        </w:rPr>
        <w:lastRenderedPageBreak/>
        <w:t>biếu, tặng, trao đổi, trả thay lương cho người lao động và tiêu dùng nội bộ (trừ hàng hóa luân chuyển nội bộ để tiếp tục quá trình sản xuất); xuất hàng dưới các hình thức cho vay, cho mượn hoặc hoàn trả hàng hóa từ 100 số hóa đơn trở lên và trường hợp không lập hóa đơn khi bán hàng hóa, cung cấp dịch vụ theo quy định từ 20 số hóa đơn đến dưới 50 số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e) Phạt tiền từ 60.000.000 đồng đến 80.000.000 đồng trong trường hợp không lập hóa đơn khi bán hàng hóa, cung cấp dịch vụ theo quy định từ 50 số hóa đơn trở lên.</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Sửa đổi, bổ sung khoản 6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6. Biện pháp khắc phục hậu quả: Buộc lập hóa đơn theo quy định đối với hành vi quy định tại khoản 3, điểm d khoản 4 Điều này.</w:t>
      </w:r>
      <w:r>
        <w:rPr>
          <w:rFonts w:ascii="Arial" w:hAnsi="Arial" w:cs="Arial"/>
          <w:color w:val="000000" w:themeColor="text1"/>
          <w:sz w:val="20"/>
          <w:szCs w:val="20"/>
        </w:rPr>
        <w:t>”</w:t>
      </w:r>
      <w:r w:rsidR="00491AF1"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15. Sửa đổi tên Điều 25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w:t>
      </w:r>
      <w:r w:rsidR="00491AF1" w:rsidRPr="00367B36">
        <w:rPr>
          <w:rFonts w:ascii="Arial" w:hAnsi="Arial" w:cs="Arial"/>
          <w:b/>
          <w:color w:val="000000" w:themeColor="text1"/>
          <w:sz w:val="20"/>
          <w:szCs w:val="20"/>
        </w:rPr>
        <w:t>Điều 25. Xử phạt hành vi vi phạm quy định về khai báo mất, cháy, hỏng hóa đơn đã mua của cơ quan thuế nhưng chưa lập</w:t>
      </w:r>
      <w:r>
        <w:rPr>
          <w:rFonts w:ascii="Arial" w:hAnsi="Arial" w:cs="Arial"/>
          <w:b/>
          <w:color w:val="000000" w:themeColor="text1"/>
          <w:sz w:val="20"/>
          <w:szCs w:val="20"/>
        </w:rPr>
        <w:t>”</w:t>
      </w:r>
      <w:r w:rsidR="00491AF1" w:rsidRPr="00367B36">
        <w:rPr>
          <w:rFonts w:ascii="Arial" w:hAnsi="Arial" w:cs="Arial"/>
          <w:b/>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16. Sửa đổi điểm a khoản 3 Điều 26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a) Làm mất, cháy, hỏng hóa đơn mua của cơ quan thuế nhưng chưa lập;</w:t>
      </w:r>
      <w:r>
        <w:rPr>
          <w:rFonts w:ascii="Arial" w:hAnsi="Arial" w:cs="Arial"/>
          <w:color w:val="000000" w:themeColor="text1"/>
          <w:sz w:val="20"/>
          <w:szCs w:val="20"/>
        </w:rPr>
        <w:t>”</w:t>
      </w:r>
      <w:r w:rsidR="00491AF1"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17. Sửa đổi Điều 27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w:t>
      </w:r>
      <w:r w:rsidR="00491AF1" w:rsidRPr="00367B36">
        <w:rPr>
          <w:rFonts w:ascii="Arial" w:hAnsi="Arial" w:cs="Arial"/>
          <w:b/>
          <w:color w:val="000000" w:themeColor="text1"/>
          <w:sz w:val="20"/>
          <w:szCs w:val="20"/>
        </w:rPr>
        <w:t>Điều 27. Xử phạt hành vi vi phạm quy định về tiêu hủy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 Phạt cảnh cáo đối với hành vi tiêu hủy hóa đơn quá thời hạn từ 01 đến 05 ngày làm việc, kể từ ngày hết thời hạn phải tiêu hủy hóa đơn theo quy định mà có tình tiết giảm nhẹ.</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2. Phạt tiền từ 2.000.000 đồng đến 4.000.000 đồng đối với một trong các hành vi sau đây: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Tiêu hủy không đúng quy định hóa đơn đặt in mua của cơ quan thuế không tiếp tục sử dụng, không còn giá trị sử dụng theo thông báo của cơ quan thuế;</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Không tiêu hủy các hóa đơn đặt in mua của cơ quan thuế không tiếp tục sử dụng, không còn giá trị sử dụng theo thông báo của cơ quan thuế;</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Tiêu hủy hóa đơn quá thời hạn từ 01 ngày đến 10 ngày làm việc, kể từ ngày hết thời hạn phải tiêu hủy hóa đơn theo quy định, trừ trường hợp quy định tại khoản 1 Điều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3. Phạt tiền từ 4.000.000 đồng đến 8.000.000 đồng đối với một trong các hành vi sau đây: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Tiêu hủy hóa đơn quá thời hạn từ 11 ngày làm việc trở lên, kể từ ngày hết thời hạn phải tiêu hủy hóa đơn theo quy định;</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Không tiêu hủy hóa đơn theo quy định của pháp luật;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Tiêu hủy hóa đơn không đúng trình tự, thủ tục theo quy định của pháp luật;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d) Tiêu hủy hóa đơn không đúng các trường hợp phải tiêu hủy theo quy định.</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4. Biện pháp khắc phục hậu quả: Buộc tiêu hủy hóa đơn đối với hành vi quy định tại điểm b khoản 2, điểm b khoản 3 Điều này.</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18. Sửa đổi, bổ sung Điều 31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w:t>
      </w:r>
      <w:r w:rsidR="00491AF1" w:rsidRPr="00367B36">
        <w:rPr>
          <w:rFonts w:ascii="Arial" w:hAnsi="Arial" w:cs="Arial"/>
          <w:b/>
          <w:color w:val="000000" w:themeColor="text1"/>
          <w:sz w:val="20"/>
          <w:szCs w:val="20"/>
        </w:rPr>
        <w:t>Điều 31. Xử phạt hành vi vi phạm quy định về cung cấp dịch vụ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Phạt tiền từ 4.000.000 đồng đến 8.000.000 đồng đối với hành vi cung cấp giải pháp trong việc khởi tạo, kết nối nhận, truyền, nhận, lưu trữ, xử lý dữ liệu của hóa đơn điện tử không đảm bảo nguyên tắc theo quy định của pháp luật về hóa đơn.</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19. Sửa đổi, bổ sung khoản 1, khoản 3, khoản 4 và khoản 5 Điều 32 như sau:</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Sửa đổi, bổ sung khoản 1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1. Công chức Thuế đang thi hành công vụ có quyền: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Phạt cảnh cáo;</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Phạt tiền đến 20.000.000 đồng đối với các hành vi quy định tại Điều 10, 11, 12, khoản 1, 2, 3, 4 Điều 13, Điều 14, 15 và 19 Chương II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lastRenderedPageBreak/>
        <w:t xml:space="preserve">c) Phạt tiền đến 10.000.000 đồng đối với hành vi quy định tại điểm b </w:t>
      </w:r>
      <w:r w:rsidRPr="00367B36">
        <w:rPr>
          <w:rFonts w:ascii="Arial" w:hAnsi="Arial" w:cs="Arial"/>
          <w:color w:val="000000" w:themeColor="text1"/>
          <w:sz w:val="20"/>
          <w:szCs w:val="20"/>
          <w:vertAlign w:val="subscript"/>
        </w:rPr>
        <w:t xml:space="preserve">5 </w:t>
      </w:r>
      <w:r w:rsidRPr="00367B36">
        <w:rPr>
          <w:rFonts w:ascii="Arial" w:hAnsi="Arial" w:cs="Arial"/>
          <w:color w:val="000000" w:themeColor="text1"/>
          <w:sz w:val="20"/>
          <w:szCs w:val="20"/>
        </w:rPr>
        <w:t xml:space="preserve"> khoản 2, điểm b, c khoản 3, khoản 4 Điều 24, Điều 25, 26, 27, khoản 2, 3, 4 Điều 29, khoản 1, 2 Điều 30 và Điều 31 Chương III Nghị định này.</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Sửa đổi, bổ sung khoản 3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3. Trưởng Thuế cơ sở có quyền: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Phạt cảnh cáo;</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Phạt tiền đến 100.000.000 đồng đối với hành vi quy định tại Điều 10, 11, 12, 13, 14, 15 và 19 Chương II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Phạt tiền đối với hành vi quy định tại các Điều 16,</w:t>
      </w:r>
      <w:r w:rsidR="00306A98">
        <w:rPr>
          <w:rFonts w:ascii="Arial" w:hAnsi="Arial" w:cs="Arial"/>
          <w:color w:val="000000" w:themeColor="text1"/>
          <w:sz w:val="20"/>
          <w:szCs w:val="20"/>
        </w:rPr>
        <w:t xml:space="preserve"> </w:t>
      </w:r>
      <w:r w:rsidRPr="00367B36">
        <w:rPr>
          <w:rFonts w:ascii="Arial" w:hAnsi="Arial" w:cs="Arial"/>
          <w:color w:val="000000" w:themeColor="text1"/>
          <w:sz w:val="20"/>
          <w:szCs w:val="20"/>
        </w:rPr>
        <w:t>17 và 18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d) Phạt tiền đến 50.000.000 đồng đối với hành vi quy định tại Điều 22, điểm b, c, d, đ, e khoản 2, điểm b, c, d, đ khoản 3, khoản 4 Điều 24, Điều 25, 26, 27, 28, 29, 30 và 31 Chương III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đ) Áp dụng biện pháp khắc phục hậu quả quy định tại Nghị định này.</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Sửa đổi, bổ sung khoản 4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4. Chi cục trưởng Chi cục Thuế và Trưởng Thuế tỉnh, thành phố có quyền: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Phạt cảnh cáo;</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Phạt tiền đến 160.000.000 đồng đối với hành vi quy định tại các Điều</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10, 11, 12, 13, 14, 15 và 19 Chương II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Phạt tiền đối với hành vi quy định tại Điều 16, 17 và 18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d) Phạt tiền đến 80.000.000 đồng đối với hành vi quy định tại Chương III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đ) Áp dụng biện pháp khắc phục hậu quả quy định tại Nghị định này.</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d) Sửa đổi, bổ sung khoản 5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5. Cục trưởng Cục Thuế có quyền: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Phạt cảnh cáo;</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Phạt tiền đến 200.000.000 đồng đối với hành vi quy định tại Điều 10,</w:t>
      </w:r>
      <w:r w:rsidR="004D6012">
        <w:rPr>
          <w:rFonts w:ascii="Arial" w:hAnsi="Arial" w:cs="Arial"/>
          <w:color w:val="000000" w:themeColor="text1"/>
          <w:sz w:val="20"/>
          <w:szCs w:val="20"/>
        </w:rPr>
        <w:t xml:space="preserve"> </w:t>
      </w:r>
      <w:r w:rsidRPr="00367B36">
        <w:rPr>
          <w:rFonts w:ascii="Arial" w:hAnsi="Arial" w:cs="Arial"/>
          <w:color w:val="000000" w:themeColor="text1"/>
          <w:sz w:val="20"/>
          <w:szCs w:val="20"/>
        </w:rPr>
        <w:t>11, 12, 13, 14, 15 và 19 Chương II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Phạt tiền đối với hành vi quy định tại Điều 16,</w:t>
      </w:r>
      <w:r w:rsidR="00306A98">
        <w:rPr>
          <w:rFonts w:ascii="Arial" w:hAnsi="Arial" w:cs="Arial"/>
          <w:color w:val="000000" w:themeColor="text1"/>
          <w:sz w:val="20"/>
          <w:szCs w:val="20"/>
        </w:rPr>
        <w:t xml:space="preserve"> </w:t>
      </w:r>
      <w:r w:rsidRPr="00367B36">
        <w:rPr>
          <w:rFonts w:ascii="Arial" w:hAnsi="Arial" w:cs="Arial"/>
          <w:color w:val="000000" w:themeColor="text1"/>
          <w:sz w:val="20"/>
          <w:szCs w:val="20"/>
        </w:rPr>
        <w:t>17 và 18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d) Phạt tiền đến 100.000.000 đồng đối với hành vi quy định tại Chương III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đ) Áp dụng biện pháp khắc phục hậu quả quy định tại Nghị định này.</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20. Sửa đổi khoản 1 Điều 33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 xml:space="preserve">1. Chủ tịch </w:t>
      </w:r>
      <w:r>
        <w:rPr>
          <w:rFonts w:ascii="Arial" w:hAnsi="Arial" w:cs="Arial"/>
          <w:color w:val="000000" w:themeColor="text1"/>
          <w:sz w:val="20"/>
          <w:szCs w:val="20"/>
        </w:rPr>
        <w:t>Ủy ban</w:t>
      </w:r>
      <w:r w:rsidR="00491AF1" w:rsidRPr="00367B36">
        <w:rPr>
          <w:rFonts w:ascii="Arial" w:hAnsi="Arial" w:cs="Arial"/>
          <w:color w:val="000000" w:themeColor="text1"/>
          <w:sz w:val="20"/>
          <w:szCs w:val="20"/>
        </w:rPr>
        <w:t xml:space="preserve"> nhân dân cấp xã có quyền: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Phạt cảnh cáo;</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Phạt tiền đến 100.000.000 đồng đối với hành vi quy định tại Điều 10, 11, 12, 13, 14, 15 và 19 Chương II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 Phạt tiền đến 50.000.000 đồng đối với hành vi quy định tại Điều 22, điểm b, c, d, đ, e khoản 2, điểm b, c, d, đ khoản 3, khoản 4 Điều 24, Điều 25, 26, 27, 28, 29, 30 và 31 Chương III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d) Áp dụng biện pháp khắc phục hậu quả quy định tại Điều 10, 11, 12, 13, 14, 15, 19 Chương II và Chương III Nghị định này.</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21. Sửa đổi, bổ sung điểm b khoản 2 Điều 36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b) Lập biên bản vi phạm hành chính điện tử</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 xml:space="preserve">Trường hợp người nộp thuế chậm nộp hồ sơ đăng ký thuế, chậm thay đổi thông tin đăng ký thuế, chậm nộp hồ sơ khai thuế, hồ sơ khai quyết toán thuế, chậm nộp thông báo, báo cáo về hóa đơn bằng phương thức điện tử thì trong thời hạn 03 ngày làm việc kể từ ngày cơ quan thuế gửi thông báo </w:t>
      </w:r>
      <w:r w:rsidRPr="00367B36">
        <w:rPr>
          <w:rFonts w:ascii="Arial" w:hAnsi="Arial" w:cs="Arial"/>
          <w:color w:val="000000" w:themeColor="text1"/>
          <w:sz w:val="20"/>
          <w:szCs w:val="20"/>
        </w:rPr>
        <w:lastRenderedPageBreak/>
        <w:t>tiếp nhận hồ sơ đăng ký thuế, hồ sơ thay đổi thông tin đăng ký thuế điện tử hoặc thông báo chấp nhận hồ sơ khai thuế, quyết toán thuế điện tử, cơ quan thuế lập và gửi 01 biên bản vi phạm hành chính điện tử cho người nộp thuế qua cổng thông tin điện tử của cơ quan quản lý thuế, kể cả trường hợp người nộp thuế nộp nhiều hồ sơ thuế.</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Biên bản vi phạm hành chính điện tử được lập và gửi đáp ứng yêu cầu về giao dịch điện tử trong lĩnh vực thuế là cơ sở để cơ quan thuế ban hành quyết định xử phạt vi phạm hành chính.</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Biên bản vi phạm hành chính điện tử phải ghi rõ thời gian, địa điểm lập biên bản; thông tin về người lập biên bản; thông tin về cá nhân, tổ chức vi phạm; chữ ký số của người lập biên bản; thời gian, địa điểm thực hiện vi phạm; hành vi vi phạm hành chính; quyền và thời hạn giải trình về vi phạm hành chính của người vi phạm; cơ quan tiếp nhận giải trình.</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Cơ quan thuế có trách nhiệm xây dựng hệ thống công nghệ thông tin đáp ứng việc lập, gửi biên bản vi phạm hành chính điện tử và xử lý vi phạm hành chính trên môi trường điện tử theo quy định của pháp luật về xử lý vi phạm hành chính. Khi hệ thống công nghệ thông tin đáp ứng điều kiện lập, gửi biên bản vi phạm hành chính điện tử đối với các hành vi vi phạm về thủ tục thuế, hóa đơn khác thì thực hiện xử lý vi phạm hành chính trên môi trường điện tử theo quy định của pháp luật về xử lý vi phạm hành chính.</w:t>
      </w:r>
      <w:r w:rsidR="004D6012">
        <w:rPr>
          <w:rFonts w:ascii="Arial" w:hAnsi="Arial" w:cs="Arial"/>
          <w:color w:val="000000" w:themeColor="text1"/>
          <w:sz w:val="20"/>
          <w:szCs w:val="20"/>
        </w:rPr>
        <w:t>”</w:t>
      </w:r>
      <w:r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22. Sửa đổi, bổ sung khoản 1 Điều 37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1. Các trường hợp giải trình vi phạm hành chính về thuế,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a) Hành vi vi phạm hành chính về thuế, hóa đơn có mức tối đa của khung tiền phạt đối với hành vi đó từ 15.000.000 đồng trở lên đối với cá nhân, từ 30.000.000 đồng trở lên đối với tổ chức hoặc các trường hợp lập biên bản vi phạm hành chính điện tử;</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b) Hành vi vi phạm hành chính quy định tại Điều 16,</w:t>
      </w:r>
      <w:r w:rsidR="00306A98">
        <w:rPr>
          <w:rFonts w:ascii="Arial" w:hAnsi="Arial" w:cs="Arial"/>
          <w:color w:val="000000" w:themeColor="text1"/>
          <w:sz w:val="20"/>
          <w:szCs w:val="20"/>
        </w:rPr>
        <w:t xml:space="preserve"> </w:t>
      </w:r>
      <w:r w:rsidRPr="00367B36">
        <w:rPr>
          <w:rFonts w:ascii="Arial" w:hAnsi="Arial" w:cs="Arial"/>
          <w:color w:val="000000" w:themeColor="text1"/>
          <w:sz w:val="20"/>
          <w:szCs w:val="20"/>
        </w:rPr>
        <w:t>17 và 18 Nghị định này.</w:t>
      </w:r>
      <w:r w:rsidR="004D6012">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23. Sửa đổi, bổ sung điểm a khoản 2 Điều 41 như sau:</w:t>
      </w:r>
    </w:p>
    <w:p w:rsidR="008C29F6" w:rsidRPr="00367B36" w:rsidRDefault="004D6012" w:rsidP="00367B3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491AF1" w:rsidRPr="00367B36">
        <w:rPr>
          <w:rFonts w:ascii="Arial" w:hAnsi="Arial" w:cs="Arial"/>
          <w:color w:val="000000" w:themeColor="text1"/>
          <w:sz w:val="20"/>
          <w:szCs w:val="20"/>
        </w:rPr>
        <w:t>a) Cơ sở dữ liệu hộ tịch điện tử hoặc quyết định của tòa án tuyên bố một người là đã chết, mất tích (bản chính hoặc bản sao của văn bản giấy hoặc của văn bản điện tử theo quy định) đối với trường hợp cá nhân chết, mất tích;</w:t>
      </w:r>
      <w:r>
        <w:rPr>
          <w:rFonts w:ascii="Arial" w:hAnsi="Arial" w:cs="Arial"/>
          <w:color w:val="000000" w:themeColor="text1"/>
          <w:sz w:val="20"/>
          <w:szCs w:val="20"/>
        </w:rPr>
        <w:t>”</w:t>
      </w:r>
      <w:r w:rsidR="00491AF1" w:rsidRPr="00367B36">
        <w:rPr>
          <w:rFonts w:ascii="Arial" w:hAnsi="Arial" w:cs="Arial"/>
          <w:color w:val="000000" w:themeColor="text1"/>
          <w:sz w:val="20"/>
          <w:szCs w:val="20"/>
        </w:rPr>
        <w:t>.</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b/>
          <w:color w:val="000000" w:themeColor="text1"/>
          <w:sz w:val="20"/>
          <w:szCs w:val="20"/>
        </w:rPr>
        <w:t>Điều 2. Thay thế một số cụm từ; bãi bỏ một số điều, điểm, khoản thuộc điều, phụ lục của Nghị định số 125/2020/NĐ-CP ngày 19 tháng 10 năm 2020 quy định xử phạt vi phạm hành chính về thuế, hóa đơn</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 xml:space="preserve">1. Thay thế cụm từ </w:t>
      </w:r>
      <w:r w:rsidR="004D6012">
        <w:rPr>
          <w:rFonts w:ascii="Arial" w:hAnsi="Arial" w:cs="Arial"/>
          <w:color w:val="000000" w:themeColor="text1"/>
          <w:sz w:val="20"/>
          <w:szCs w:val="20"/>
        </w:rPr>
        <w:t>“</w:t>
      </w:r>
      <w:r w:rsidRPr="00367B36">
        <w:rPr>
          <w:rFonts w:ascii="Arial" w:hAnsi="Arial" w:cs="Arial"/>
          <w:color w:val="000000" w:themeColor="text1"/>
          <w:sz w:val="20"/>
          <w:szCs w:val="20"/>
        </w:rPr>
        <w:t>thanh tra thuế</w:t>
      </w:r>
      <w:r w:rsidR="004D6012">
        <w:rPr>
          <w:rFonts w:ascii="Arial" w:hAnsi="Arial" w:cs="Arial"/>
          <w:color w:val="000000" w:themeColor="text1"/>
          <w:sz w:val="20"/>
          <w:szCs w:val="20"/>
        </w:rPr>
        <w:t>”</w:t>
      </w:r>
      <w:r w:rsidRPr="00367B36">
        <w:rPr>
          <w:rFonts w:ascii="Arial" w:hAnsi="Arial" w:cs="Arial"/>
          <w:color w:val="000000" w:themeColor="text1"/>
          <w:sz w:val="20"/>
          <w:szCs w:val="20"/>
        </w:rPr>
        <w:t xml:space="preserve"> bằng cụm từ </w:t>
      </w:r>
      <w:r w:rsidR="004D6012">
        <w:rPr>
          <w:rFonts w:ascii="Arial" w:hAnsi="Arial" w:cs="Arial"/>
          <w:color w:val="000000" w:themeColor="text1"/>
          <w:sz w:val="20"/>
          <w:szCs w:val="20"/>
        </w:rPr>
        <w:t>“</w:t>
      </w:r>
      <w:r w:rsidRPr="00367B36">
        <w:rPr>
          <w:rFonts w:ascii="Arial" w:hAnsi="Arial" w:cs="Arial"/>
          <w:color w:val="000000" w:themeColor="text1"/>
          <w:sz w:val="20"/>
          <w:szCs w:val="20"/>
        </w:rPr>
        <w:t>thanh tra</w:t>
      </w:r>
      <w:r w:rsidR="004D6012">
        <w:rPr>
          <w:rFonts w:ascii="Arial" w:hAnsi="Arial" w:cs="Arial"/>
          <w:color w:val="000000" w:themeColor="text1"/>
          <w:sz w:val="20"/>
          <w:szCs w:val="20"/>
        </w:rPr>
        <w:t>”</w:t>
      </w:r>
      <w:r w:rsidRPr="00367B36">
        <w:rPr>
          <w:rFonts w:ascii="Arial" w:hAnsi="Arial" w:cs="Arial"/>
          <w:color w:val="000000" w:themeColor="text1"/>
          <w:sz w:val="20"/>
          <w:szCs w:val="20"/>
        </w:rPr>
        <w:t xml:space="preserve"> tại tên Điều 15; điể</w:t>
      </w:r>
      <w:r w:rsidR="00E84E9A">
        <w:rPr>
          <w:rFonts w:ascii="Arial" w:hAnsi="Arial" w:cs="Arial"/>
          <w:color w:val="000000" w:themeColor="text1"/>
          <w:sz w:val="20"/>
          <w:szCs w:val="20"/>
        </w:rPr>
        <w:t>m d</w:t>
      </w:r>
      <w:r w:rsidRPr="00367B36">
        <w:rPr>
          <w:rFonts w:ascii="Arial" w:hAnsi="Arial" w:cs="Arial"/>
          <w:color w:val="000000" w:themeColor="text1"/>
          <w:sz w:val="20"/>
          <w:szCs w:val="20"/>
        </w:rPr>
        <w:t>, đ khoản 1, điểm a khoản 2 Điều 15; điểm b khoản 2 Điều 29 và điểm a khoản 2 Điều 36 của Nghị định 125/2020/NĐ-CP.</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2. Bãi bỏ khoản 2 Điều 7; điểm b khoản 1 Điều 16; Điều 20; Điều 21; khoản 1, điểm a khoản 3 Điều 22; Điều 23; điểm a khoản 1, điểm a khoản 4, khoản 5 Điều 24; khoản 2 Điều 28; khoản 2 Điều 32; điểm d khoản 2 Điều 33; Điều 34 và khoản 2 Điều 35 của Nghị định số 125/2020/NĐ-CP.</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3. Bãi bỏ các mẫu biên bản và mẫu quyết định trừ mẫu biên bản 01A/BB tại Phụ lục một số biểu mẫu sử dụng trong xử phạt vi phạm hành chính về thuế, hóa đơn ban hành kèm theo Nghị định số 125/2020/NĐ-CP. Mẫu biên bản và mẫu quyết định sử dụng trong xử phạt vi phạm hành chính trong lĩnh vực thuế, hóa đơn thực hiện theo quy định của Nghị định quy định chi tiết một số điều và biện pháp thi hành Luật Xử lý vi phạm hành chính. Tại biên bản vi phạm hành chính, quyết định xử phạt vi phạm hành chính trong lĩnh vực thuế, hóa đơn người có thẩm quyền xử phạt bổ sung thông tin mã số thuế của người nộp thuế vi phạm và thể hiện đầy đủ nội dung các biện pháp khắc phục hậu quả được áp dụng.</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b/>
          <w:color w:val="000000" w:themeColor="text1"/>
          <w:sz w:val="20"/>
          <w:szCs w:val="20"/>
        </w:rPr>
        <w:t>Điều 3. Điều khoản chuyển tiếp</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 Trường hợp hành vi vi phạm hành chính về thuế, hóa đơn đã kết thúc trước ngày Nghị định này có hiệu lực thì áp dụng quy định tại văn bản quy phạm pháp luật về xử phạt vi phạm hành chính về thuế, hóa đơn có hiệu lực tại thời điểm thực hiện hành vi vi phạm đó.</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2. Trường hợp hành vi vi phạm hành chính về thuế, hóa đơn đang được thực hiện trước ngày Nghị định này có hiệu lực và hành vi vi phạm hành chính đó được phát hiện sau ngày Nghị định này có hiệu lực thì áp dụng quy định tại Nghị định này.</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lastRenderedPageBreak/>
        <w:t>3. Đối với các hành vi vi phạm hành chính về thuế, hóa đơn đã bị xử phạt trước ngày Nghị định này có hiệu lực mà cá nhân, tổ chức còn khiếu nại, khởi kiện thì được giải quyết theo quy định của pháp luật xử phạt vi phạm hành chính về thuế và hóa đơn và các quy định pháp luật liên quan có hiệu lực tại thời điểm thực hiện hành vi vi phạm.</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b/>
          <w:color w:val="000000" w:themeColor="text1"/>
          <w:sz w:val="20"/>
          <w:szCs w:val="20"/>
        </w:rPr>
        <w:t>Điều 4. Hiệu lực và trách nhiệm thi hành</w:t>
      </w:r>
    </w:p>
    <w:p w:rsidR="008C29F6" w:rsidRPr="00367B36" w:rsidRDefault="00491AF1" w:rsidP="00367B36">
      <w:pPr>
        <w:adjustRightInd w:val="0"/>
        <w:snapToGrid w:val="0"/>
        <w:spacing w:after="12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1. Nghị định này có hiệu lực thi hành từ ngày 16 tháng 01 năm 2026.</w:t>
      </w:r>
    </w:p>
    <w:p w:rsidR="008C29F6" w:rsidRDefault="00491AF1" w:rsidP="00367B36">
      <w:pPr>
        <w:adjustRightInd w:val="0"/>
        <w:snapToGrid w:val="0"/>
        <w:spacing w:after="0" w:line="240" w:lineRule="auto"/>
        <w:ind w:firstLine="720"/>
        <w:jc w:val="both"/>
        <w:rPr>
          <w:rFonts w:ascii="Arial" w:hAnsi="Arial" w:cs="Arial"/>
          <w:color w:val="000000" w:themeColor="text1"/>
          <w:sz w:val="20"/>
          <w:szCs w:val="20"/>
        </w:rPr>
      </w:pPr>
      <w:r w:rsidRPr="00367B36">
        <w:rPr>
          <w:rFonts w:ascii="Arial" w:hAnsi="Arial" w:cs="Arial"/>
          <w:color w:val="000000" w:themeColor="text1"/>
          <w:sz w:val="20"/>
          <w:szCs w:val="20"/>
        </w:rPr>
        <w:t xml:space="preserve">2. Các Bộ trưởng, Thủ trưởng cơ quan ngang bộ, Thủ trưởng cơ quan thuộc Chính phủ, Chủ tịch </w:t>
      </w:r>
      <w:r w:rsidR="004D6012">
        <w:rPr>
          <w:rFonts w:ascii="Arial" w:hAnsi="Arial" w:cs="Arial"/>
          <w:color w:val="000000" w:themeColor="text1"/>
          <w:sz w:val="20"/>
          <w:szCs w:val="20"/>
        </w:rPr>
        <w:t>Ủy ban</w:t>
      </w:r>
      <w:r w:rsidRPr="00367B36">
        <w:rPr>
          <w:rFonts w:ascii="Arial" w:hAnsi="Arial" w:cs="Arial"/>
          <w:color w:val="000000" w:themeColor="text1"/>
          <w:sz w:val="20"/>
          <w:szCs w:val="20"/>
        </w:rPr>
        <w:t xml:space="preserve"> nhân dân tỉnh, thành phố trực thuộc trung ương và các tổ chức, cá nhân có liên quan chịu trách nhiệm thi hành Nghị định này.</w:t>
      </w:r>
    </w:p>
    <w:p w:rsidR="00367B36" w:rsidRPr="00367B36" w:rsidRDefault="00367B36" w:rsidP="00367B36">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5093"/>
        <w:gridCol w:w="3934"/>
      </w:tblGrid>
      <w:tr w:rsidR="00367B36" w:rsidRPr="00367B36" w:rsidTr="00367B36">
        <w:tc>
          <w:tcPr>
            <w:tcW w:w="2821" w:type="pct"/>
          </w:tcPr>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b/>
                <w:i/>
                <w:color w:val="000000" w:themeColor="text1"/>
                <w:sz w:val="20"/>
                <w:szCs w:val="20"/>
              </w:rPr>
              <w:t>Nơi nhận:</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Ban Bí thư Trung ương Đảng;</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Thủ tướng, các Phó Thủ tướng Chính phủ;</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Các bộ, cơ quan ngang bộ, cơ quan thuộc Chính phủ;</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HĐND, UBND các tỉnh, thành phố trực thuộc trung ương;</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Văn phòng Trung ương và các Ban của Đảng;</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Văn phòng Tổng Bí thư;</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Văn phòng Chủ tịch nước;</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xml:space="preserve">- Hội đồng Dân tộc và các </w:t>
            </w:r>
            <w:r w:rsidR="004D6012">
              <w:rPr>
                <w:rFonts w:ascii="Arial" w:hAnsi="Arial" w:cs="Arial"/>
                <w:color w:val="000000" w:themeColor="text1"/>
                <w:sz w:val="20"/>
                <w:szCs w:val="20"/>
              </w:rPr>
              <w:t>Ủy ban</w:t>
            </w:r>
            <w:r w:rsidRPr="00367B36">
              <w:rPr>
                <w:rFonts w:ascii="Arial" w:hAnsi="Arial" w:cs="Arial"/>
                <w:color w:val="000000" w:themeColor="text1"/>
                <w:sz w:val="20"/>
                <w:szCs w:val="20"/>
              </w:rPr>
              <w:t xml:space="preserve"> của Quốc hội;</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Văn phòng Quốc hội;</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Tòa án nhân dân tối cao;</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Viện kiểm sát nhân dân tối cao;</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Kiể</w:t>
            </w:r>
            <w:r w:rsidR="003D5591">
              <w:rPr>
                <w:rFonts w:ascii="Arial" w:hAnsi="Arial" w:cs="Arial"/>
                <w:color w:val="000000" w:themeColor="text1"/>
                <w:sz w:val="20"/>
                <w:szCs w:val="20"/>
              </w:rPr>
              <w:t>m toán n</w:t>
            </w:r>
            <w:r w:rsidRPr="00367B36">
              <w:rPr>
                <w:rFonts w:ascii="Arial" w:hAnsi="Arial" w:cs="Arial"/>
                <w:color w:val="000000" w:themeColor="text1"/>
                <w:sz w:val="20"/>
                <w:szCs w:val="20"/>
              </w:rPr>
              <w:t>hà nước;</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xml:space="preserve">- </w:t>
            </w:r>
            <w:r w:rsidR="004D6012">
              <w:rPr>
                <w:rFonts w:ascii="Arial" w:hAnsi="Arial" w:cs="Arial"/>
                <w:color w:val="000000" w:themeColor="text1"/>
                <w:sz w:val="20"/>
                <w:szCs w:val="20"/>
              </w:rPr>
              <w:t>Ủy ban</w:t>
            </w:r>
            <w:r w:rsidRPr="00367B36">
              <w:rPr>
                <w:rFonts w:ascii="Arial" w:hAnsi="Arial" w:cs="Arial"/>
                <w:color w:val="000000" w:themeColor="text1"/>
                <w:sz w:val="20"/>
                <w:szCs w:val="20"/>
              </w:rPr>
              <w:t xml:space="preserve"> Trung ương Mặt trận Tổ quốc Việt Nam;</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Cơ quan trung ương của các tổ chức chính trị - xã hội;</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VPCP: BTCN, các TCN, Trợ lý TTg, TGĐ cổng TTĐT, các Vụ, Cục, đơn vị trực thuộc, Công báo;</w:t>
            </w:r>
          </w:p>
          <w:p w:rsidR="008C29F6" w:rsidRPr="00367B36" w:rsidRDefault="00491AF1" w:rsidP="00367B36">
            <w:pPr>
              <w:spacing w:after="0" w:line="240" w:lineRule="auto"/>
              <w:rPr>
                <w:rFonts w:ascii="Arial" w:hAnsi="Arial" w:cs="Arial"/>
                <w:color w:val="000000" w:themeColor="text1"/>
                <w:sz w:val="20"/>
                <w:szCs w:val="20"/>
              </w:rPr>
            </w:pPr>
            <w:r w:rsidRPr="00367B36">
              <w:rPr>
                <w:rFonts w:ascii="Arial" w:hAnsi="Arial" w:cs="Arial"/>
                <w:color w:val="000000" w:themeColor="text1"/>
                <w:sz w:val="20"/>
                <w:szCs w:val="20"/>
              </w:rPr>
              <w:t>- Lưu: VT, KTTH</w:t>
            </w:r>
            <w:r w:rsidR="003D5591">
              <w:rPr>
                <w:rFonts w:ascii="Arial" w:hAnsi="Arial" w:cs="Arial"/>
                <w:color w:val="000000" w:themeColor="text1"/>
                <w:sz w:val="20"/>
                <w:szCs w:val="20"/>
              </w:rPr>
              <w:t xml:space="preserve"> </w:t>
            </w:r>
            <w:r w:rsidRPr="00367B36">
              <w:rPr>
                <w:rFonts w:ascii="Arial" w:hAnsi="Arial" w:cs="Arial"/>
                <w:color w:val="000000" w:themeColor="text1"/>
                <w:sz w:val="20"/>
                <w:szCs w:val="20"/>
              </w:rPr>
              <w:t>(2b).</w:t>
            </w:r>
          </w:p>
        </w:tc>
        <w:tc>
          <w:tcPr>
            <w:tcW w:w="2179" w:type="pct"/>
          </w:tcPr>
          <w:p w:rsidR="008C29F6" w:rsidRPr="00367B36" w:rsidRDefault="00491AF1" w:rsidP="00367B36">
            <w:pPr>
              <w:spacing w:after="0" w:line="240" w:lineRule="auto"/>
              <w:jc w:val="center"/>
              <w:rPr>
                <w:rFonts w:ascii="Arial" w:hAnsi="Arial" w:cs="Arial"/>
                <w:color w:val="000000" w:themeColor="text1"/>
                <w:sz w:val="20"/>
                <w:szCs w:val="20"/>
              </w:rPr>
            </w:pPr>
            <w:r w:rsidRPr="00367B36">
              <w:rPr>
                <w:rFonts w:ascii="Arial" w:hAnsi="Arial" w:cs="Arial"/>
                <w:b/>
                <w:color w:val="000000" w:themeColor="text1"/>
                <w:sz w:val="20"/>
                <w:szCs w:val="20"/>
              </w:rPr>
              <w:t>TM. CHÍNH PHỦ</w:t>
            </w:r>
          </w:p>
          <w:p w:rsidR="008C29F6" w:rsidRPr="00367B36" w:rsidRDefault="00491AF1" w:rsidP="00367B36">
            <w:pPr>
              <w:spacing w:after="0" w:line="240" w:lineRule="auto"/>
              <w:jc w:val="center"/>
              <w:rPr>
                <w:rFonts w:ascii="Arial" w:hAnsi="Arial" w:cs="Arial"/>
                <w:color w:val="000000" w:themeColor="text1"/>
                <w:sz w:val="20"/>
                <w:szCs w:val="20"/>
              </w:rPr>
            </w:pPr>
            <w:r w:rsidRPr="00367B36">
              <w:rPr>
                <w:rFonts w:ascii="Arial" w:hAnsi="Arial" w:cs="Arial"/>
                <w:b/>
                <w:color w:val="000000" w:themeColor="text1"/>
                <w:sz w:val="20"/>
                <w:szCs w:val="20"/>
              </w:rPr>
              <w:t>KT. THỦ TƯỚNG</w:t>
            </w:r>
          </w:p>
          <w:p w:rsidR="008C29F6" w:rsidRPr="00367B36" w:rsidRDefault="00491AF1" w:rsidP="00367B36">
            <w:pPr>
              <w:spacing w:after="0" w:line="240" w:lineRule="auto"/>
              <w:jc w:val="center"/>
              <w:rPr>
                <w:rFonts w:ascii="Arial" w:hAnsi="Arial" w:cs="Arial"/>
                <w:color w:val="000000" w:themeColor="text1"/>
                <w:sz w:val="20"/>
                <w:szCs w:val="20"/>
              </w:rPr>
            </w:pPr>
            <w:r w:rsidRPr="00367B36">
              <w:rPr>
                <w:rFonts w:ascii="Arial" w:hAnsi="Arial" w:cs="Arial"/>
                <w:b/>
                <w:color w:val="000000" w:themeColor="text1"/>
                <w:sz w:val="20"/>
                <w:szCs w:val="20"/>
              </w:rPr>
              <w:t>PHÓ THỦ TƯỚNG</w:t>
            </w:r>
            <w:r w:rsidRPr="00367B36">
              <w:rPr>
                <w:rFonts w:ascii="Arial" w:hAnsi="Arial" w:cs="Arial"/>
                <w:color w:val="000000" w:themeColor="text1"/>
                <w:sz w:val="20"/>
                <w:szCs w:val="20"/>
              </w:rPr>
              <w:br/>
            </w:r>
            <w:r w:rsidRPr="00367B36">
              <w:rPr>
                <w:rFonts w:ascii="Arial" w:hAnsi="Arial" w:cs="Arial"/>
                <w:color w:val="000000" w:themeColor="text1"/>
                <w:sz w:val="20"/>
                <w:szCs w:val="20"/>
              </w:rPr>
              <w:br/>
            </w:r>
            <w:r w:rsidRPr="00367B36">
              <w:rPr>
                <w:rFonts w:ascii="Arial" w:hAnsi="Arial" w:cs="Arial"/>
                <w:color w:val="000000" w:themeColor="text1"/>
                <w:sz w:val="20"/>
                <w:szCs w:val="20"/>
              </w:rPr>
              <w:br/>
            </w:r>
            <w:r w:rsidRPr="00367B36">
              <w:rPr>
                <w:rFonts w:ascii="Arial" w:hAnsi="Arial" w:cs="Arial"/>
                <w:color w:val="000000" w:themeColor="text1"/>
                <w:sz w:val="20"/>
                <w:szCs w:val="20"/>
              </w:rPr>
              <w:br/>
            </w:r>
            <w:r w:rsidRPr="00367B36">
              <w:rPr>
                <w:rFonts w:ascii="Arial" w:hAnsi="Arial" w:cs="Arial"/>
                <w:color w:val="000000" w:themeColor="text1"/>
                <w:sz w:val="20"/>
                <w:szCs w:val="20"/>
              </w:rPr>
              <w:br/>
            </w:r>
            <w:r w:rsidRPr="00367B36">
              <w:rPr>
                <w:rFonts w:ascii="Arial" w:hAnsi="Arial" w:cs="Arial"/>
                <w:color w:val="000000" w:themeColor="text1"/>
                <w:sz w:val="20"/>
                <w:szCs w:val="20"/>
              </w:rPr>
              <w:br/>
            </w:r>
            <w:r w:rsidRPr="00367B36">
              <w:rPr>
                <w:rFonts w:ascii="Arial" w:hAnsi="Arial" w:cs="Arial"/>
                <w:color w:val="000000" w:themeColor="text1"/>
                <w:sz w:val="20"/>
                <w:szCs w:val="20"/>
              </w:rPr>
              <w:br/>
            </w:r>
            <w:r w:rsidRPr="00367B36">
              <w:rPr>
                <w:rFonts w:ascii="Arial" w:hAnsi="Arial" w:cs="Arial"/>
                <w:color w:val="000000" w:themeColor="text1"/>
                <w:sz w:val="20"/>
                <w:szCs w:val="20"/>
              </w:rPr>
              <w:br/>
            </w:r>
            <w:r w:rsidRPr="00367B36">
              <w:rPr>
                <w:rFonts w:ascii="Arial" w:hAnsi="Arial" w:cs="Arial"/>
                <w:b/>
                <w:color w:val="000000" w:themeColor="text1"/>
                <w:sz w:val="20"/>
                <w:szCs w:val="20"/>
              </w:rPr>
              <w:t>Hồ Đức Phớc</w:t>
            </w:r>
          </w:p>
        </w:tc>
      </w:tr>
    </w:tbl>
    <w:p w:rsidR="00491AF1" w:rsidRPr="00367B36" w:rsidRDefault="00491AF1" w:rsidP="00367B36">
      <w:pPr>
        <w:spacing w:after="0" w:line="240" w:lineRule="auto"/>
        <w:rPr>
          <w:rFonts w:ascii="Arial" w:hAnsi="Arial" w:cs="Arial"/>
          <w:color w:val="000000" w:themeColor="text1"/>
          <w:sz w:val="20"/>
          <w:szCs w:val="20"/>
        </w:rPr>
      </w:pPr>
    </w:p>
    <w:sectPr w:rsidR="00491AF1" w:rsidRPr="00367B36" w:rsidSect="00367B36">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EBC" w:rsidRDefault="00204EBC">
      <w:pPr>
        <w:spacing w:after="0" w:line="240" w:lineRule="auto"/>
      </w:pPr>
      <w:r>
        <w:separator/>
      </w:r>
    </w:p>
  </w:endnote>
  <w:endnote w:type="continuationSeparator" w:id="0">
    <w:p w:rsidR="00204EBC" w:rsidRDefault="00204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EBC" w:rsidRDefault="00204EBC">
      <w:pPr>
        <w:spacing w:after="0" w:line="240" w:lineRule="auto"/>
      </w:pPr>
      <w:r>
        <w:separator/>
      </w:r>
    </w:p>
  </w:footnote>
  <w:footnote w:type="continuationSeparator" w:id="0">
    <w:p w:rsidR="00204EBC" w:rsidRDefault="00204E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9F6"/>
    <w:rsid w:val="00164F5C"/>
    <w:rsid w:val="00204EBC"/>
    <w:rsid w:val="00306A98"/>
    <w:rsid w:val="00367B36"/>
    <w:rsid w:val="003D5591"/>
    <w:rsid w:val="00491AF1"/>
    <w:rsid w:val="004D6012"/>
    <w:rsid w:val="00670EE7"/>
    <w:rsid w:val="008C29F6"/>
    <w:rsid w:val="008F07D5"/>
    <w:rsid w:val="00976CA2"/>
    <w:rsid w:val="00E650FA"/>
    <w:rsid w:val="00E84E9A"/>
    <w:rsid w:val="00F13E75"/>
    <w:rsid w:val="00F33EC7"/>
    <w:rsid w:val="00FC2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BCEFE8-AA4B-4246-BD8C-4BCC0855B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7B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7B36"/>
  </w:style>
  <w:style w:type="paragraph" w:styleId="Footer">
    <w:name w:val="footer"/>
    <w:basedOn w:val="Normal"/>
    <w:link w:val="FooterChar"/>
    <w:uiPriority w:val="99"/>
    <w:unhideWhenUsed/>
    <w:rsid w:val="00367B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7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5204</Words>
  <Characters>29663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Windows</cp:lastModifiedBy>
  <cp:revision>2</cp:revision>
  <dcterms:created xsi:type="dcterms:W3CDTF">2025-12-04T10:41:00Z</dcterms:created>
  <dcterms:modified xsi:type="dcterms:W3CDTF">2025-12-04T10:41:00Z</dcterms:modified>
</cp:coreProperties>
</file>