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079"/>
        <w:gridCol w:w="6281"/>
      </w:tblGrid>
      <w:tr w:rsidR="00C46784" w14:paraId="3675C873" w14:textId="77777777">
        <w:tc>
          <w:tcPr>
            <w:tcW w:w="1645" w:type="pct"/>
          </w:tcPr>
          <w:p w14:paraId="7B0716DC" w14:textId="77777777" w:rsidR="0077323B" w:rsidRDefault="0071237B" w:rsidP="001A1E70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CHÍNH PH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  <w:r>
              <w:br/>
            </w:r>
          </w:p>
          <w:p w14:paraId="4553C8B2" w14:textId="2D7BA21E" w:rsidR="00C46784" w:rsidRDefault="0071237B" w:rsidP="001A1E7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229/2025/NĐ-CP</w:t>
            </w:r>
          </w:p>
        </w:tc>
        <w:tc>
          <w:tcPr>
            <w:tcW w:w="3355" w:type="pct"/>
          </w:tcPr>
          <w:p w14:paraId="3A473F70" w14:textId="77777777" w:rsidR="00C46784" w:rsidRDefault="0071237B" w:rsidP="001A1E7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  <w:p w14:paraId="5A597F4E" w14:textId="77777777" w:rsidR="00C46784" w:rsidRDefault="0071237B" w:rsidP="001A1E70">
            <w:pPr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 N</w:t>
            </w:r>
            <w:r>
              <w:rPr>
                <w:rFonts w:ascii="Arial" w:hAnsi="Arial"/>
                <w:i/>
                <w:sz w:val="20"/>
              </w:rPr>
              <w:t>ộ</w:t>
            </w:r>
            <w:r>
              <w:rPr>
                <w:rFonts w:ascii="Arial" w:hAnsi="Arial"/>
                <w:i/>
                <w:sz w:val="20"/>
              </w:rPr>
              <w:t>i, ngày 19 tháng 8 năm 2025</w:t>
            </w:r>
          </w:p>
        </w:tc>
      </w:tr>
    </w:tbl>
    <w:p w14:paraId="299E9AB5" w14:textId="77777777" w:rsidR="001A1E70" w:rsidRDefault="001A1E70" w:rsidP="001A1E70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110C0C96" w14:textId="77777777" w:rsidR="001A1E70" w:rsidRDefault="001A1E70" w:rsidP="001A1E70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9ACDFC4" w14:textId="74BD89A0" w:rsidR="001A1E70" w:rsidRDefault="001A1E70" w:rsidP="001A1E70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NGHỊ ĐỊNH</w:t>
      </w:r>
    </w:p>
    <w:p w14:paraId="5F97B9F1" w14:textId="30245579" w:rsidR="00C46784" w:rsidRDefault="0071237B" w:rsidP="001A1E70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3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87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63/2023/NĐ-CP</w:t>
      </w:r>
      <w:r>
        <w:br/>
      </w:r>
      <w:r>
        <w:rPr>
          <w:rFonts w:ascii="Arial" w:hAnsi="Arial"/>
          <w:b/>
          <w:sz w:val="20"/>
        </w:rPr>
        <w:t xml:space="preserve">ngày 18 tháng 8 năm 2023 </w:t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Chính ph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chi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  <w:r w:rsidR="00B01157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vô tuy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đi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42/2009/QH12,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 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theo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09/2022/QH15</w:t>
      </w:r>
    </w:p>
    <w:p w14:paraId="6BFB7520" w14:textId="77777777" w:rsidR="001A1E70" w:rsidRDefault="001A1E70" w:rsidP="001A1E70">
      <w:pPr>
        <w:spacing w:after="0" w:line="240" w:lineRule="auto"/>
        <w:jc w:val="center"/>
      </w:pPr>
    </w:p>
    <w:p w14:paraId="5AC54E68" w14:textId="052C0BA4" w:rsidR="00C46784" w:rsidRDefault="0071237B" w:rsidP="001A1E70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 xml:space="preserve">t </w:t>
      </w:r>
      <w:r w:rsidR="00876067"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5E5DCF49" w14:textId="77777777" w:rsidR="00C46784" w:rsidRDefault="0071237B" w:rsidP="001A1E70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n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vô tuy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đi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42/2009/QH12,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theo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09/2022/QH15;</w:t>
      </w:r>
    </w:p>
    <w:p w14:paraId="4FE605C0" w14:textId="77777777" w:rsidR="00C46784" w:rsidRDefault="0071237B" w:rsidP="001A1E70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Khoa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c và Công ngh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;</w:t>
      </w:r>
    </w:p>
    <w:p w14:paraId="4677759C" w14:textId="77777777" w:rsidR="00C46784" w:rsidRDefault="0071237B" w:rsidP="001A1E70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kho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3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87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63/2023/NĐ-CP ngày 18 tháng 8 năm 2023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z w:val="20"/>
        </w:rPr>
        <w:t xml:space="preserve">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ầ</w:t>
      </w:r>
      <w:r>
        <w:rPr>
          <w:rFonts w:ascii="Arial" w:hAnsi="Arial"/>
          <w:i/>
          <w:sz w:val="20"/>
        </w:rPr>
        <w:t>n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vô tuy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đi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42/2009/QH12,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theo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09/2022/QH15.</w:t>
      </w:r>
    </w:p>
    <w:p w14:paraId="370F9308" w14:textId="77777777" w:rsidR="001A1E70" w:rsidRDefault="001A1E70" w:rsidP="001A1E70">
      <w:pPr>
        <w:spacing w:after="12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6FE7B9DC" w14:textId="54994D60" w:rsidR="00C46784" w:rsidRDefault="0071237B" w:rsidP="001A1E7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3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87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63/2023/NĐ-CP ngày 18 tháng 8</w:t>
      </w:r>
      <w:r w:rsidR="00190682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năm 2023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Chính ph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chi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T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vô tuy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đi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42/2009/QH12,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theo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09/2022/QH15</w:t>
      </w:r>
    </w:p>
    <w:p w14:paraId="27D2251C" w14:textId="77777777" w:rsidR="00C46784" w:rsidRDefault="0071237B" w:rsidP="001A1E7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băng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công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di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mà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06 thá</w:t>
      </w:r>
      <w:r>
        <w:rPr>
          <w:rFonts w:ascii="Arial" w:hAnsi="Arial"/>
          <w:sz w:val="20"/>
        </w:rPr>
        <w:t>ng 9 năm 2023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vô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cho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còn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tính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7 năm 2023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là 0 (không)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phép.”.</w:t>
      </w:r>
    </w:p>
    <w:p w14:paraId="43E66423" w14:textId="77777777" w:rsidR="00C46784" w:rsidRDefault="0071237B" w:rsidP="001A1E7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789C58B2" w14:textId="67D90AED" w:rsidR="00C46784" w:rsidRDefault="0071237B" w:rsidP="001A1E70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ký ban hành.</w:t>
      </w:r>
    </w:p>
    <w:p w14:paraId="21039788" w14:textId="77777777" w:rsidR="00C46784" w:rsidRDefault="0071237B" w:rsidP="001A1E70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21D9016B" w14:textId="77777777" w:rsidR="00C46784" w:rsidRDefault="0071237B" w:rsidP="009002C9">
      <w:pPr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băng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thông công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di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mà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06 tháng 9 năm 2023 và chưa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87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63/2023/NĐ-CP,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khi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phép.</w:t>
      </w:r>
    </w:p>
    <w:p w14:paraId="6D1DB46F" w14:textId="77777777" w:rsidR="001A1E70" w:rsidRDefault="001A1E70" w:rsidP="001A1E70">
      <w:pPr>
        <w:spacing w:after="0" w:line="240" w:lineRule="auto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79"/>
        <w:gridCol w:w="3881"/>
      </w:tblGrid>
      <w:tr w:rsidR="00C46784" w14:paraId="0496511C" w14:textId="77777777" w:rsidTr="001A1E70">
        <w:tc>
          <w:tcPr>
            <w:tcW w:w="2927" w:type="pct"/>
          </w:tcPr>
          <w:p w14:paraId="1D182483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Nơi nh</w:t>
            </w:r>
            <w:r>
              <w:rPr>
                <w:rFonts w:ascii="Arial" w:hAnsi="Arial"/>
                <w:b/>
                <w:i/>
                <w:sz w:val="20"/>
              </w:rPr>
              <w:t>ậ</w:t>
            </w:r>
            <w:r>
              <w:rPr>
                <w:rFonts w:ascii="Arial" w:hAnsi="Arial"/>
                <w:b/>
                <w:i/>
                <w:sz w:val="20"/>
              </w:rPr>
              <w:t>n:</w:t>
            </w:r>
          </w:p>
          <w:p w14:paraId="423D89BC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Ban Bí thư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4DD9CA76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ng, các Phó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3738F08D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Các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ngang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, cơ quan </w:t>
            </w:r>
            <w:r>
              <w:rPr>
                <w:rFonts w:ascii="Arial" w:hAnsi="Arial"/>
                <w:sz w:val="20"/>
              </w:rPr>
              <w:t>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1E712957" w14:textId="0BCBB890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</w:t>
            </w:r>
            <w:r w:rsidR="001604EC">
              <w:rPr>
                <w:rFonts w:ascii="Arial" w:hAnsi="Arial"/>
                <w:sz w:val="20"/>
              </w:rPr>
              <w:t>;</w:t>
            </w:r>
          </w:p>
          <w:p w14:paraId="764BB975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và các Ban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5216A8F3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Bí thư;</w:t>
            </w:r>
          </w:p>
          <w:p w14:paraId="4A5C5E66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ch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549E4D04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đ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>ng Dân t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c và các 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y ban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57FD63C0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2EE899AA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 xml:space="preserve">- Tòa án nhân dân </w:t>
            </w: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2C5BCB3A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sát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589039F3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toán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300BFCDD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 xml:space="preserve">- 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y ban Trung ương M</w:t>
            </w:r>
            <w:r>
              <w:rPr>
                <w:rFonts w:ascii="Arial" w:hAnsi="Arial"/>
                <w:sz w:val="20"/>
              </w:rPr>
              <w:t>ặ</w:t>
            </w:r>
            <w:r>
              <w:rPr>
                <w:rFonts w:ascii="Arial" w:hAnsi="Arial"/>
                <w:sz w:val="20"/>
              </w:rPr>
              <w:t>t tr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Nam;</w:t>
            </w:r>
          </w:p>
          <w:p w14:paraId="56F07F1A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các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ch</w:t>
            </w:r>
            <w:r>
              <w:rPr>
                <w:rFonts w:ascii="Arial" w:hAnsi="Arial"/>
                <w:sz w:val="20"/>
              </w:rPr>
              <w:t>ứ</w:t>
            </w:r>
            <w:r>
              <w:rPr>
                <w:rFonts w:ascii="Arial" w:hAnsi="Arial"/>
                <w:sz w:val="20"/>
              </w:rPr>
              <w:t>c chính tr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- xã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6348F9F6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VPCP: BT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CN, các PCN, Tr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 xml:space="preserve"> lý TTg, TGĐ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TTĐT,</w:t>
            </w:r>
          </w:p>
          <w:p w14:paraId="01AA3354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lastRenderedPageBreak/>
              <w:t>các V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,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c, đơn v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c, Công </w:t>
            </w:r>
            <w:r>
              <w:rPr>
                <w:rFonts w:ascii="Arial" w:hAnsi="Arial"/>
                <w:sz w:val="20"/>
              </w:rPr>
              <w:t>báo;</w:t>
            </w:r>
          </w:p>
          <w:p w14:paraId="797FD2A3" w14:textId="77777777" w:rsidR="00C46784" w:rsidRDefault="0071237B" w:rsidP="001A1E70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VT, KGVX (2b).</w:t>
            </w:r>
          </w:p>
        </w:tc>
        <w:tc>
          <w:tcPr>
            <w:tcW w:w="2073" w:type="pct"/>
          </w:tcPr>
          <w:p w14:paraId="37C0AF1A" w14:textId="77777777" w:rsidR="00C46784" w:rsidRDefault="0071237B" w:rsidP="001A1E7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lastRenderedPageBreak/>
              <w:t>TM. CHÍNH PH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KT. 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</w:p>
          <w:p w14:paraId="760A4F6F" w14:textId="77777777" w:rsidR="00C46784" w:rsidRDefault="0071237B" w:rsidP="001A1E7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PHÓ 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Nguy</w:t>
            </w:r>
            <w:r>
              <w:rPr>
                <w:rFonts w:ascii="Arial" w:hAnsi="Arial"/>
                <w:b/>
                <w:sz w:val="20"/>
              </w:rPr>
              <w:t>ễ</w:t>
            </w:r>
            <w:r>
              <w:rPr>
                <w:rFonts w:ascii="Arial" w:hAnsi="Arial"/>
                <w:b/>
                <w:sz w:val="20"/>
              </w:rPr>
              <w:t>n Chí Dũng</w:t>
            </w:r>
          </w:p>
        </w:tc>
      </w:tr>
    </w:tbl>
    <w:p w14:paraId="15B25559" w14:textId="77777777" w:rsidR="00556F84" w:rsidRDefault="00556F84" w:rsidP="001A1E70">
      <w:pPr>
        <w:spacing w:after="120" w:line="240" w:lineRule="auto"/>
        <w:ind w:firstLine="720"/>
        <w:jc w:val="both"/>
      </w:pPr>
    </w:p>
    <w:sectPr w:rsidR="00556F84" w:rsidSect="00FF7873">
      <w:pgSz w:w="12240" w:h="15840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525B9" w14:textId="77777777" w:rsidR="0071237B" w:rsidRDefault="0071237B">
      <w:pPr>
        <w:spacing w:after="0" w:line="240" w:lineRule="auto"/>
      </w:pPr>
      <w:r>
        <w:separator/>
      </w:r>
    </w:p>
  </w:endnote>
  <w:endnote w:type="continuationSeparator" w:id="0">
    <w:p w14:paraId="117CCFB5" w14:textId="77777777" w:rsidR="0071237B" w:rsidRDefault="0071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ADED6" w14:textId="77777777" w:rsidR="0071237B" w:rsidRDefault="0071237B">
      <w:pPr>
        <w:spacing w:after="0" w:line="240" w:lineRule="auto"/>
      </w:pPr>
      <w:r>
        <w:separator/>
      </w:r>
    </w:p>
  </w:footnote>
  <w:footnote w:type="continuationSeparator" w:id="0">
    <w:p w14:paraId="4480E378" w14:textId="77777777" w:rsidR="0071237B" w:rsidRDefault="00712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84"/>
    <w:rsid w:val="00016B66"/>
    <w:rsid w:val="001604EC"/>
    <w:rsid w:val="00183E4C"/>
    <w:rsid w:val="00190682"/>
    <w:rsid w:val="001A1E70"/>
    <w:rsid w:val="0020044F"/>
    <w:rsid w:val="002B022B"/>
    <w:rsid w:val="00556F84"/>
    <w:rsid w:val="0071237B"/>
    <w:rsid w:val="0077323B"/>
    <w:rsid w:val="00876067"/>
    <w:rsid w:val="009002C9"/>
    <w:rsid w:val="00AE2626"/>
    <w:rsid w:val="00B01157"/>
    <w:rsid w:val="00C46784"/>
    <w:rsid w:val="00DF45B2"/>
    <w:rsid w:val="00FA2DD2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A2092"/>
  <w15:docId w15:val="{D93A953C-FF2F-4295-9ED1-448D01FB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873"/>
  </w:style>
  <w:style w:type="paragraph" w:styleId="Footer">
    <w:name w:val="footer"/>
    <w:basedOn w:val="Normal"/>
    <w:link w:val="FooterChar"/>
    <w:uiPriority w:val="99"/>
    <w:unhideWhenUsed/>
    <w:rsid w:val="00FF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4</cp:revision>
  <dcterms:created xsi:type="dcterms:W3CDTF">2025-08-20T09:32:00Z</dcterms:created>
  <dcterms:modified xsi:type="dcterms:W3CDTF">2025-08-21T01:23:00Z</dcterms:modified>
</cp:coreProperties>
</file>