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86"/>
        <w:gridCol w:w="5340"/>
      </w:tblGrid>
      <w:tr w:rsidR="00E97EAB" w:rsidRPr="00E97EAB" w14:paraId="320AB45C" w14:textId="77777777" w:rsidTr="00755AEC">
        <w:tc>
          <w:tcPr>
            <w:tcW w:w="2042" w:type="pct"/>
          </w:tcPr>
          <w:p w14:paraId="783363FC" w14:textId="481F3CEB" w:rsidR="002A19C9" w:rsidRPr="00E97EAB" w:rsidRDefault="0099324F" w:rsidP="00E97E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97EAB"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E97EAB"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65/2026/TT-BTC</w:t>
            </w:r>
          </w:p>
        </w:tc>
        <w:tc>
          <w:tcPr>
            <w:tcW w:w="2958" w:type="pct"/>
          </w:tcPr>
          <w:p w14:paraId="668FB474" w14:textId="7170ECA5" w:rsidR="002A19C9" w:rsidRPr="00E97EAB" w:rsidRDefault="0099324F" w:rsidP="00E97E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E97EAB"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E97EAB"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E97EAB"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E97EAB"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11</w:t>
            </w:r>
            <w:r w:rsidR="00E97EAB"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E97EAB"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6</w:t>
            </w:r>
            <w:r w:rsidR="00E97EAB"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E97EAB"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97EA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4C022E88" w14:textId="77777777" w:rsidR="00E97EAB" w:rsidRPr="00E97EAB" w:rsidRDefault="00E97EAB" w:rsidP="00E97E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2CFF5F5" w14:textId="77777777" w:rsidR="00E97EAB" w:rsidRPr="00E97EAB" w:rsidRDefault="00E97EAB" w:rsidP="00E97E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FB60EAD" w14:textId="0AC00016" w:rsidR="002A19C9" w:rsidRPr="00E97EAB" w:rsidRDefault="0099324F" w:rsidP="00E97E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665DFA35" w14:textId="143357A7" w:rsidR="002A19C9" w:rsidRPr="00E97EAB" w:rsidRDefault="0099324F" w:rsidP="00E97E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a Thông tư s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320/2016/TT-BTC c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97EAB" w:rsidRPr="00E97EA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trư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nh ch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 làm nhi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br/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p công dân, x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lý đơn khi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i, t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cáo, ki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, ph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 ánh</w:t>
      </w:r>
    </w:p>
    <w:p w14:paraId="585931FB" w14:textId="77777777" w:rsidR="00E97EAB" w:rsidRPr="00E97EAB" w:rsidRDefault="00E97EAB" w:rsidP="00E97E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E54AAA8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Ban hành văn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 quy ph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m pháp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64/2025/QH15 đư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87/2025/QH15;</w:t>
      </w:r>
    </w:p>
    <w:p w14:paraId="5123BBFB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t Ngân sách 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nhà nư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89/2025/QH15;</w:t>
      </w:r>
    </w:p>
    <w:p w14:paraId="62EF7AED" w14:textId="7D3AFC23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Ti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p công dân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42/2013/QH13</w:t>
      </w:r>
      <w:r w:rsid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136/2025/QH15;</w:t>
      </w:r>
    </w:p>
    <w:p w14:paraId="184BC1C6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Khi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u n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02/2011/QH13 đư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42/2013/QH13,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81/2025/QH15,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84/2025/QH15 và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136/2025/QH15;</w:t>
      </w:r>
    </w:p>
    <w:p w14:paraId="2D557D15" w14:textId="57A37103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="00034D8F">
        <w:rPr>
          <w:rFonts w:ascii="Arial" w:hAnsi="Arial" w:cs="Arial"/>
          <w:i/>
          <w:color w:val="000000" w:themeColor="text1"/>
          <w:sz w:val="20"/>
          <w:szCs w:val="20"/>
        </w:rPr>
        <w:t>ố cáo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25/2018/QH14 đư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42/2013/QH13,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81/2025/QH15,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84/2025/QH15 và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136/2025/QH15;</w:t>
      </w:r>
    </w:p>
    <w:p w14:paraId="43AC524A" w14:textId="0860DF82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1797D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54/2026/N</w:t>
      </w:r>
      <w:r w:rsidR="0011580D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-CP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u và bi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 pháp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 thi hành Lu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Ti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p công dân;</w:t>
      </w:r>
    </w:p>
    <w:p w14:paraId="44DDBB8C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u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166/2025/NĐ-CP;</w:t>
      </w:r>
    </w:p>
    <w:p w14:paraId="0970BB76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V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ng V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- Kinh t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ngành:</w:t>
      </w:r>
    </w:p>
    <w:p w14:paraId="44D449ED" w14:textId="77777777" w:rsidR="002A19C9" w:rsidRPr="00E97EAB" w:rsidRDefault="0099324F" w:rsidP="00E97E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Thông tư s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320/2016/TT-BTC c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quy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 dư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 ngư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 làm nhi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p công dân, x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lý đơn khi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u n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i, t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 xml:space="preserve"> cáo, 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ki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 ngh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, ph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i/>
          <w:color w:val="000000" w:themeColor="text1"/>
          <w:sz w:val="20"/>
          <w:szCs w:val="20"/>
        </w:rPr>
        <w:t>n ánh.</w:t>
      </w:r>
    </w:p>
    <w:p w14:paraId="3D1E476D" w14:textId="77777777" w:rsidR="00E97EAB" w:rsidRPr="00E97EAB" w:rsidRDefault="00E97EAB" w:rsidP="00E97E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24DB72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u 4 Thông tư s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320/2016/TT-BTC c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quy 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nh ch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 làm nhi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p công dân, x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lý đơn khi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i, t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cáo, ki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, ph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 ánh (sau đây g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i là Thông tư s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 xml:space="preserve"> 32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0/2016/TT-BTC) như sau:</w:t>
      </w:r>
    </w:p>
    <w:p w14:paraId="64036FCA" w14:textId="33ED8BD5" w:rsidR="002A19C9" w:rsidRPr="00E97EAB" w:rsidRDefault="00E97EAB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Điều 4. Mức chi</w:t>
      </w:r>
    </w:p>
    <w:p w14:paraId="72E48E3E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color w:val="000000" w:themeColor="text1"/>
          <w:sz w:val="20"/>
          <w:szCs w:val="20"/>
        </w:rPr>
        <w:t>1. Các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u 38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154/2026/NĐ-CP ngày 15 tháng 5 năm 2026 c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pháp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thi hành Lu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p công dân (sau 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đây g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154/2026/NĐ-CP) mà chưa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trách nhi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theo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hành, khi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công dân, x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lý đơn khi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ánh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công dân ho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công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dân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200.000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ng/ngày/ngư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đang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trách nhi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theo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hành thì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150.000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ng/ngày/ngư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531D603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color w:val="000000" w:themeColor="text1"/>
          <w:sz w:val="20"/>
          <w:szCs w:val="20"/>
        </w:rPr>
        <w:t>Cán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phân công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công dân, x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lý đơn khi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ánh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công dân Trung ương mà chưa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trách nhi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theo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hành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250.000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ng/ngày/ngư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đang hư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theo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hành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200.000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ng/ngày/ngư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3EC03BD" w14:textId="64136280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color w:val="000000" w:themeColor="text1"/>
          <w:sz w:val="20"/>
          <w:szCs w:val="20"/>
        </w:rPr>
        <w:t>2. Các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u 38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154/2026/NĐ-CP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100.000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ng/ngày/ngư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i.</w:t>
      </w:r>
      <w:r w:rsidR="00E97EAB">
        <w:rPr>
          <w:rFonts w:ascii="Arial" w:hAnsi="Arial" w:cs="Arial"/>
          <w:color w:val="000000" w:themeColor="text1"/>
          <w:sz w:val="20"/>
          <w:szCs w:val="20"/>
        </w:rPr>
        <w:t>”</w:t>
      </w:r>
    </w:p>
    <w:p w14:paraId="30582A8D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u 2. Đi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4165223D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ngày 27 tháng 7 năm 2026.</w:t>
      </w:r>
    </w:p>
    <w:p w14:paraId="5FDF4EC8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kinh phí chi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công dân, x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lý đơn khi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i, t</w:t>
      </w:r>
      <w:bookmarkStart w:id="0" w:name="_GoBack"/>
      <w:bookmarkEnd w:id="0"/>
      <w:r w:rsidRPr="00E97EA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ánh năm 2026, các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, cơ quan 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trung ương, các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a phương s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lastRenderedPageBreak/>
        <w:t>x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trong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toán 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chi ngân sách nhà nư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giao, ngu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thu ho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và các ngu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kinh phí khác năm 2026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4DE3995" w14:textId="77777777" w:rsidR="002A19C9" w:rsidRPr="00E97EAB" w:rsidRDefault="0099324F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thay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t khác thì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2C53C453" w14:textId="4FB50049" w:rsidR="002A19C9" w:rsidRDefault="0099324F" w:rsidP="00E97E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EAB">
        <w:rPr>
          <w:rFonts w:ascii="Arial" w:hAnsi="Arial" w:cs="Arial"/>
          <w:color w:val="000000" w:themeColor="text1"/>
          <w:sz w:val="20"/>
          <w:szCs w:val="20"/>
        </w:rPr>
        <w:t>4. Trong quá trình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u có khó khăn, vư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các cơ quan, t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 ánh v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Tài</w:t>
      </w:r>
      <w:r w:rsidR="00E97E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chính đ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 xml:space="preserve"> nghiên 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c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u, hư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97EAB">
        <w:rPr>
          <w:rFonts w:ascii="Arial" w:hAnsi="Arial" w:cs="Arial"/>
          <w:color w:val="000000" w:themeColor="text1"/>
          <w:sz w:val="20"/>
          <w:szCs w:val="20"/>
        </w:rPr>
        <w:t>t./.</w:t>
      </w:r>
    </w:p>
    <w:p w14:paraId="465ACC0A" w14:textId="77777777" w:rsidR="00E97EAB" w:rsidRPr="00E97EAB" w:rsidRDefault="00E97EAB" w:rsidP="00E97E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E97EAB" w:rsidRPr="00E97EAB" w14:paraId="19B5745C" w14:textId="77777777" w:rsidTr="00E97EAB">
        <w:tc>
          <w:tcPr>
            <w:tcW w:w="2500" w:type="pct"/>
          </w:tcPr>
          <w:p w14:paraId="2F5B3EC7" w14:textId="0F44D425" w:rsidR="002A19C9" w:rsidRPr="00E97EAB" w:rsidRDefault="0099324F" w:rsidP="00E97E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EA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E97EA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E97EA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c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phòng Ch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Trung ương M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Đoàn th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S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7380B">
              <w:rPr>
                <w:rFonts w:ascii="Arial" w:hAnsi="Arial" w:cs="Arial"/>
                <w:color w:val="000000" w:themeColor="text1"/>
                <w:sz w:val="20"/>
                <w:szCs w:val="20"/>
              </w:rPr>
              <w:t>TC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các t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KBNN các khu v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C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c Ki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 văn b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 và T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 hành pháp lu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t - B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 pháp;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87380B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b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áo, C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 Chính ph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C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 các đơn v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c B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chính;</w:t>
            </w:r>
            <w:r w:rsid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KTN. ( b)</w:t>
            </w:r>
          </w:p>
        </w:tc>
        <w:tc>
          <w:tcPr>
            <w:tcW w:w="2500" w:type="pct"/>
          </w:tcPr>
          <w:p w14:paraId="5A841F66" w14:textId="77777777" w:rsidR="002A19C9" w:rsidRPr="00E97EAB" w:rsidRDefault="0099324F" w:rsidP="00E97E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B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Th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Bí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 Ng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E9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613D9AE7" w14:textId="77777777" w:rsidR="007C62CE" w:rsidRPr="00E97EAB" w:rsidRDefault="007C62CE" w:rsidP="00E97E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7C62CE" w:rsidRPr="00E97EAB" w:rsidSect="00E97EA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3081C" w14:textId="77777777" w:rsidR="0099324F" w:rsidRDefault="0099324F">
      <w:pPr>
        <w:spacing w:after="0" w:line="240" w:lineRule="auto"/>
      </w:pPr>
      <w:r>
        <w:separator/>
      </w:r>
    </w:p>
  </w:endnote>
  <w:endnote w:type="continuationSeparator" w:id="0">
    <w:p w14:paraId="0B583342" w14:textId="77777777" w:rsidR="0099324F" w:rsidRDefault="0099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0AD98" w14:textId="77777777" w:rsidR="0099324F" w:rsidRDefault="0099324F">
      <w:pPr>
        <w:spacing w:after="0" w:line="240" w:lineRule="auto"/>
      </w:pPr>
      <w:r>
        <w:separator/>
      </w:r>
    </w:p>
  </w:footnote>
  <w:footnote w:type="continuationSeparator" w:id="0">
    <w:p w14:paraId="3073EBEB" w14:textId="77777777" w:rsidR="0099324F" w:rsidRDefault="00993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C9"/>
    <w:rsid w:val="00034D8F"/>
    <w:rsid w:val="0011580D"/>
    <w:rsid w:val="0011797D"/>
    <w:rsid w:val="001B3EA2"/>
    <w:rsid w:val="002A19C9"/>
    <w:rsid w:val="00436771"/>
    <w:rsid w:val="00755AEC"/>
    <w:rsid w:val="007C62CE"/>
    <w:rsid w:val="0087380B"/>
    <w:rsid w:val="0097472F"/>
    <w:rsid w:val="00991655"/>
    <w:rsid w:val="0099324F"/>
    <w:rsid w:val="00B77060"/>
    <w:rsid w:val="00DC2BB6"/>
    <w:rsid w:val="00E97EAB"/>
    <w:rsid w:val="00F5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646A"/>
  <w15:docId w15:val="{22A9C272-15E7-484C-AE4D-280DC7FE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AB"/>
  </w:style>
  <w:style w:type="paragraph" w:styleId="Footer">
    <w:name w:val="footer"/>
    <w:basedOn w:val="Normal"/>
    <w:link w:val="FooterChar"/>
    <w:uiPriority w:val="99"/>
    <w:unhideWhenUsed/>
    <w:rsid w:val="00E97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21</cp:revision>
  <dcterms:created xsi:type="dcterms:W3CDTF">2026-06-17T04:08:00Z</dcterms:created>
  <dcterms:modified xsi:type="dcterms:W3CDTF">2026-06-18T03:15:00Z</dcterms:modified>
</cp:coreProperties>
</file>