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394"/>
        <w:gridCol w:w="5632"/>
      </w:tblGrid>
      <w:tr w:rsidR="00366D57" w:rsidRPr="00D9638E" w14:paraId="6A888FCA" w14:textId="77777777" w:rsidTr="00366D57">
        <w:tc>
          <w:tcPr>
            <w:tcW w:w="1880" w:type="pct"/>
          </w:tcPr>
          <w:p w14:paraId="4A200C65" w14:textId="6124E591" w:rsidR="00BD0E1D" w:rsidRPr="00D9638E" w:rsidRDefault="00E7624A" w:rsidP="00366D5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TÀI CHÍNH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F04F6" w:rsidRPr="00D9638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: 86/2025/TT-BTC</w:t>
            </w:r>
          </w:p>
        </w:tc>
        <w:tc>
          <w:tcPr>
            <w:tcW w:w="3120" w:type="pct"/>
          </w:tcPr>
          <w:p w14:paraId="4A885097" w14:textId="77777777" w:rsidR="00BD0E1D" w:rsidRPr="00D9638E" w:rsidRDefault="00E7624A" w:rsidP="00366D5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D9638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D9638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28 tháng 8 năm 2025</w:t>
            </w:r>
          </w:p>
        </w:tc>
      </w:tr>
    </w:tbl>
    <w:p w14:paraId="7DE69154" w14:textId="77777777" w:rsidR="004F04F6" w:rsidRPr="009F1DB6" w:rsidRDefault="004F04F6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C9DED2" w14:textId="77777777" w:rsidR="004F04F6" w:rsidRPr="009F1DB6" w:rsidRDefault="004F04F6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01178B" w14:textId="65EADB29" w:rsidR="00BD0E1D" w:rsidRPr="00D9638E" w:rsidRDefault="00E7624A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08F0FD33" w14:textId="77777777" w:rsidR="00BD0E1D" w:rsidRPr="009F1DB6" w:rsidRDefault="00E7624A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nh m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c thu, ch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thu, n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p, qu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br/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phí 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 hàng hóa, 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phương ti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EF57C62" w14:textId="5B656BD3" w:rsidR="004F04F6" w:rsidRPr="009F1DB6" w:rsidRDefault="00366D57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9F1DB6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</w:t>
      </w:r>
    </w:p>
    <w:p w14:paraId="49F460D8" w14:textId="77777777" w:rsidR="00366D57" w:rsidRPr="009F1DB6" w:rsidRDefault="00366D57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2E4EDE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Phí và l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phí ngày 25 tháng 11 năm 2015;</w:t>
      </w:r>
    </w:p>
    <w:p w14:paraId="2B945D1D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ngày 13 tháng 6 năm 2019;</w:t>
      </w:r>
    </w:p>
    <w:p w14:paraId="75C4D96E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ngày 25 tháng 6 năm 2015;</w:t>
      </w:r>
    </w:p>
    <w:p w14:paraId="1BD63E22" w14:textId="1B8A4F94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120/2016/NĐ-CP ngày 23 tháng 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8 năm 2016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thi hành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Phí và l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phí và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82/2023/NĐ-CP ngày 28 tháng 11 năm 2023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120/2016/NĐ</w:t>
      </w:r>
      <w:r w:rsidR="00366D57" w:rsidRPr="00D9638E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CP ngày 23 tháng 8 năm 2016 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thi hành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Phí và l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phí;</w:t>
      </w:r>
    </w:p>
    <w:p w14:paraId="051A6ADB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64/2020/NĐ-CP ngày 10 tháng 6 năm 2020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hư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vi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cơ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m qu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theo Công 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Istanbul;</w:t>
      </w:r>
    </w:p>
    <w:p w14:paraId="6182187E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08/2015/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NĐ-CP ngày 21 tháng 01 năm 2015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và bi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pháp thi hành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quan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quan, ki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m tra, giám sát, ki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m soát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quan và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167/2025/NĐ-CP ngày 30 tháng 6 năm 2025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08/2015/NĐ-CP ngày 21 tháng 01 năm 2015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và bi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pháp thi hành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quan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quan, ki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m tra, giám sát, ki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m soát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quan;</w:t>
      </w:r>
    </w:p>
    <w:p w14:paraId="56F277CF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126/2020/NĐ-CP ngày 19 tháng 10 năm 2020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và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91/2022/NĐ-CP ngày 30 tháng 10 năm 2022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126/2020/NĐ-CP ngày 19 tháng 10 năm 2020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2EEB1877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11/2020/NĐ-CP ngày 20 tháng 01 năm 2020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hành chính thu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lĩnh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Kho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Nhà nư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5254B105" w14:textId="34562355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123/2020/N</w:t>
      </w:r>
      <w:r w:rsidR="002B7138" w:rsidRPr="00D9638E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-CP ngày 19 tháng 10 năm 2020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hóa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đơn,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và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70/2025/NĐ-CP ngày 20 tháng 3 năm 2025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="0002609E" w:rsidRPr="0002609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123/2020/N</w:t>
      </w:r>
      <w:r w:rsidR="002B7138" w:rsidRPr="00D9638E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-CP ngày 19 tháng 10 năm 2020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hóa đơn,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1617F98A" w14:textId="2B9A99F4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</w:t>
      </w:r>
      <w:r w:rsidR="002B7138" w:rsidRPr="00D9638E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-CP ngày 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24 tháng 02 năm 2025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và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 ngày 30 tháng 6 năm 2025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năm 2025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30CCEC1D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u 8 Hi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Chung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quan và Thương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(GATT);</w:t>
      </w:r>
    </w:p>
    <w:p w14:paraId="408AEB3A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trư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lý, giám sát chính sách thu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, phí và l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phí;</w:t>
      </w:r>
    </w:p>
    <w:p w14:paraId="2C6EEFFB" w14:textId="77777777" w:rsidR="00BD0E1D" w:rsidRPr="009F1DB6" w:rsidRDefault="00E7624A" w:rsidP="00366D5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trư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quy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c thu, ch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thu, n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p, qu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lý và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phí h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3ADE29B0" w14:textId="77777777" w:rsidR="004F04F6" w:rsidRPr="009F1DB6" w:rsidRDefault="004F04F6" w:rsidP="00366D5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F936D8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1B9BAF6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1. Thông tư này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p, q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D463594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2. Thông tư này áp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298229D0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18AC923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bookmarkStart w:id="0" w:name="_GoBack"/>
      <w:bookmarkEnd w:id="0"/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452FC83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thu,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EADFB4B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2. Ngư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p và t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c thu phí,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338E390C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</w:t>
      </w:r>
    </w:p>
    <w:p w14:paraId="722F622A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Thông tư này g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ED5D92D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a.1)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khai và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(sau đây g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là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khai)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F946D4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a.2)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(s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ATA)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theo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64/2020/NĐ-CP ngày 10 tháng 6 năm 2020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theo Công 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Istanbul.</w:t>
      </w:r>
    </w:p>
    <w:p w14:paraId="521EDE53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a.3)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pháp khi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p: Đơn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tra, giám sát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có yêu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; Đơn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pháp ki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tra, giám sát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có yêu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; Đơn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làm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có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xâm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0543EF8C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là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 khai và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A4975B9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F3605F6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a)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268F7A59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i quan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(bao g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Liên đoàn Thương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và Công nghi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Nam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ATA).</w:t>
      </w:r>
    </w:p>
    <w:p w14:paraId="695562D9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phí,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0BBE19B8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Mi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i quan và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hàng hóa,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trong các trư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6ED5720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1. Hàng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nhân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o,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khôn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g hoàn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i; quà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cho cơ quan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p, cá nhân (đư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trong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nh); quà bi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quà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vì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đích nhân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dùng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ngoài theo quy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giao; hành lý mang theo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A3431B4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2. Hàng hóa mua bán, trao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cư dân biên gi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trong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F63A061" w14:textId="4BDC2F36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3.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cư dân biên gi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theo phương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="002B7138"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theo dõi, không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khai.</w:t>
      </w:r>
    </w:p>
    <w:p w14:paraId="1C0C88D9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4.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và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Nam là thành viên 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cam k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7EABDFB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4. M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c thu phí,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73871528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ban hành k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èm theo Thông tư này.</w:t>
      </w:r>
    </w:p>
    <w:p w14:paraId="20438A9B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5. N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p phí 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quan,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 cho t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c thu phí,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5A292583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Thông tư này khi:</w:t>
      </w:r>
    </w:p>
    <w:p w14:paraId="7790FE2F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a) Đăng ký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nh;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0744AFC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ATA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t, tái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64/2020/NĐ-CP.</w:t>
      </w:r>
    </w:p>
    <w:p w14:paraId="586D6D67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lastRenderedPageBreak/>
        <w:t>c) Khi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Đơn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tra, giám sát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có yêu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; Đơn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pháp ki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tra, giám sát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có yêu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; Đơn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làm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có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xâm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quan.</w:t>
      </w:r>
    </w:p>
    <w:p w14:paraId="790AE9AC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2B362D9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 vào tài kho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và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vào ngân sách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thanh toán không dùng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thu, chi qua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Kho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thu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hàng hóa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q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và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6E3DFF2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thanh toán không dùng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i quan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theo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F131AD6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đăng ký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trong tháng,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đăng ký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theo tháng.</w:t>
      </w:r>
    </w:p>
    <w:p w14:paraId="6AF94800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danh sách các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khai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do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thông báo,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là ngày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10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tháng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theo, ngư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cho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84C140B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u 6. 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m thu phí,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19A9E781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và các kho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thu khác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do cơ quan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thu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năm 2019 và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126/2020/NĐ-CP ngày 19 tháng 10 năm 2020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22FCEF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7. Thu, n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p phí,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 c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c thu</w:t>
      </w:r>
    </w:p>
    <w:p w14:paraId="274E11BA" w14:textId="055CF2FF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thu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vào ngân sách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và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thu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vào tài kho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ngân sách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theo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thu,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126/2020/N</w:t>
      </w:r>
      <w:r w:rsidR="002B7138" w:rsidRPr="00D9638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-CP,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11/2020/NĐ-CP ngày 20 tháng 01 năm 2020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có li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ên quan.</w:t>
      </w:r>
    </w:p>
    <w:p w14:paraId="790AC92F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2.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thu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vào tài kho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ngân sách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100%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thu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vào ngân sách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DD50E41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8. Qu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ng phí</w:t>
      </w:r>
    </w:p>
    <w:p w14:paraId="6190A8F4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Cơ q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toàn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thu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trang tr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chi phí cho 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, thu phí (bao g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kinh phí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phí).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phí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82/2023/NĐ-CP ngày 28 tháng 11 năm 2023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120/2016/NĐ-CP ngày 23 tháng 8 năm 2016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Phí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phí.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phí tr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cho bên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theo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bên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m thu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126/2020/NĐ-CP.</w:t>
      </w:r>
    </w:p>
    <w:p w14:paraId="05AE9493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9. Đi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5868F84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ngày 12 tháng 10 năm 2025.</w:t>
      </w:r>
    </w:p>
    <w:p w14:paraId="663C72B3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2. Thông tư này thay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Thông tư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14/202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1/TT-BTC ngày 18 tháng 02 năm 2021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phí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hàng hóa, phương ti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8091C43" w14:textId="60EEFAF8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3. Các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dung khác liên quan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thu, n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thu,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công khai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thu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 không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</w:t>
      </w:r>
      <w:r w:rsidR="004F04F6" w:rsidRPr="00D963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phí, l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phí, pháp lu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08E0B02" w14:textId="77777777" w:rsidR="00BD0E1D" w:rsidRPr="00D9638E" w:rsidRDefault="00E7624A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liên quan vi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i Thông tư 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này đư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74492F4E" w14:textId="55D1E1AB" w:rsidR="00BD0E1D" w:rsidRPr="000615A2" w:rsidRDefault="00E7624A" w:rsidP="00366D5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color w:val="000000" w:themeColor="text1"/>
          <w:sz w:val="20"/>
          <w:szCs w:val="20"/>
        </w:rPr>
        <w:lastRenderedPageBreak/>
        <w:t>5. Trong quá trình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có vư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u, hư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t>ổ</w:t>
      </w:r>
      <w:r w:rsidR="000615A2" w:rsidRPr="000615A2">
        <w:rPr>
          <w:rFonts w:ascii="Arial" w:hAnsi="Arial" w:cs="Arial"/>
          <w:color w:val="000000" w:themeColor="text1"/>
          <w:sz w:val="20"/>
          <w:szCs w:val="20"/>
        </w:rPr>
        <w:t xml:space="preserve"> sung./.</w:t>
      </w:r>
    </w:p>
    <w:p w14:paraId="7BE4C242" w14:textId="77777777" w:rsidR="004F04F6" w:rsidRPr="000615A2" w:rsidRDefault="004F04F6" w:rsidP="00366D5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66D57" w:rsidRPr="00D9638E" w14:paraId="11B423AE" w14:textId="77777777" w:rsidTr="00366D57">
        <w:tc>
          <w:tcPr>
            <w:tcW w:w="2500" w:type="pct"/>
            <w:hideMark/>
          </w:tcPr>
          <w:p w14:paraId="72A20BC3" w14:textId="2042EDE4" w:rsidR="00366D57" w:rsidRPr="00366D57" w:rsidRDefault="00366D57" w:rsidP="00ED479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66D57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Văn phòng Trung ương và các Ban của Đảng;</w:t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Văn phòng Quốc hội;</w:t>
            </w:r>
            <w:r w:rsidR="00ED4799"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Hội đồng dân tộc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 xml:space="preserve">- </w:t>
            </w:r>
            <w:r w:rsid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Ủ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 ban Kinh tế và Tài chính;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Văn phòng Chủ tịch nước;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Viện kiểm sát nhân dân tối cao;</w:t>
            </w:r>
            <w:r w:rsidR="00ED4799"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 Tòa án nhân dân tối cao;</w:t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ED4799"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="00ED4799"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Cơ quan trung ương của các đoàn thể;</w:t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366D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Sở Tài chính các tỉnh, thành phố trực thuộc trung ương;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Chi cục Hải quan các khu vực;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Kho bạc Nhà nước các khu vực;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Cục Kiểm tra văn bản và Quản lý xử lý vi phạm hành chính, Bộ Tư pháp;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Công báo;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Cổng Thông tin điện tử Chính phủ;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Cổng Thông tin điện tử Bộ Tài chính;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Các đơn vị thuộc Bộ Tài chính;</w:t>
            </w:r>
            <w:r w:rsidRPr="00ED47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VT, Cục CST (180b.)</w:t>
            </w:r>
          </w:p>
        </w:tc>
        <w:tc>
          <w:tcPr>
            <w:tcW w:w="2500" w:type="pct"/>
            <w:hideMark/>
          </w:tcPr>
          <w:p w14:paraId="4DAA19FF" w14:textId="04AFD5C1" w:rsidR="00366D57" w:rsidRPr="00366D57" w:rsidRDefault="00366D57" w:rsidP="00366D5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BỘ TRƯỞNG</w:t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THỨ TRƯỞNG</w:t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963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Cao Anh Tuấn</w:t>
            </w:r>
          </w:p>
        </w:tc>
      </w:tr>
    </w:tbl>
    <w:p w14:paraId="3C83A588" w14:textId="77777777" w:rsidR="004F04F6" w:rsidRPr="00D9638E" w:rsidRDefault="004F04F6" w:rsidP="00366D57">
      <w:pPr>
        <w:adjustRightInd w:val="0"/>
        <w:snapToGri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0AB8601" w14:textId="77777777" w:rsidR="004F04F6" w:rsidRPr="00D9638E" w:rsidRDefault="004F04F6" w:rsidP="00366D5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36A8AC89" w14:textId="21721565" w:rsidR="00BD0E1D" w:rsidRPr="00D9638E" w:rsidRDefault="00E7624A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BI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U M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C THU PHÍ H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QUAN VÀ L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 xml:space="preserve"> PHÍ HÀNG HÓA, PHƯƠNG</w:t>
      </w:r>
      <w:r w:rsidRPr="00D9638E">
        <w:rPr>
          <w:rFonts w:ascii="Arial" w:hAnsi="Arial" w:cs="Arial"/>
          <w:color w:val="000000" w:themeColor="text1"/>
          <w:sz w:val="20"/>
          <w:szCs w:val="20"/>
        </w:rPr>
        <w:br/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I QUÁ C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9638E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FEFDE81" w14:textId="5F87E0DD" w:rsidR="00BD0E1D" w:rsidRPr="00D9638E" w:rsidRDefault="00E7624A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86/2025/TT-BTC ngày 28 tháng 8 năm 2025 c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F04F6" w:rsidRPr="009F1DB6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trư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9638E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</w:p>
    <w:p w14:paraId="3037F9CB" w14:textId="77777777" w:rsidR="00BD0E1D" w:rsidRPr="00D9638E" w:rsidRDefault="00BD0E1D" w:rsidP="004F04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00"/>
        <w:gridCol w:w="6092"/>
        <w:gridCol w:w="2514"/>
      </w:tblGrid>
      <w:tr w:rsidR="00366D57" w:rsidRPr="00D9638E" w14:paraId="1C9C3174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76AF32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TT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2BF1D2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 thu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E8EB6A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D96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thu</w:t>
            </w:r>
          </w:p>
        </w:tc>
      </w:tr>
      <w:tr w:rsidR="00366D57" w:rsidRPr="00D9638E" w14:paraId="5DBF9F36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21F0DB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21C080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Phí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hàng hóa xu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t kh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u, nh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u, phương ti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xu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nh, nh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 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E2B827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20.000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khai</w:t>
            </w:r>
          </w:p>
        </w:tc>
      </w:tr>
      <w:tr w:rsidR="00366D57" w:rsidRPr="00D9638E" w14:paraId="7F48DDC1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4BBBCD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707180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Phí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 ki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tra, giám sát, gia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tra, giám sát, 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 làm th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quan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hàng hóa xu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t kh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u, nh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 có d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 hi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 xâm ph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m quy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s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 trí tu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BF2706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200.000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ng/đơn</w:t>
            </w:r>
          </w:p>
        </w:tc>
      </w:tr>
      <w:tr w:rsidR="00366D57" w:rsidRPr="00D9638E" w14:paraId="159CB25C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702761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A38E3A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Phí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hàng hóa xu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t kh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u, nh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 g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 d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chuy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phát nhanh, bưu chính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9426AD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10.000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khai</w:t>
            </w:r>
          </w:p>
        </w:tc>
      </w:tr>
      <w:tr w:rsidR="00366D57" w:rsidRPr="00D9638E" w14:paraId="7715F8B5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734279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C9E7A2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Phí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 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 s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ATA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C81D39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ng/s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</w:p>
        </w:tc>
      </w:tr>
      <w:tr w:rsidR="00366D57" w:rsidRPr="00D9638E" w14:paraId="0D3255DE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F33244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DC0D95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Phí 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 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 s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ATA thay th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01CD6C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500.000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ng/s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</w:p>
        </w:tc>
      </w:tr>
      <w:tr w:rsidR="00366D57" w:rsidRPr="00D9638E" w14:paraId="0615C982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14F0E0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69A94D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phí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hàng hóa quá 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90C658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200.000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khai</w:t>
            </w:r>
          </w:p>
        </w:tc>
      </w:tr>
      <w:tr w:rsidR="00366D57" w:rsidRPr="00D9638E" w14:paraId="380FFDA8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E021CC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7D50FA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phí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phương ti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quá 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nh đư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(g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m: ô tô,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 kéo, máy kéo)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982D56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200.000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ng/phương ti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366D57" w:rsidRPr="00D9638E" w14:paraId="32A6868D" w14:textId="77777777" w:rsidTr="00366D57"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2DF76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C38C02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phí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v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i quá c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nh đư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y (g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m: tàu, ca nô,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u kéo, xà lan)</w:t>
            </w:r>
          </w:p>
        </w:tc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EEFE8" w14:textId="77777777" w:rsidR="00BD0E1D" w:rsidRPr="00D9638E" w:rsidRDefault="00E7624A" w:rsidP="004F04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500.000 đ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ng/phương ti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9638E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39849F06" w14:textId="77777777" w:rsidR="008A1D9B" w:rsidRPr="00D9638E" w:rsidRDefault="008A1D9B" w:rsidP="004F04F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A1D9B" w:rsidRPr="00D9638E" w:rsidSect="004F04F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55B5" w14:textId="77777777" w:rsidR="00E7624A" w:rsidRDefault="00E7624A">
      <w:pPr>
        <w:spacing w:after="0" w:line="240" w:lineRule="auto"/>
      </w:pPr>
      <w:r>
        <w:separator/>
      </w:r>
    </w:p>
  </w:endnote>
  <w:endnote w:type="continuationSeparator" w:id="0">
    <w:p w14:paraId="585119B0" w14:textId="77777777" w:rsidR="00E7624A" w:rsidRDefault="00E7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C08CF" w14:textId="77777777" w:rsidR="00E7624A" w:rsidRDefault="00E7624A">
      <w:pPr>
        <w:spacing w:after="0" w:line="240" w:lineRule="auto"/>
      </w:pPr>
      <w:r>
        <w:separator/>
      </w:r>
    </w:p>
  </w:footnote>
  <w:footnote w:type="continuationSeparator" w:id="0">
    <w:p w14:paraId="22A76DB1" w14:textId="77777777" w:rsidR="00E7624A" w:rsidRDefault="00E76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1D"/>
    <w:rsid w:val="0002609E"/>
    <w:rsid w:val="000615A2"/>
    <w:rsid w:val="001C4D73"/>
    <w:rsid w:val="002B7138"/>
    <w:rsid w:val="00366D57"/>
    <w:rsid w:val="004F04F6"/>
    <w:rsid w:val="006C6E4A"/>
    <w:rsid w:val="008A1D9B"/>
    <w:rsid w:val="009F1DB6"/>
    <w:rsid w:val="00BD0E1D"/>
    <w:rsid w:val="00D9638E"/>
    <w:rsid w:val="00E7624A"/>
    <w:rsid w:val="00ED4799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D165"/>
  <w15:docId w15:val="{172BB54D-2390-4F9A-9429-B856EE8D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F6"/>
  </w:style>
  <w:style w:type="paragraph" w:styleId="Footer">
    <w:name w:val="footer"/>
    <w:basedOn w:val="Normal"/>
    <w:link w:val="FooterChar"/>
    <w:uiPriority w:val="99"/>
    <w:unhideWhenUsed/>
    <w:rsid w:val="004F0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4F6"/>
  </w:style>
  <w:style w:type="table" w:styleId="TableGrid">
    <w:name w:val="Table Grid"/>
    <w:basedOn w:val="TableNormal"/>
    <w:uiPriority w:val="39"/>
    <w:rsid w:val="0036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1922</Words>
  <Characters>10957</Characters>
  <Application>Microsoft Office Word</Application>
  <DocSecurity>0</DocSecurity>
  <Lines>91</Lines>
  <Paragraphs>25</Paragraphs>
  <ScaleCrop>false</ScaleCrop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9</cp:revision>
  <dcterms:created xsi:type="dcterms:W3CDTF">2025-09-03T09:29:00Z</dcterms:created>
  <dcterms:modified xsi:type="dcterms:W3CDTF">2025-09-04T03:10:00Z</dcterms:modified>
</cp:coreProperties>
</file>