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D415B9" w:rsidRPr="00D415B9">
        <w:tc>
          <w:tcPr>
            <w:tcW w:w="1645" w:type="pct"/>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CHÍNH PHỦ</w:t>
            </w:r>
            <w:r w:rsidRPr="00D415B9">
              <w:rPr>
                <w:rFonts w:ascii="Arial" w:hAnsi="Arial" w:cs="Arial"/>
                <w:color w:val="000000" w:themeColor="text1"/>
                <w:sz w:val="20"/>
                <w:szCs w:val="20"/>
              </w:rPr>
              <w:br/>
            </w:r>
            <w:r w:rsidRPr="00D415B9">
              <w:rPr>
                <w:rFonts w:ascii="Arial" w:hAnsi="Arial" w:cs="Arial"/>
                <w:color w:val="000000" w:themeColor="text1"/>
                <w:sz w:val="20"/>
                <w:szCs w:val="20"/>
                <w:vertAlign w:val="superscript"/>
              </w:rPr>
              <w:t>_______</w:t>
            </w:r>
            <w:r w:rsidRPr="00D415B9">
              <w:rPr>
                <w:rFonts w:ascii="Arial" w:hAnsi="Arial" w:cs="Arial"/>
                <w:color w:val="000000" w:themeColor="text1"/>
                <w:sz w:val="20"/>
                <w:szCs w:val="20"/>
              </w:rPr>
              <w:br/>
              <w:t>Số: 260/2025/NĐ-CP</w:t>
            </w:r>
          </w:p>
        </w:tc>
        <w:tc>
          <w:tcPr>
            <w:tcW w:w="3355" w:type="pct"/>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CỘNG HÒA XÃ HỘI CHỦ NGHĨA VIỆT NAM</w:t>
            </w:r>
            <w:r w:rsidRPr="00D415B9">
              <w:rPr>
                <w:rFonts w:ascii="Arial" w:hAnsi="Arial" w:cs="Arial"/>
                <w:color w:val="000000" w:themeColor="text1"/>
                <w:sz w:val="20"/>
                <w:szCs w:val="20"/>
              </w:rPr>
              <w:br/>
            </w:r>
            <w:r w:rsidRPr="00D415B9">
              <w:rPr>
                <w:rFonts w:ascii="Arial" w:hAnsi="Arial" w:cs="Arial"/>
                <w:b/>
                <w:color w:val="000000" w:themeColor="text1"/>
                <w:sz w:val="20"/>
                <w:szCs w:val="20"/>
              </w:rPr>
              <w:t>Độc lập – Tự do – Hạnh phúc</w:t>
            </w:r>
            <w:r w:rsidRPr="00D415B9">
              <w:rPr>
                <w:rFonts w:ascii="Arial" w:hAnsi="Arial" w:cs="Arial"/>
                <w:color w:val="000000" w:themeColor="text1"/>
                <w:sz w:val="20"/>
                <w:szCs w:val="20"/>
              </w:rPr>
              <w:br/>
            </w:r>
            <w:r w:rsidRPr="00D415B9">
              <w:rPr>
                <w:rFonts w:ascii="Arial" w:hAnsi="Arial" w:cs="Arial"/>
                <w:color w:val="000000" w:themeColor="text1"/>
                <w:sz w:val="20"/>
                <w:szCs w:val="20"/>
                <w:vertAlign w:val="superscript"/>
              </w:rPr>
              <w:t>_________________</w:t>
            </w:r>
            <w:r w:rsidRPr="00D415B9">
              <w:rPr>
                <w:rFonts w:ascii="Arial" w:hAnsi="Arial" w:cs="Arial"/>
                <w:color w:val="000000" w:themeColor="text1"/>
                <w:sz w:val="20"/>
                <w:szCs w:val="20"/>
              </w:rPr>
              <w:br/>
            </w:r>
            <w:r w:rsidRPr="00D415B9">
              <w:rPr>
                <w:rFonts w:ascii="Arial" w:hAnsi="Arial" w:cs="Arial"/>
                <w:i/>
                <w:color w:val="000000" w:themeColor="text1"/>
                <w:sz w:val="20"/>
                <w:szCs w:val="20"/>
              </w:rPr>
              <w:t>Hà Nội, ngày 10 tháng 10 năm 2025</w:t>
            </w:r>
          </w:p>
        </w:tc>
      </w:tr>
    </w:tbl>
    <w:p w:rsidR="00482557" w:rsidRPr="00D415B9" w:rsidRDefault="00482557" w:rsidP="00D415B9">
      <w:pPr>
        <w:spacing w:after="0" w:line="240" w:lineRule="auto"/>
        <w:jc w:val="center"/>
        <w:rPr>
          <w:rFonts w:ascii="Arial" w:hAnsi="Arial" w:cs="Arial"/>
          <w:b/>
          <w:color w:val="000000" w:themeColor="text1"/>
          <w:sz w:val="20"/>
          <w:szCs w:val="20"/>
        </w:rPr>
      </w:pPr>
    </w:p>
    <w:p w:rsidR="00482557" w:rsidRPr="00D415B9" w:rsidRDefault="00482557" w:rsidP="00D415B9">
      <w:pPr>
        <w:spacing w:after="0" w:line="240" w:lineRule="auto"/>
        <w:jc w:val="center"/>
        <w:rPr>
          <w:rFonts w:ascii="Arial" w:hAnsi="Arial" w:cs="Arial"/>
          <w:b/>
          <w:color w:val="000000" w:themeColor="text1"/>
          <w:sz w:val="20"/>
          <w:szCs w:val="20"/>
        </w:rPr>
      </w:pPr>
    </w:p>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NGHỊ ĐỊNH</w:t>
      </w:r>
    </w:p>
    <w:p w:rsidR="005F67AD" w:rsidRDefault="005109A6" w:rsidP="00D415B9">
      <w:pPr>
        <w:spacing w:after="0" w:line="240" w:lineRule="auto"/>
        <w:jc w:val="center"/>
        <w:rPr>
          <w:rFonts w:ascii="Arial" w:hAnsi="Arial" w:cs="Arial"/>
          <w:b/>
          <w:color w:val="000000" w:themeColor="text1"/>
          <w:sz w:val="20"/>
          <w:szCs w:val="20"/>
        </w:rPr>
      </w:pPr>
      <w:r w:rsidRPr="00D415B9">
        <w:rPr>
          <w:rFonts w:ascii="Arial" w:hAnsi="Arial" w:cs="Arial"/>
          <w:b/>
          <w:color w:val="000000" w:themeColor="text1"/>
          <w:sz w:val="20"/>
          <w:szCs w:val="20"/>
        </w:rPr>
        <w:t>Sửa đổi mức thuế suất thuế xuất khẩu đối với một số mặt hàng thuộc</w:t>
      </w:r>
      <w:r w:rsidRPr="00D415B9">
        <w:rPr>
          <w:rFonts w:ascii="Arial" w:hAnsi="Arial" w:cs="Arial"/>
          <w:color w:val="000000" w:themeColor="text1"/>
          <w:sz w:val="20"/>
          <w:szCs w:val="20"/>
        </w:rPr>
        <w:br/>
      </w:r>
      <w:r w:rsidRPr="00D415B9">
        <w:rPr>
          <w:rFonts w:ascii="Arial" w:hAnsi="Arial" w:cs="Arial"/>
          <w:b/>
          <w:color w:val="000000" w:themeColor="text1"/>
          <w:sz w:val="20"/>
          <w:szCs w:val="20"/>
        </w:rPr>
        <w:t>nhóm 71.13, 71.14 và 71.15 tại Biểu thuế xuất khẩu theo Danh mục mặt</w:t>
      </w:r>
      <w:r w:rsidRPr="00D415B9">
        <w:rPr>
          <w:rFonts w:ascii="Arial" w:hAnsi="Arial" w:cs="Arial"/>
          <w:color w:val="000000" w:themeColor="text1"/>
          <w:sz w:val="20"/>
          <w:szCs w:val="20"/>
        </w:rPr>
        <w:br/>
      </w:r>
      <w:r w:rsidRPr="00D415B9">
        <w:rPr>
          <w:rFonts w:ascii="Arial" w:hAnsi="Arial" w:cs="Arial"/>
          <w:b/>
          <w:color w:val="000000" w:themeColor="text1"/>
          <w:sz w:val="20"/>
          <w:szCs w:val="20"/>
        </w:rPr>
        <w:t>hàng chịu thuế ban hành kèm theo Nghị định số 26/2023/NĐ-CP ngày 31</w:t>
      </w:r>
      <w:r w:rsidRPr="00D415B9">
        <w:rPr>
          <w:rFonts w:ascii="Arial" w:hAnsi="Arial" w:cs="Arial"/>
          <w:color w:val="000000" w:themeColor="text1"/>
          <w:sz w:val="20"/>
          <w:szCs w:val="20"/>
        </w:rPr>
        <w:br/>
      </w:r>
      <w:r w:rsidRPr="00D415B9">
        <w:rPr>
          <w:rFonts w:ascii="Arial" w:hAnsi="Arial" w:cs="Arial"/>
          <w:b/>
          <w:color w:val="000000" w:themeColor="text1"/>
          <w:sz w:val="20"/>
          <w:szCs w:val="20"/>
        </w:rPr>
        <w:t>tháng 5 năm 2023 của Chính phủ về Biểu thuế xuất khẩu, Biểu thuế</w:t>
      </w:r>
      <w:r w:rsidRPr="00D415B9">
        <w:rPr>
          <w:rFonts w:ascii="Arial" w:hAnsi="Arial" w:cs="Arial"/>
          <w:color w:val="000000" w:themeColor="text1"/>
          <w:sz w:val="20"/>
          <w:szCs w:val="20"/>
        </w:rPr>
        <w:br/>
      </w:r>
      <w:r w:rsidRPr="00D415B9">
        <w:rPr>
          <w:rFonts w:ascii="Arial" w:hAnsi="Arial" w:cs="Arial"/>
          <w:b/>
          <w:color w:val="000000" w:themeColor="text1"/>
          <w:sz w:val="20"/>
          <w:szCs w:val="20"/>
        </w:rPr>
        <w:t>nhập khẩu ưu đãi, Danh mục hàng hóa và mức thuế tuyệt đối, thuế hỗn hợp,</w:t>
      </w:r>
      <w:r w:rsidRPr="00D415B9">
        <w:rPr>
          <w:rFonts w:ascii="Arial" w:hAnsi="Arial" w:cs="Arial"/>
          <w:color w:val="000000" w:themeColor="text1"/>
          <w:sz w:val="20"/>
          <w:szCs w:val="20"/>
        </w:rPr>
        <w:br/>
      </w:r>
      <w:r w:rsidRPr="00D415B9">
        <w:rPr>
          <w:rFonts w:ascii="Arial" w:hAnsi="Arial" w:cs="Arial"/>
          <w:b/>
          <w:color w:val="000000" w:themeColor="text1"/>
          <w:sz w:val="20"/>
          <w:szCs w:val="20"/>
        </w:rPr>
        <w:t>thuế nhập khẩu ngoài hạn ngạch thuế quan</w:t>
      </w:r>
    </w:p>
    <w:p w:rsidR="00D415B9" w:rsidRPr="00D415B9" w:rsidRDefault="00D415B9" w:rsidP="00D415B9">
      <w:pPr>
        <w:spacing w:after="0" w:line="240" w:lineRule="auto"/>
        <w:jc w:val="center"/>
        <w:rPr>
          <w:rFonts w:ascii="Arial" w:hAnsi="Arial" w:cs="Arial"/>
          <w:color w:val="000000" w:themeColor="text1"/>
          <w:sz w:val="20"/>
          <w:szCs w:val="20"/>
        </w:rPr>
      </w:pP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Căn cứ Luật Tổ chức Chính phủ số 63/2025/QH15;</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 xml:space="preserve">Căn cứ </w:t>
      </w:r>
      <w:r w:rsidR="007365A9">
        <w:rPr>
          <w:rFonts w:ascii="Arial" w:hAnsi="Arial" w:cs="Arial"/>
          <w:i/>
          <w:color w:val="000000" w:themeColor="text1"/>
          <w:sz w:val="20"/>
          <w:szCs w:val="20"/>
        </w:rPr>
        <w:t>Luật</w:t>
      </w:r>
      <w:r w:rsidRPr="00D415B9">
        <w:rPr>
          <w:rFonts w:ascii="Arial" w:hAnsi="Arial" w:cs="Arial"/>
          <w:i/>
          <w:color w:val="000000" w:themeColor="text1"/>
          <w:sz w:val="20"/>
          <w:szCs w:val="20"/>
        </w:rPr>
        <w:t xml:space="preserve"> Thuế xuất khẩu, thuế nhập khẩu số 107/2016/QH13 được sửa đổi, bổ sung bởi Luật số 90/2025/QH15;</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Căn cứ Luật Quản lý thuế số 38/2019/QH14 được sửa đổi, bổ sung bởi Luật số 56/2024/QH15;</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Căn cứ Luật Hải quan số 54/2014/QH13 được sửa đổi, bổ sung bởi Luật số 90/2025/QH15;</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Căn cứ Nghị quyết số 71/2006/QH11 của Quốc hội phê chuẩn Nghị định thư gia nhập Hiệp định thành lập Tổ chức thương mại thế giới của nước Cộng hòa xã hội chủ nghĩa Việt Nam;</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i/>
          <w:color w:val="000000" w:themeColor="text1"/>
          <w:sz w:val="20"/>
          <w:szCs w:val="20"/>
        </w:rPr>
        <w:t>Theo đề nghị của Bộ trưởng Bộ Tài chính;</w:t>
      </w:r>
    </w:p>
    <w:p w:rsidR="005F67AD" w:rsidRDefault="005109A6" w:rsidP="00D415B9">
      <w:pPr>
        <w:adjustRightInd w:val="0"/>
        <w:snapToGrid w:val="0"/>
        <w:spacing w:after="0" w:line="240" w:lineRule="auto"/>
        <w:ind w:firstLine="720"/>
        <w:jc w:val="both"/>
        <w:rPr>
          <w:rFonts w:ascii="Arial" w:hAnsi="Arial" w:cs="Arial"/>
          <w:i/>
          <w:color w:val="000000" w:themeColor="text1"/>
          <w:sz w:val="20"/>
          <w:szCs w:val="20"/>
        </w:rPr>
      </w:pPr>
      <w:r w:rsidRPr="00D415B9">
        <w:rPr>
          <w:rFonts w:ascii="Arial" w:hAnsi="Arial" w:cs="Arial"/>
          <w:i/>
          <w:color w:val="000000" w:themeColor="text1"/>
          <w:sz w:val="20"/>
          <w:szCs w:val="20"/>
        </w:rPr>
        <w:t>Chính phủ ban hành Nghị định sửa đổi mức thuế suất thuế xuất khẩu đối với một số mặt hàng thuộc nhóm 71.13, 71.14 và 71.15 tại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sidR="00D415B9" w:rsidRPr="00D415B9" w:rsidRDefault="00D415B9" w:rsidP="00D415B9">
      <w:pPr>
        <w:adjustRightInd w:val="0"/>
        <w:snapToGrid w:val="0"/>
        <w:spacing w:after="0" w:line="240" w:lineRule="auto"/>
        <w:ind w:firstLine="720"/>
        <w:jc w:val="both"/>
        <w:rPr>
          <w:rFonts w:ascii="Arial" w:hAnsi="Arial" w:cs="Arial"/>
          <w:color w:val="000000" w:themeColor="text1"/>
          <w:sz w:val="20"/>
          <w:szCs w:val="20"/>
        </w:rPr>
      </w:pP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b/>
          <w:color w:val="000000" w:themeColor="text1"/>
          <w:sz w:val="20"/>
          <w:szCs w:val="20"/>
        </w:rPr>
        <w:t>Điều 1. Sửa đổi mức thuế suất thuế xuất khẩu đối với một số mặt hàng quy định tại Phụ lục 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color w:val="000000" w:themeColor="text1"/>
          <w:sz w:val="20"/>
          <w:szCs w:val="20"/>
        </w:rPr>
        <w:t>Sửa đổi mức thuế suất thuế xuất khẩu đối với một số mặt hàng thuộc nhóm 71.13, 71.14 và 71.15 quy định tại Phụ lục I -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thành các mức thuế suất thuế xuất khẩu mới quy định tại Phụ lục ban hành kèm theo Nghị định này.</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b/>
          <w:color w:val="000000" w:themeColor="text1"/>
          <w:sz w:val="20"/>
          <w:szCs w:val="20"/>
        </w:rPr>
        <w:t>Điều 2. Hiệu lực thi hành</w:t>
      </w:r>
    </w:p>
    <w:p w:rsidR="005F67AD" w:rsidRPr="00D415B9" w:rsidRDefault="005109A6" w:rsidP="00D415B9">
      <w:pPr>
        <w:adjustRightInd w:val="0"/>
        <w:snapToGrid w:val="0"/>
        <w:spacing w:after="120" w:line="240" w:lineRule="auto"/>
        <w:ind w:firstLine="720"/>
        <w:jc w:val="both"/>
        <w:rPr>
          <w:rFonts w:ascii="Arial" w:hAnsi="Arial" w:cs="Arial"/>
          <w:color w:val="000000" w:themeColor="text1"/>
          <w:sz w:val="20"/>
          <w:szCs w:val="20"/>
        </w:rPr>
      </w:pPr>
      <w:r w:rsidRPr="00D415B9">
        <w:rPr>
          <w:rFonts w:ascii="Arial" w:hAnsi="Arial" w:cs="Arial"/>
          <w:color w:val="000000" w:themeColor="text1"/>
          <w:sz w:val="20"/>
          <w:szCs w:val="20"/>
        </w:rPr>
        <w:t>1. Nghị định này có hiệu lực thi hành kể từ ngày ký ban hành.</w:t>
      </w:r>
    </w:p>
    <w:p w:rsidR="005F67AD" w:rsidRDefault="005109A6" w:rsidP="00D415B9">
      <w:pPr>
        <w:adjustRightInd w:val="0"/>
        <w:snapToGrid w:val="0"/>
        <w:spacing w:after="0" w:line="240" w:lineRule="auto"/>
        <w:ind w:firstLine="720"/>
        <w:jc w:val="both"/>
        <w:rPr>
          <w:rFonts w:ascii="Arial" w:hAnsi="Arial" w:cs="Arial"/>
          <w:color w:val="000000" w:themeColor="text1"/>
          <w:sz w:val="20"/>
          <w:szCs w:val="20"/>
        </w:rPr>
      </w:pPr>
      <w:r w:rsidRPr="00D415B9">
        <w:rPr>
          <w:rFonts w:ascii="Arial" w:hAnsi="Arial" w:cs="Arial"/>
          <w:color w:val="000000" w:themeColor="text1"/>
          <w:sz w:val="20"/>
          <w:szCs w:val="20"/>
        </w:rPr>
        <w:t xml:space="preserve">2. Các Bộ trưởng, Thủ trưởng cơ quan ngang bộ, Chủ tịch </w:t>
      </w:r>
      <w:r w:rsidR="00D415B9">
        <w:rPr>
          <w:rFonts w:ascii="Arial" w:hAnsi="Arial" w:cs="Arial"/>
          <w:color w:val="000000" w:themeColor="text1"/>
          <w:sz w:val="20"/>
          <w:szCs w:val="20"/>
        </w:rPr>
        <w:t>Ủy ban</w:t>
      </w:r>
      <w:r w:rsidRPr="00D415B9">
        <w:rPr>
          <w:rFonts w:ascii="Arial" w:hAnsi="Arial" w:cs="Arial"/>
          <w:color w:val="000000" w:themeColor="text1"/>
          <w:sz w:val="20"/>
          <w:szCs w:val="20"/>
        </w:rPr>
        <w:t xml:space="preserve"> nhân dân các tỉnh, thành phố trực thuộc trung ương và các tổ chức, cá nhân có liên quan chịu trách nhiệm thi hành Nghị định này.</w:t>
      </w:r>
    </w:p>
    <w:p w:rsidR="00D415B9" w:rsidRPr="00D415B9" w:rsidRDefault="00D415B9" w:rsidP="00D415B9">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093"/>
        <w:gridCol w:w="3934"/>
      </w:tblGrid>
      <w:tr w:rsidR="00D415B9" w:rsidRPr="00D415B9" w:rsidTr="00D415B9">
        <w:tc>
          <w:tcPr>
            <w:tcW w:w="2821" w:type="pct"/>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i/>
                <w:color w:val="000000" w:themeColor="text1"/>
                <w:sz w:val="20"/>
                <w:szCs w:val="20"/>
              </w:rPr>
              <w:t>Nơi nhận:</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Ban Bí thư Trung ương Đảng;</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Thủ tướng, các Phó Thủ tướng Chính phủ;</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Các bộ, cơ quan ngang bộ, cơ quan thuộc Chính phủ;</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HĐND, UBND các tỉnh, thành phố trực thuộc trung ương;</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Văn phòng Trung ương và các Ban của Đảng;</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Văn phòng Tổng Bí thư;</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Văn phòng Chủ tịch nước;</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xml:space="preserve">- Hội đồng Dân tộc và các </w:t>
            </w:r>
            <w:r w:rsidR="00D415B9">
              <w:rPr>
                <w:rFonts w:ascii="Arial" w:hAnsi="Arial" w:cs="Arial"/>
                <w:color w:val="000000" w:themeColor="text1"/>
                <w:sz w:val="20"/>
                <w:szCs w:val="20"/>
              </w:rPr>
              <w:t>Ủy ban</w:t>
            </w:r>
            <w:r w:rsidRPr="00D415B9">
              <w:rPr>
                <w:rFonts w:ascii="Arial" w:hAnsi="Arial" w:cs="Arial"/>
                <w:color w:val="000000" w:themeColor="text1"/>
                <w:sz w:val="20"/>
                <w:szCs w:val="20"/>
              </w:rPr>
              <w:t xml:space="preserve"> của Quốc hội;</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Văn ph</w:t>
            </w:r>
            <w:bookmarkStart w:id="0" w:name="_GoBack"/>
            <w:bookmarkEnd w:id="0"/>
            <w:r w:rsidRPr="00D415B9">
              <w:rPr>
                <w:rFonts w:ascii="Arial" w:hAnsi="Arial" w:cs="Arial"/>
                <w:color w:val="000000" w:themeColor="text1"/>
                <w:sz w:val="20"/>
                <w:szCs w:val="20"/>
              </w:rPr>
              <w:t>òng Quốc hội;</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lastRenderedPageBreak/>
              <w:t>- Tòa án nhân dân tối cao;</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Viện Kiểm sát nhân dân tối cao;</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Kiểm toán nhà nước;</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xml:space="preserve">- </w:t>
            </w:r>
            <w:r w:rsidR="00D415B9">
              <w:rPr>
                <w:rFonts w:ascii="Arial" w:hAnsi="Arial" w:cs="Arial"/>
                <w:color w:val="000000" w:themeColor="text1"/>
                <w:sz w:val="20"/>
                <w:szCs w:val="20"/>
              </w:rPr>
              <w:t>Ủy ban</w:t>
            </w:r>
            <w:r w:rsidRPr="00D415B9">
              <w:rPr>
                <w:rFonts w:ascii="Arial" w:hAnsi="Arial" w:cs="Arial"/>
                <w:color w:val="000000" w:themeColor="text1"/>
                <w:sz w:val="20"/>
                <w:szCs w:val="20"/>
              </w:rPr>
              <w:t xml:space="preserve"> trung ương Mặt trận Tổ quốc Việt Nam;</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Cơ quan Trung ương của các tổ chức chính trị - xã hội;</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VPCP: BTCN, các PCN, Trợ lý TTg, TGĐ Cổng TTĐT, </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các Vụ, Cục, đơn vị trực thuộc, công báo;</w:t>
            </w:r>
          </w:p>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Lưu: VT, KTTH (2b).</w:t>
            </w:r>
          </w:p>
        </w:tc>
        <w:tc>
          <w:tcPr>
            <w:tcW w:w="2179" w:type="pct"/>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lastRenderedPageBreak/>
              <w:t>TM. CHÍNH PHỦ</w:t>
            </w:r>
          </w:p>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KT. THỦ TƯỚNG</w:t>
            </w:r>
          </w:p>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PHÓ THỦ TƯỚNG</w:t>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color w:val="000000" w:themeColor="text1"/>
                <w:sz w:val="20"/>
                <w:szCs w:val="20"/>
              </w:rPr>
              <w:br/>
            </w:r>
            <w:r w:rsidRPr="00D415B9">
              <w:rPr>
                <w:rFonts w:ascii="Arial" w:hAnsi="Arial" w:cs="Arial"/>
                <w:b/>
                <w:color w:val="000000" w:themeColor="text1"/>
                <w:sz w:val="20"/>
                <w:szCs w:val="20"/>
              </w:rPr>
              <w:t>Hồ Đức Phớc</w:t>
            </w:r>
          </w:p>
        </w:tc>
      </w:tr>
    </w:tbl>
    <w:p w:rsidR="00D415B9" w:rsidRDefault="00D415B9" w:rsidP="00D415B9">
      <w:pPr>
        <w:spacing w:after="0" w:line="240" w:lineRule="auto"/>
        <w:rPr>
          <w:rFonts w:ascii="Arial" w:hAnsi="Arial" w:cs="Arial"/>
          <w:b/>
          <w:color w:val="000000" w:themeColor="text1"/>
          <w:sz w:val="20"/>
          <w:szCs w:val="20"/>
        </w:rPr>
      </w:pPr>
    </w:p>
    <w:p w:rsidR="00D415B9" w:rsidRDefault="00D415B9">
      <w:pPr>
        <w:rPr>
          <w:rFonts w:ascii="Arial" w:hAnsi="Arial" w:cs="Arial"/>
          <w:b/>
          <w:color w:val="000000" w:themeColor="text1"/>
          <w:sz w:val="20"/>
          <w:szCs w:val="20"/>
        </w:rPr>
      </w:pPr>
      <w:r>
        <w:rPr>
          <w:rFonts w:ascii="Arial" w:hAnsi="Arial" w:cs="Arial"/>
          <w:b/>
          <w:color w:val="000000" w:themeColor="text1"/>
          <w:sz w:val="20"/>
          <w:szCs w:val="20"/>
        </w:rPr>
        <w:br w:type="page"/>
      </w:r>
    </w:p>
    <w:p w:rsidR="005F67AD" w:rsidRPr="00D415B9" w:rsidRDefault="00D415B9" w:rsidP="00D415B9">
      <w:pPr>
        <w:spacing w:after="0" w:line="240" w:lineRule="auto"/>
        <w:jc w:val="center"/>
        <w:rPr>
          <w:rFonts w:ascii="Arial" w:hAnsi="Arial" w:cs="Arial"/>
          <w:b/>
          <w:color w:val="000000" w:themeColor="text1"/>
          <w:sz w:val="20"/>
          <w:szCs w:val="20"/>
        </w:rPr>
      </w:pPr>
      <w:r w:rsidRPr="00D415B9">
        <w:rPr>
          <w:rFonts w:ascii="Arial" w:hAnsi="Arial" w:cs="Arial"/>
          <w:b/>
          <w:color w:val="000000" w:themeColor="text1"/>
          <w:sz w:val="20"/>
          <w:szCs w:val="20"/>
        </w:rPr>
        <w:lastRenderedPageBreak/>
        <w:t>PHỤ LỤC</w:t>
      </w:r>
    </w:p>
    <w:p w:rsidR="005F67AD" w:rsidRPr="00D415B9" w:rsidRDefault="00D415B9" w:rsidP="00D415B9">
      <w:pPr>
        <w:spacing w:after="0" w:line="240" w:lineRule="auto"/>
        <w:jc w:val="center"/>
        <w:rPr>
          <w:rFonts w:ascii="Arial" w:hAnsi="Arial" w:cs="Arial"/>
          <w:b/>
          <w:color w:val="000000" w:themeColor="text1"/>
          <w:sz w:val="20"/>
          <w:szCs w:val="20"/>
        </w:rPr>
      </w:pPr>
      <w:r w:rsidRPr="00D415B9">
        <w:rPr>
          <w:rFonts w:ascii="Arial" w:hAnsi="Arial" w:cs="Arial"/>
          <w:b/>
          <w:color w:val="000000" w:themeColor="text1"/>
          <w:sz w:val="20"/>
          <w:szCs w:val="20"/>
        </w:rPr>
        <w:t>SỬA ĐỔI MỨC THUẾ SUẤT THUẾ XUẤT KHẨU CỦA MỘT SỐ MẶT</w:t>
      </w:r>
      <w:r w:rsidRPr="00D415B9">
        <w:rPr>
          <w:rFonts w:ascii="Arial" w:hAnsi="Arial" w:cs="Arial"/>
          <w:b/>
          <w:color w:val="000000" w:themeColor="text1"/>
          <w:sz w:val="20"/>
          <w:szCs w:val="20"/>
        </w:rPr>
        <w:br/>
        <w:t>HÀNG THUỘC NHÓM</w:t>
      </w:r>
      <w:r>
        <w:rPr>
          <w:rFonts w:ascii="Arial" w:hAnsi="Arial" w:cs="Arial"/>
          <w:b/>
          <w:color w:val="000000" w:themeColor="text1"/>
          <w:sz w:val="20"/>
          <w:szCs w:val="20"/>
        </w:rPr>
        <w:t xml:space="preserve"> 71.13,</w:t>
      </w:r>
      <w:r w:rsidRPr="00D415B9">
        <w:rPr>
          <w:rFonts w:ascii="Arial" w:hAnsi="Arial" w:cs="Arial"/>
          <w:b/>
          <w:color w:val="000000" w:themeColor="text1"/>
          <w:sz w:val="20"/>
          <w:szCs w:val="20"/>
        </w:rPr>
        <w:t xml:space="preserve"> 71.14 VÀ 71.15 TẠI PHỤ LỤC I BAN HÀNH</w:t>
      </w:r>
      <w:r w:rsidRPr="00D415B9">
        <w:rPr>
          <w:rFonts w:ascii="Arial" w:hAnsi="Arial" w:cs="Arial"/>
          <w:b/>
          <w:color w:val="000000" w:themeColor="text1"/>
          <w:sz w:val="20"/>
          <w:szCs w:val="20"/>
        </w:rPr>
        <w:br/>
        <w:t>KÈM THEO</w:t>
      </w:r>
      <w:r>
        <w:rPr>
          <w:rFonts w:ascii="Arial" w:hAnsi="Arial" w:cs="Arial"/>
          <w:b/>
          <w:color w:val="000000" w:themeColor="text1"/>
          <w:sz w:val="20"/>
          <w:szCs w:val="20"/>
        </w:rPr>
        <w:t xml:space="preserve"> </w:t>
      </w:r>
      <w:r w:rsidRPr="00D415B9">
        <w:rPr>
          <w:rFonts w:ascii="Arial" w:hAnsi="Arial" w:cs="Arial"/>
          <w:b/>
          <w:color w:val="000000" w:themeColor="text1"/>
          <w:sz w:val="20"/>
          <w:szCs w:val="20"/>
        </w:rPr>
        <w:t>NGHỊ</w:t>
      </w:r>
      <w:r>
        <w:rPr>
          <w:rFonts w:ascii="Arial" w:hAnsi="Arial" w:cs="Arial"/>
          <w:b/>
          <w:color w:val="000000" w:themeColor="text1"/>
          <w:sz w:val="20"/>
          <w:szCs w:val="20"/>
        </w:rPr>
        <w:t xml:space="preserve"> </w:t>
      </w:r>
      <w:r w:rsidRPr="00D415B9">
        <w:rPr>
          <w:rFonts w:ascii="Arial" w:hAnsi="Arial" w:cs="Arial"/>
          <w:b/>
          <w:color w:val="000000" w:themeColor="text1"/>
          <w:sz w:val="20"/>
          <w:szCs w:val="20"/>
        </w:rPr>
        <w:t>ĐỊNH</w:t>
      </w:r>
      <w:r>
        <w:rPr>
          <w:rFonts w:ascii="Arial" w:hAnsi="Arial" w:cs="Arial"/>
          <w:b/>
          <w:color w:val="000000" w:themeColor="text1"/>
          <w:sz w:val="20"/>
          <w:szCs w:val="20"/>
        </w:rPr>
        <w:t xml:space="preserve"> </w:t>
      </w:r>
      <w:r w:rsidRPr="00D415B9">
        <w:rPr>
          <w:rFonts w:ascii="Arial" w:hAnsi="Arial" w:cs="Arial"/>
          <w:b/>
          <w:color w:val="000000" w:themeColor="text1"/>
          <w:sz w:val="20"/>
          <w:szCs w:val="20"/>
        </w:rPr>
        <w:t>SỐ</w:t>
      </w:r>
      <w:r w:rsidR="007365A9">
        <w:rPr>
          <w:rFonts w:ascii="Arial" w:hAnsi="Arial" w:cs="Arial"/>
          <w:b/>
          <w:color w:val="000000" w:themeColor="text1"/>
          <w:sz w:val="20"/>
          <w:szCs w:val="20"/>
        </w:rPr>
        <w:t xml:space="preserve"> 26</w:t>
      </w:r>
      <w:r w:rsidRPr="00D415B9">
        <w:rPr>
          <w:rFonts w:ascii="Arial" w:hAnsi="Arial" w:cs="Arial"/>
          <w:b/>
          <w:color w:val="000000" w:themeColor="text1"/>
          <w:sz w:val="20"/>
          <w:szCs w:val="20"/>
        </w:rPr>
        <w:t>/202</w:t>
      </w:r>
      <w:r w:rsidR="003E1D44">
        <w:rPr>
          <w:rFonts w:ascii="Arial" w:hAnsi="Arial" w:cs="Arial"/>
          <w:b/>
          <w:color w:val="000000" w:themeColor="text1"/>
          <w:sz w:val="20"/>
          <w:szCs w:val="20"/>
        </w:rPr>
        <w:t>3</w:t>
      </w:r>
      <w:r w:rsidRPr="00D415B9">
        <w:rPr>
          <w:rFonts w:ascii="Arial" w:hAnsi="Arial" w:cs="Arial"/>
          <w:b/>
          <w:color w:val="000000" w:themeColor="text1"/>
          <w:sz w:val="20"/>
          <w:szCs w:val="20"/>
        </w:rPr>
        <w:t>/NĐ-CP</w:t>
      </w:r>
    </w:p>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i/>
          <w:color w:val="000000" w:themeColor="text1"/>
          <w:sz w:val="20"/>
          <w:szCs w:val="20"/>
        </w:rPr>
        <w:t>(Kèm theo Nghị định số 26</w:t>
      </w:r>
      <w:r w:rsidR="003E1D44">
        <w:rPr>
          <w:rFonts w:ascii="Arial" w:hAnsi="Arial" w:cs="Arial"/>
          <w:i/>
          <w:color w:val="000000" w:themeColor="text1"/>
          <w:sz w:val="20"/>
          <w:szCs w:val="20"/>
        </w:rPr>
        <w:t>0</w:t>
      </w:r>
      <w:r w:rsidRPr="00D415B9">
        <w:rPr>
          <w:rFonts w:ascii="Arial" w:hAnsi="Arial" w:cs="Arial"/>
          <w:i/>
          <w:color w:val="000000" w:themeColor="text1"/>
          <w:sz w:val="20"/>
          <w:szCs w:val="20"/>
        </w:rPr>
        <w:t>/2025/NĐ-CP</w:t>
      </w:r>
      <w:r w:rsidR="00D415B9">
        <w:rPr>
          <w:rFonts w:ascii="Arial" w:hAnsi="Arial" w:cs="Arial"/>
          <w:i/>
          <w:color w:val="000000" w:themeColor="text1"/>
          <w:sz w:val="20"/>
          <w:szCs w:val="20"/>
        </w:rPr>
        <w:br/>
      </w:r>
      <w:r w:rsidRPr="00D415B9">
        <w:rPr>
          <w:rFonts w:ascii="Arial" w:hAnsi="Arial" w:cs="Arial"/>
          <w:i/>
          <w:color w:val="000000" w:themeColor="text1"/>
          <w:sz w:val="20"/>
          <w:szCs w:val="20"/>
        </w:rPr>
        <w:t>ngày 10 tháng 10 năm 2025 của Chính phủ)</w:t>
      </w:r>
    </w:p>
    <w:p w:rsidR="005F67AD" w:rsidRPr="00D415B9" w:rsidRDefault="005F67AD" w:rsidP="00D415B9">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021"/>
        <w:gridCol w:w="6826"/>
        <w:gridCol w:w="762"/>
      </w:tblGrid>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Mã hàng</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Mô tả hàng hóa</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Thuế suất</w:t>
            </w:r>
          </w:p>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134</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71.13</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Đồ trang sức và các bộ phận của đồ trang sức, bằng kim loại quý hoặc kim loại được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Bảng kim loại quý đã hoặc chưa mạ hoặc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7113.11</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Bảng bạc, đã hoặc chưa mạ hoặc dát phủ kim loại quý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7113.11.10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 Bộ phận</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7113.11.90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  Loại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7113.19</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Bằng kim loại quý khác, đã hoặc chưa mạ hoặc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7113.19.10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 Bộ phận</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7113.19.90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 Loại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7113.20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Bằng kim loại cơ bản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7113.20.10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Bộ phận</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7113.20.90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Loại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135</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71.14</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Đồ kỹ nghệ vàng hoặc bạc và các bộ phận của đồ kỹ nghệ vàng bạc, bằng kim loại quý hoặc kim loại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Bảng kim loại quý đã hoặc chưa mạ hoặc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7114.11.00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Bằng bạc, đã hoặc chưa mạ hoặc dát phủ kim loại quý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7114.19.00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Bảng kim loại quý khác, đã hoặc chưa mạ hoặc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7114.20.00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Bằng kim loại cơ bản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b/>
                <w:color w:val="000000" w:themeColor="text1"/>
                <w:sz w:val="20"/>
                <w:szCs w:val="20"/>
              </w:rPr>
              <w:t>136</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71.15</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b/>
                <w:color w:val="000000" w:themeColor="text1"/>
                <w:sz w:val="20"/>
                <w:szCs w:val="20"/>
              </w:rPr>
              <w:t>Các sản phẩm khác bằng kim loại quý hoặc kim loại dát phủ kim loại quý.</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7115.10.00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Vật xúc tác ở dạng tấm đan hoặc lưới, bằng bạch kim</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7115.90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Loại khác: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7115.90.10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Bằng vàng hoặc bạc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nil"/>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7115.90.20</w:t>
            </w:r>
          </w:p>
        </w:tc>
        <w:tc>
          <w:tcPr>
            <w:tcW w:w="0" w:type="auto"/>
            <w:tcBorders>
              <w:top w:val="single" w:sz="8" w:space="0" w:color="000000"/>
              <w:left w:val="single" w:sz="8" w:space="0" w:color="000000"/>
              <w:bottom w:val="nil"/>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Bằng kim loại dát phủ vàng hoặc bạc</w:t>
            </w:r>
          </w:p>
        </w:tc>
        <w:tc>
          <w:tcPr>
            <w:tcW w:w="0" w:type="auto"/>
            <w:tcBorders>
              <w:top w:val="single" w:sz="8" w:space="0" w:color="000000"/>
              <w:left w:val="single" w:sz="8" w:space="0" w:color="000000"/>
              <w:bottom w:val="nil"/>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r w:rsidR="00D415B9" w:rsidRPr="00D415B9" w:rsidTr="00D415B9">
        <w:tc>
          <w:tcPr>
            <w:tcW w:w="0" w:type="auto"/>
            <w:tcBorders>
              <w:top w:val="single" w:sz="8" w:space="0" w:color="000000"/>
              <w:left w:val="single" w:sz="8" w:space="0" w:color="000000"/>
              <w:bottom w:val="single" w:sz="8" w:space="0" w:color="000000"/>
              <w:right w:val="nil"/>
            </w:tcBorders>
            <w:vAlign w:val="center"/>
          </w:tcPr>
          <w:p w:rsidR="005F67AD" w:rsidRPr="00D415B9" w:rsidRDefault="005F67AD" w:rsidP="00D415B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7115.90.90</w:t>
            </w:r>
          </w:p>
        </w:tc>
        <w:tc>
          <w:tcPr>
            <w:tcW w:w="0" w:type="auto"/>
            <w:tcBorders>
              <w:top w:val="single" w:sz="8" w:space="0" w:color="000000"/>
              <w:left w:val="single" w:sz="8" w:space="0" w:color="000000"/>
              <w:bottom w:val="single" w:sz="8" w:space="0" w:color="000000"/>
              <w:right w:val="nil"/>
            </w:tcBorders>
            <w:vAlign w:val="center"/>
          </w:tcPr>
          <w:p w:rsidR="005F67AD" w:rsidRPr="00D415B9" w:rsidRDefault="005109A6" w:rsidP="00D415B9">
            <w:pPr>
              <w:spacing w:after="0" w:line="240" w:lineRule="auto"/>
              <w:rPr>
                <w:rFonts w:ascii="Arial" w:hAnsi="Arial" w:cs="Arial"/>
                <w:color w:val="000000" w:themeColor="text1"/>
                <w:sz w:val="20"/>
                <w:szCs w:val="20"/>
              </w:rPr>
            </w:pPr>
            <w:r w:rsidRPr="00D415B9">
              <w:rPr>
                <w:rFonts w:ascii="Arial" w:hAnsi="Arial" w:cs="Arial"/>
                <w:color w:val="000000" w:themeColor="text1"/>
                <w:sz w:val="20"/>
                <w:szCs w:val="20"/>
              </w:rPr>
              <w:t>- - Loại khác</w:t>
            </w:r>
          </w:p>
        </w:tc>
        <w:tc>
          <w:tcPr>
            <w:tcW w:w="0" w:type="auto"/>
            <w:tcBorders>
              <w:top w:val="single" w:sz="8" w:space="0" w:color="000000"/>
              <w:left w:val="single" w:sz="8" w:space="0" w:color="000000"/>
              <w:bottom w:val="single" w:sz="8" w:space="0" w:color="000000"/>
              <w:right w:val="single" w:sz="8" w:space="0" w:color="000000"/>
            </w:tcBorders>
            <w:vAlign w:val="center"/>
          </w:tcPr>
          <w:p w:rsidR="005F67AD" w:rsidRPr="00D415B9" w:rsidRDefault="005109A6" w:rsidP="00D415B9">
            <w:pPr>
              <w:spacing w:after="0" w:line="240" w:lineRule="auto"/>
              <w:jc w:val="center"/>
              <w:rPr>
                <w:rFonts w:ascii="Arial" w:hAnsi="Arial" w:cs="Arial"/>
                <w:color w:val="000000" w:themeColor="text1"/>
                <w:sz w:val="20"/>
                <w:szCs w:val="20"/>
              </w:rPr>
            </w:pPr>
            <w:r w:rsidRPr="00D415B9">
              <w:rPr>
                <w:rFonts w:ascii="Arial" w:hAnsi="Arial" w:cs="Arial"/>
                <w:color w:val="000000" w:themeColor="text1"/>
                <w:sz w:val="20"/>
                <w:szCs w:val="20"/>
              </w:rPr>
              <w:t>0</w:t>
            </w:r>
          </w:p>
        </w:tc>
      </w:tr>
    </w:tbl>
    <w:p w:rsidR="005109A6" w:rsidRPr="00D415B9" w:rsidRDefault="005109A6" w:rsidP="00D415B9">
      <w:pPr>
        <w:spacing w:after="0" w:line="240" w:lineRule="auto"/>
        <w:rPr>
          <w:rFonts w:ascii="Arial" w:hAnsi="Arial" w:cs="Arial"/>
          <w:color w:val="000000" w:themeColor="text1"/>
          <w:sz w:val="20"/>
          <w:szCs w:val="20"/>
        </w:rPr>
      </w:pPr>
    </w:p>
    <w:sectPr w:rsidR="005109A6" w:rsidRPr="00D415B9" w:rsidSect="005675ED">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B9" w:rsidRDefault="00797FB9">
      <w:pPr>
        <w:spacing w:after="0" w:line="240" w:lineRule="auto"/>
      </w:pPr>
      <w:r>
        <w:separator/>
      </w:r>
    </w:p>
  </w:endnote>
  <w:endnote w:type="continuationSeparator" w:id="0">
    <w:p w:rsidR="00797FB9" w:rsidRDefault="007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B9" w:rsidRDefault="00797FB9">
      <w:pPr>
        <w:spacing w:after="0" w:line="240" w:lineRule="auto"/>
      </w:pPr>
      <w:r>
        <w:separator/>
      </w:r>
    </w:p>
  </w:footnote>
  <w:footnote w:type="continuationSeparator" w:id="0">
    <w:p w:rsidR="00797FB9" w:rsidRDefault="00797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AD"/>
    <w:rsid w:val="00285DBB"/>
    <w:rsid w:val="003D69C5"/>
    <w:rsid w:val="003E1D44"/>
    <w:rsid w:val="00415347"/>
    <w:rsid w:val="00482557"/>
    <w:rsid w:val="005109A6"/>
    <w:rsid w:val="005675ED"/>
    <w:rsid w:val="005F67AD"/>
    <w:rsid w:val="007365A9"/>
    <w:rsid w:val="00797FB9"/>
    <w:rsid w:val="009541AE"/>
    <w:rsid w:val="00D4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DD101D-38F3-45D2-8A17-9917BDDA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5ED"/>
  </w:style>
  <w:style w:type="paragraph" w:styleId="Footer">
    <w:name w:val="footer"/>
    <w:basedOn w:val="Normal"/>
    <w:link w:val="FooterChar"/>
    <w:uiPriority w:val="99"/>
    <w:unhideWhenUsed/>
    <w:rsid w:val="00567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2025-10-13T01:33:00Z</dcterms:created>
  <dcterms:modified xsi:type="dcterms:W3CDTF">2025-10-13T08:30:00Z</dcterms:modified>
</cp:coreProperties>
</file>