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EE3318" w:rsidRPr="00EE3318" w14:paraId="5152882C" w14:textId="77777777">
        <w:tc>
          <w:tcPr>
            <w:tcW w:w="1645" w:type="pct"/>
          </w:tcPr>
          <w:p w14:paraId="23264E82" w14:textId="0794B15A" w:rsidR="005B1B2D" w:rsidRPr="00EE3318" w:rsidRDefault="004E3829" w:rsidP="00C4301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 PH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EE3318"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GB"/>
              </w:rPr>
              <w:br/>
            </w:r>
            <w:r w:rsidRPr="00EE331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EE3318" w:rsidRPr="00EE331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GB"/>
              </w:rPr>
              <w:br/>
            </w:r>
            <w:r w:rsidR="00EE3318" w:rsidRPr="00EE331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EE331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EE331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EE3318">
              <w:rPr>
                <w:rFonts w:ascii="Arial" w:hAnsi="Arial" w:cs="Arial"/>
                <w:color w:val="000000" w:themeColor="text1"/>
                <w:sz w:val="20"/>
                <w:szCs w:val="20"/>
              </w:rPr>
              <w:t>: 164/2025/NĐ-CP</w:t>
            </w:r>
          </w:p>
        </w:tc>
        <w:tc>
          <w:tcPr>
            <w:tcW w:w="3355" w:type="pct"/>
          </w:tcPr>
          <w:p w14:paraId="0F9E91F8" w14:textId="451DA178" w:rsidR="005B1B2D" w:rsidRPr="00EE3318" w:rsidRDefault="004E3829" w:rsidP="00C4301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="00EE3318"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="00EE3318" w:rsidRPr="00EE33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EE331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="00EE3318" w:rsidRPr="00EE331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EE331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EE331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EE331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29 tháng 6 năm 2025</w:t>
            </w:r>
          </w:p>
        </w:tc>
      </w:tr>
    </w:tbl>
    <w:p w14:paraId="483DF77D" w14:textId="77777777" w:rsidR="00EE3318" w:rsidRPr="00EE3318" w:rsidRDefault="00EE3318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5A424F2" w14:textId="77777777" w:rsidR="00EE3318" w:rsidRPr="00EE3318" w:rsidRDefault="00EE3318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3ED8D9" w14:textId="0C4C4949" w:rsidR="005B1B2D" w:rsidRPr="00EE3318" w:rsidRDefault="004E3829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411E702" w14:textId="25850306" w:rsidR="005B1B2D" w:rsidRPr="00EE3318" w:rsidRDefault="004E3829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giao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i </w:t>
      </w:r>
      <w:r w:rsidR="00EE3318" w:rsidRPr="00C4301A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và </w:t>
      </w:r>
      <w:r w:rsidR="00EE3318" w:rsidRPr="00EE3318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ơ 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54ADD140" w14:textId="2394AC32" w:rsidR="00EE3318" w:rsidRPr="00C4301A" w:rsidRDefault="00EE3318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 w:rsidRPr="00C4301A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</w:t>
      </w:r>
    </w:p>
    <w:p w14:paraId="092A62D8" w14:textId="77777777" w:rsidR="00EE3318" w:rsidRPr="00EE3318" w:rsidRDefault="00EE3318" w:rsidP="00C4301A">
      <w:pPr>
        <w:widowControl w:val="0"/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DD7F9F7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t T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 Chính ph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ngày 18 tháng 02 năm 2025;</w:t>
      </w:r>
    </w:p>
    <w:p w14:paraId="319D4216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t B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i ngày 29 tháng 6 năm 2024;</w:t>
      </w:r>
    </w:p>
    <w:p w14:paraId="78FD1929" w14:textId="283FE338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t D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u ngày 30 tháng 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1</w:t>
      </w:r>
      <w:r w:rsidR="00B739B2" w:rsidRPr="00B1724C">
        <w:rPr>
          <w:rFonts w:ascii="Arial" w:hAnsi="Arial" w:cs="Arial"/>
          <w:i/>
          <w:iCs/>
          <w:color w:val="000000" w:themeColor="text1"/>
          <w:sz w:val="20"/>
          <w:szCs w:val="20"/>
        </w:rPr>
        <w:t>1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năm 2024;</w:t>
      </w:r>
    </w:p>
    <w:p w14:paraId="20BB2B90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t Giao d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ngày 22 tháng 6 năm 2023;</w:t>
      </w:r>
    </w:p>
    <w:p w14:paraId="4782FBEB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t An toàn thông tin m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ng ngày 19 tháng 11 năm 2015;</w:t>
      </w:r>
    </w:p>
    <w:p w14:paraId="07074097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t Ti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p c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n thông tin ngày 06 tháng 4 năm 2016;</w:t>
      </w:r>
    </w:p>
    <w:p w14:paraId="3C4588A5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Căn c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Lu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t An ninh m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ng ngày 12 tháng 6 năm 2018;</w:t>
      </w:r>
    </w:p>
    <w:p w14:paraId="5297E6BA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Theo đ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ngh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 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B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trư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;</w:t>
      </w:r>
    </w:p>
    <w:p w14:paraId="287B3DAC" w14:textId="77777777" w:rsidR="005B1B2D" w:rsidRPr="00EE3318" w:rsidRDefault="004E3829" w:rsidP="00C4301A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Chính ph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ban hành Ngh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nh quy đ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nh v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giao d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i và Cơ s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i/>
          <w:iCs/>
          <w:color w:val="000000" w:themeColor="text1"/>
          <w:sz w:val="20"/>
          <w:szCs w:val="20"/>
        </w:rPr>
        <w:t>m.</w:t>
      </w:r>
    </w:p>
    <w:p w14:paraId="0444B0D0" w14:textId="77777777" w:rsidR="00EE3318" w:rsidRPr="00C4301A" w:rsidRDefault="00EE3318" w:rsidP="00C4301A">
      <w:pPr>
        <w:widowControl w:val="0"/>
        <w:adjustRightInd w:val="0"/>
        <w:snapToGrid w:val="0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AF9A9A2" w14:textId="77777777" w:rsidR="005B1B2D" w:rsidRPr="00EE3318" w:rsidRDefault="004E3829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76ED5D87" w14:textId="77777777" w:rsidR="005B1B2D" w:rsidRPr="00EE3318" w:rsidRDefault="004E3829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63822709" w14:textId="77777777" w:rsidR="00EE3318" w:rsidRPr="00EE3318" w:rsidRDefault="00EE3318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0B29EE4B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2A77C99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u 25,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26, kho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30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và bi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pháp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thi hành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E63F31D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B729133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liên quan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trong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và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n;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liên quan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lý, khai thác và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539406C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u 3. 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Cách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công tr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tuy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trong lĩnh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2069427B" w14:textId="71266DE6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i trên </w:t>
      </w:r>
      <w:r w:rsidR="007D372F" w:rsidRPr="007D372F">
        <w:rPr>
          <w:rFonts w:ascii="Arial" w:hAnsi="Arial" w:cs="Arial"/>
          <w:color w:val="000000" w:themeColor="text1"/>
          <w:sz w:val="20"/>
          <w:szCs w:val="20"/>
        </w:rPr>
        <w:t>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01283AF6" w14:textId="683371E8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hành chính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tích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p,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B1724C" w:rsidRPr="00B1724C">
        <w:rPr>
          <w:rFonts w:ascii="Arial" w:hAnsi="Arial" w:cs="Arial"/>
          <w:color w:val="000000" w:themeColor="text1"/>
          <w:sz w:val="20"/>
          <w:szCs w:val="20"/>
        </w:rPr>
        <w:t>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và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F6A8D69" w14:textId="26D240A8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3.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thông qua tài kho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BFEF21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4. Nguyên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giao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 và xây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ng,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lý, khai thác và 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 Cơ 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1F459F47" w14:textId="0BB319CB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Nguyên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</w:t>
      </w:r>
    </w:p>
    <w:p w14:paraId="4CFC3BE9" w14:textId="04D27551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a)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không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vào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hành chính;</w:t>
      </w:r>
    </w:p>
    <w:p w14:paraId="039340AD" w14:textId="3CB5FDF8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b)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trên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tái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tin,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đã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hóa, tích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trên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u chuyên </w:t>
      </w:r>
      <w:bookmarkStart w:id="0" w:name="_GoBack"/>
      <w:bookmarkEnd w:id="0"/>
      <w:r w:rsidRPr="00EE3318">
        <w:rPr>
          <w:rFonts w:ascii="Arial" w:hAnsi="Arial" w:cs="Arial"/>
          <w:color w:val="000000" w:themeColor="text1"/>
          <w:sz w:val="20"/>
          <w:szCs w:val="20"/>
        </w:rPr>
        <w:t>ngành, kho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nhân.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c, cá nhân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lastRenderedPageBreak/>
        <w:t>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không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đã có, đã tí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trên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chuyên ngành, kho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nhân;</w:t>
      </w:r>
    </w:p>
    <w:p w14:paraId="4324D6F5" w14:textId="3F588B11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c)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u,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an toàn thông tin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ng, an ninh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ng,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và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có liên quan;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rõ ràng, không phân bi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phương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n, trung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an toàn,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5751FD" w14:textId="26A355B3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Nguyên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ây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lý, khai thác và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</w:t>
      </w:r>
    </w:p>
    <w:p w14:paraId="6BF140B5" w14:textId="0C327D2B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a)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ng, khai thác và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Trung ương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214C4BE1" w14:textId="6BB69682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b)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chính xác và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ngay sau khi các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hành chính,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có liên quan đã hoàn thành; duy trì 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liên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nh, thông su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t đáp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khai thác và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0707AE6A" w14:textId="4A12A69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c)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an toàn thông tin, an ninh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trong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lý, khai thác và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CBACA69" w14:textId="5C2F471B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d)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lý, khai thác,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chuyên ngành liên quan, tuân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theo tiêu chu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và Khung ki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  <w:vertAlign w:val="superscript"/>
        </w:rPr>
        <w:t>: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F3F6F0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5.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n, phương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E551208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70A18343" w14:textId="502CA9F1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Có tài kho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danh và xác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3590AE" w14:textId="42C8FBAC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Có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thư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còn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do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có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ký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4FC606B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6.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nh, 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t gi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m, đơn gi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hóa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sơ,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giao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gi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y sang giao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210BB06E" w14:textId="1197D068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đã hoàn thành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này thì không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các phương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khác và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n đã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hoàn thành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i tương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87C3158" w14:textId="5FD3C471" w:rsidR="005B1B2D" w:rsidRPr="00EE3318" w:rsidRDefault="004E3829" w:rsidP="00C4301A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các thành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mà đã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hóa, lưu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các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chuyên ngành thì không yêu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dân, doanh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cung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khi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hành chính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C23A2D0" w14:textId="77777777" w:rsidR="00EE3318" w:rsidRPr="00EE3318" w:rsidRDefault="00EE3318" w:rsidP="00C4301A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7DDE74" w14:textId="77777777" w:rsidR="005B1B2D" w:rsidRPr="00EE3318" w:rsidRDefault="004E3829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0ACBC7AF" w14:textId="2A11122E" w:rsidR="005B1B2D" w:rsidRPr="0095128E" w:rsidRDefault="0095128E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GIAO DỊCH ĐIỆN TỬ TRONG LĨNH VỰC BẢO HIỂM XÃ HỘI</w:t>
      </w:r>
    </w:p>
    <w:p w14:paraId="78499A21" w14:textId="77777777" w:rsidR="00EE3318" w:rsidRPr="0095128E" w:rsidRDefault="00EE3318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6B83940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7.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24791A54" w14:textId="07F88389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4F3C655" w14:textId="63DAD8FD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70C7F1A" w14:textId="5DC340EB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toán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574C238" w14:textId="269E5D80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c) Các văn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n, thông báo khác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B4B938C" w14:textId="2475C115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này có giá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pháp lý như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thông báo và các văn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D6813FC" w14:textId="547D045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và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CD3983E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8. 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6C84595D" w14:textId="5B1C62E8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lastRenderedPageBreak/>
        <w:t>1.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cho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duy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mã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và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25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C6532A2" w14:textId="58CB2E0A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là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 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như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y. </w:t>
      </w:r>
    </w:p>
    <w:p w14:paraId="41542F6B" w14:textId="2CA06614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3.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tích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tài kho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cá nhân tham gia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và lưu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kho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trên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hành chính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chính,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sau khi cá nhân,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thành công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5ABE90C" w14:textId="7D2E8005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4.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an có các thông tin như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y; do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an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p, tích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trên Tài kho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an và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các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bí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an ninh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phòng,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an toàn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F184EA5" w14:textId="1E865E69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5.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là ngày 01 thán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g 01 năm 2026 và có giá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pháp lý như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228DEF41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9. Yêu 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3A2045E3" w14:textId="62E10AEA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ký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t. Trư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văn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thì văn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đó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ký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ký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chuyên dùng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an toàn 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c. Trư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có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thì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có kh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năng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và xác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đã x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lý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trong quá trình luân chuy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ký cu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cùng.</w:t>
      </w:r>
    </w:p>
    <w:p w14:paraId="0325F4ED" w14:textId="79D700CE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có thành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n kèm theo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thì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tham gia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chuy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sang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sang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sang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6231EB4E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10.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 gian n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301D0CEB" w14:textId="1EB2C3C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các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24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ngày và 07 ngày trong tu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5856E55" w14:textId="6DF07E74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Thông báo xác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đã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kho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trên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ng thông tin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hành chính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chính,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15 phút sau khi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AE6A059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11. Quy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Pr="00EE3318">
        <w:rPr>
          <w:rFonts w:ascii="Arial" w:hAnsi="Arial" w:cs="Arial"/>
          <w:b/>
          <w:i/>
          <w:color w:val="000000" w:themeColor="text1"/>
          <w:sz w:val="20"/>
          <w:szCs w:val="20"/>
        </w:rPr>
        <w:t>cơ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quan,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c, cá nhân khi tham gia giao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CA25EA3" w14:textId="7635262D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và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khi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quá trình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1540B2" w14:textId="4273BB33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bí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t, tính toàn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các thông tin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65FD051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3.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đóng,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C7A399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12. Nghĩa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a cơ quan,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c, cá nhân khi tham gia giao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79DBD4D5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thông qua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4A517A6D" w14:textId="1D5C44A5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Không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các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đã đăng ký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gian đang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</w:t>
      </w:r>
      <w:r w:rsidR="007D372F" w:rsidRPr="007D37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2D2930C" w14:textId="67E33754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lastRenderedPageBreak/>
        <w:t>3.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thư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tính chính xác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thư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ký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trên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;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tài kho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danh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an toàn, an ninh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360046E" w14:textId="12CE8F53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4. Lưu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tính toàn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toàn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96DE55" w14:textId="672BCDB4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5.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Lưu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kê khai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cơ quan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nhưng chưa chuy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sang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; xu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trình kh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u, ki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tra.</w:t>
      </w:r>
    </w:p>
    <w:p w14:paraId="27DC2BB6" w14:textId="4A64BE45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6.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an toàn, an ninh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trao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485ADDF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7.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sang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cho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ơ quan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là 03 ngày làm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thu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trong trư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mà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trao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chưa kh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 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07 ngày làm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ngày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khác. Sau khi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có trách nhi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thông qua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576C2C29" w14:textId="0CEF2C4F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8.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hành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thanh tra,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tra,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các cơ quan nhà nư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BE70D2A" w14:textId="48716E4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9.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kê khai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và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19F0F028" w14:textId="42A070B6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10.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các nghĩa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B39F796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13.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thông qua 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công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gia</w:t>
      </w:r>
    </w:p>
    <w:p w14:paraId="09DC1328" w14:textId="1359C8A2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tham gia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truy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và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hành chính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5AD79AF4" w14:textId="638BD5DB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Trong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02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khi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sơ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Phi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qua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thư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cho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tham gia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C60700A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14.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k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 gi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a các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 thông tin trong giao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3AB6EA9A" w14:textId="427568BE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</w:t>
      </w:r>
      <w:r w:rsidR="007D372F" w:rsidRPr="007D37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Các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các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đáp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theo các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có quy mô và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vi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Trung ương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1652EDEA" w14:textId="77777777" w:rsidR="005B1B2D" w:rsidRPr="00C4301A" w:rsidRDefault="004E3829" w:rsidP="00C4301A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trao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trong các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hóa dư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trúc thông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trao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57F571F" w14:textId="77777777" w:rsidR="00EE3318" w:rsidRPr="00C4301A" w:rsidRDefault="00EE3318" w:rsidP="00C4301A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7DE6EE" w14:textId="77777777" w:rsidR="005B1B2D" w:rsidRPr="00EE3318" w:rsidRDefault="004E3829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2710DF6D" w14:textId="405CA835" w:rsidR="005B1B2D" w:rsidRPr="00344A8A" w:rsidRDefault="00344A8A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CƠ SỞ DỮ LIỆU QUỐC GIA VỀ BẢO HIỂM</w:t>
      </w:r>
    </w:p>
    <w:p w14:paraId="39FA210C" w14:textId="77777777" w:rsidR="00EE3318" w:rsidRPr="00344A8A" w:rsidRDefault="00EE3318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D581D75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15. Cơ quan ch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n, cơ quan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hành Cơ 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486EE892" w14:textId="2D400AD4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là cơ quan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61DD056D" w14:textId="0CEC3DA3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Trung tâm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là đơn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7725FF03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16.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a Cơ 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07B4FCD2" w14:textId="5E0548CA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bao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các thông tin sau:</w:t>
      </w:r>
    </w:p>
    <w:p w14:paraId="4553B8F7" w14:textId="0BC65E8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cơ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cá nhân bao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và tên khai sinh; ngày, tháng, năm sinh;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tính;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danh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á nhân 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u; dân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c;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ch; nơi đăng ký khai sinh; quê quán, nơi thư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trú;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và tên,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danh cá nhân 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cha,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pháp;</w:t>
      </w:r>
    </w:p>
    <w:p w14:paraId="37EBA9CE" w14:textId="54251F28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b) Thông tin liên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công dân;</w:t>
      </w:r>
    </w:p>
    <w:p w14:paraId="66DE2803" w14:textId="2F2931A0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c) Nhóm thông tin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gia đình: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; danh sách các thành viên trong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gia đình;</w:t>
      </w:r>
    </w:p>
    <w:p w14:paraId="73B1F5AB" w14:textId="5A6196C6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lastRenderedPageBreak/>
        <w:t>d) Nhóm thông tin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i: Mã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i; mã đơn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tham gia; cơ quan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lý; lo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i; phương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c đóng; quá trình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đóng,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i; mã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D2AA79F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đ) Nhóm thông tin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: Mã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theo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tham gia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; nơi đăng ký khám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ban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u;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có giá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tham gia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05 năm liên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c; thông tin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khóa (n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có); quá trình đóng,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ng; thông tin,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86D3409" w14:textId="6CE206FD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e) Nhóm thông tin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p: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Quá trình đóng,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ng;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gian đóng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lưu làm căn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tính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gian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0721CBA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g) Nhóm thông tin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m: Tên; mã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p/s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p; mã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danh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c;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chính; ngành,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kinh doanh (ho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ngành,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kinh doanh chính)/lĩnh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ng;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thư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; lo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hình doanh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p/lo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hình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c; phương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đóng. </w:t>
      </w:r>
    </w:p>
    <w:p w14:paraId="44C4F525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Thông tin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d, đ và e kho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này là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2FD63A8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17. Thu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t, 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vào Cơ 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5DE50E5A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vào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m, bao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764893C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6F183E9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dùng chung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A5E5591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dùng riêng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phòng, an ninh,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ngo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cơ 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u, phát tri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chuy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ích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ích côn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0055FF0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d)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cơ quan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ban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Nam và các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khi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ý;</w:t>
      </w:r>
    </w:p>
    <w:p w14:paraId="593E3FDF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đ)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khác do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cung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4252501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Ngu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thu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trong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m, bao g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0096CC8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quá trình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hành chính,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49F1131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t,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các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khác;</w:t>
      </w:r>
    </w:p>
    <w:p w14:paraId="45636B27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hóa, cung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p, tích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cá nhân,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21295A8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d) Ngu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E040361" w14:textId="5FED0D46" w:rsidR="005B1B2D" w:rsidRPr="00C4301A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có liên quan ki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tra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khi thu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tính chính xác,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B0286AB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4.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trên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Trung tâm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1AF50D4A" w14:textId="7F8ED7FE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18. Ch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khai thác và 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u trong </w:t>
      </w:r>
      <w:r w:rsidR="00275606" w:rsidRPr="00275606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460B8814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khai thác,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các 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chuyên ngành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và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37049F2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ngành, cơ quan, đơn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cá nhân khai thác,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khai thác và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45D1AB38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và cá nhân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phép khai thác và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mình; thông tin cá nhân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khác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đó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ý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7A2692D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19. Phương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khai thác, 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trong Cơ 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4CA9910E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lastRenderedPageBreak/>
        <w:t>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khai thác và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trong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qua các phương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202E9849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chuyên ngành,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khác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3694E5F6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hành chính.</w:t>
      </w:r>
    </w:p>
    <w:p w14:paraId="0946E61D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danh và xác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F68E8B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danh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30C76A8D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5. Thi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n,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do Trung tâm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cung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D4F6708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6. Phương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khác do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A308682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20. K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i, chia 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52A4F295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thông tin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khác,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chuyên ngành,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Khung ki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CFB114D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21.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i Cơ s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66D38246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m.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là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và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trong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5B39A652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là cơ quan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4DAE9166" w14:textId="77777777" w:rsidR="005B1B2D" w:rsidRPr="00C4301A" w:rsidRDefault="004E3829" w:rsidP="00C4301A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3.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trong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tra, đánh giá, duy trì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5B08060" w14:textId="77777777" w:rsidR="00EE3318" w:rsidRPr="00C4301A" w:rsidRDefault="00EE3318" w:rsidP="00C4301A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B71DE5" w14:textId="77777777" w:rsidR="00EE3318" w:rsidRPr="00C4301A" w:rsidRDefault="004E3829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 </w:t>
      </w:r>
    </w:p>
    <w:p w14:paraId="3D0CC854" w14:textId="3AB7A163" w:rsidR="005B1B2D" w:rsidRPr="00C4301A" w:rsidRDefault="004E3829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60220F8" w14:textId="77777777" w:rsidR="00EE3318" w:rsidRPr="00C4301A" w:rsidRDefault="00EE3318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E6E02ED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22. Trách nhi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Tài chính</w:t>
      </w:r>
    </w:p>
    <w:p w14:paraId="4D7311B8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Ban hành quy trình,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và các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có liên quan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27B8E98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Nghiên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trung gian trong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91A3362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là ngày 01 tháng 01 năm 2027,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D323276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các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chính sách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thông qua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9C69601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5.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đóng,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75ACF5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6. Ki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77911F1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7.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năm, báo cáo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AB20359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8.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khác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A373B09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23. Trách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nhi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Công an</w:t>
      </w:r>
    </w:p>
    <w:p w14:paraId="23E0899C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780BE821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xây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và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thông tin liên quan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không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vi bí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do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Công an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phù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các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và an toàn thông tin,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an ninh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c gia,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lastRenderedPageBreak/>
        <w:t>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và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khai công tác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trong Công an nhân dân.</w:t>
      </w:r>
    </w:p>
    <w:p w14:paraId="7BD53E9C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24. Trách nhi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phòng</w:t>
      </w:r>
    </w:p>
    <w:p w14:paraId="3ECFD3FE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460491B6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chính xây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và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thông tin liên quan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không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vi bí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nhà nư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do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phòng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phù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các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và an toàn thông tin,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an nin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h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an toàn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và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khai công tác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phòng.</w:t>
      </w:r>
    </w:p>
    <w:p w14:paraId="3856D62C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25. Trách nhi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a các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, cơ quan ngang b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, cơ quan thu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Chính ph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và 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y ban nhân các 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nh, thành ph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thu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trung ương</w:t>
      </w:r>
    </w:p>
    <w:p w14:paraId="766334C4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các cơ quan, đơn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chuyên môn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thông tin,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liên quan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ngành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6EC3ACA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các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khám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nh,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y khoa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thông tin,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liên quan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ngành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3F982D53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gia,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chuyên ngành qua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tích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p,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u, phù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Khung ki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trúc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0FB01A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4. Văn phòng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trì,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Trung tâm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o,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hành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E3C551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và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ban nhân các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trung ương rà soát các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nh,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vi,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đơn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hóa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cá nhân trên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0D156F2C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6.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cơ quan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mình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thông tin,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0A56AE0C" w14:textId="77777777" w:rsidR="005B1B2D" w:rsidRPr="00C4301A" w:rsidRDefault="004E3829" w:rsidP="00C4301A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7.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ban nhân dân các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có trách nhi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các cơ quan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c năng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phương chia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thông tin,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cơ quan tài chính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96922CA" w14:textId="77777777" w:rsidR="00EE3318" w:rsidRPr="00C4301A" w:rsidRDefault="00EE3318" w:rsidP="00C4301A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5FCBA4" w14:textId="238EFC3B" w:rsidR="005B1B2D" w:rsidRPr="00EE3318" w:rsidRDefault="004E3829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Chương V</w:t>
      </w:r>
    </w:p>
    <w:p w14:paraId="08141EC9" w14:textId="77777777" w:rsidR="005B1B2D" w:rsidRPr="00C4301A" w:rsidRDefault="004E3829" w:rsidP="00C4301A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33356C78" w14:textId="77777777" w:rsidR="00EE3318" w:rsidRPr="00C4301A" w:rsidRDefault="00EE3318" w:rsidP="00C4301A">
      <w:pPr>
        <w:widowControl w:val="0"/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6EDAE16" w14:textId="7A9F96F1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26</w:t>
      </w:r>
      <w:r w:rsidR="007D372F" w:rsidRPr="00C4301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chuy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73C23C8" w14:textId="48741735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</w:t>
      </w:r>
      <w:r w:rsidR="007D372F" w:rsidRPr="00C430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m xã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Nam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275606" w:rsidRPr="00275606">
        <w:rPr>
          <w:rFonts w:ascii="Arial" w:hAnsi="Arial" w:cs="Arial"/>
          <w:color w:val="000000" w:themeColor="text1"/>
          <w:sz w:val="20"/>
          <w:szCs w:val="20"/>
        </w:rPr>
        <w:t>6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6/2016/NĐ-CP ngày 24 tháng 12 năm 2016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tích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vào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thông tin gi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hành chính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và ti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ngày 01 tháng 3 năm 2026.</w:t>
      </w:r>
    </w:p>
    <w:p w14:paraId="0935ACCA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giá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gia tăng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166/2016/NĐ-CP ngày 24 tháng 12 năm 2016 ti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cho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khi có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6B3281E5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27.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 xml:space="preserve"> 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0BAE1718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2025.</w:t>
      </w:r>
    </w:p>
    <w:p w14:paraId="30B8B296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thi hành,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43/2021/NĐ-CP ngày 31 tháng 3 năm 2021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Cơ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38A7E72E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3.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thi hành, không áp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166/2016/NĐ-CP ngày 24 tháng 12 năm 2016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lĩnh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lastRenderedPageBreak/>
        <w:t>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140/2018/NĐ-CP ngày 08 tháng 10 năm 2018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sung các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liên quan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tư kinh doanh và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hành chính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- Thương binh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à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giao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ch đi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trong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1C5C9C84" w14:textId="77777777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u 28. Trách nhi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27ED2E66" w14:textId="6A7850F3" w:rsidR="005B1B2D" w:rsidRPr="00EE3318" w:rsidRDefault="004E3829" w:rsidP="00C4301A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Tài chính hư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n, theo dõi, đôn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ki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này;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năm ho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áo cáo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.</w:t>
      </w:r>
      <w:r w:rsidR="00EE3318" w:rsidRPr="00EE33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119CC9B" w14:textId="77777777" w:rsidR="005B1B2D" w:rsidRPr="00C4301A" w:rsidRDefault="004E3829" w:rsidP="00C4301A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E3318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y ban nhân dân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 trung ương và các cơ quan, t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c, cá nhân có liên quan ch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m thi 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hành Ngh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EE331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82E2DB7" w14:textId="77777777" w:rsidR="00EE3318" w:rsidRPr="00C4301A" w:rsidRDefault="00EE3318" w:rsidP="00C4301A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E3318" w:rsidRPr="00EE3318" w14:paraId="343E0545" w14:textId="77777777" w:rsidTr="00EE3318">
        <w:tc>
          <w:tcPr>
            <w:tcW w:w="2500" w:type="pct"/>
            <w:hideMark/>
          </w:tcPr>
          <w:p w14:paraId="69268E80" w14:textId="7B3D733F" w:rsidR="00EE3318" w:rsidRPr="00C4301A" w:rsidRDefault="00EE3318" w:rsidP="00C4301A">
            <w:pPr>
              <w:widowControl w:val="0"/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301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bidi="vi-VN"/>
              </w:rPr>
              <w:t>Nơi nhận:</w:t>
            </w:r>
            <w:bookmarkStart w:id="1" w:name="bookmark282"/>
            <w:bookmarkEnd w:id="1"/>
            <w:r w:rsidRPr="00C4301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bidi="vi-VN"/>
              </w:rPr>
              <w:br/>
            </w:r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t>- Ban Bí thư Trung ương Đảng;</w:t>
            </w:r>
            <w:bookmarkStart w:id="2" w:name="bookmark283"/>
            <w:bookmarkEnd w:id="2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Thủ tướng, các Phó Thủ tướng Chính phủ;</w:t>
            </w:r>
            <w:bookmarkStart w:id="3" w:name="bookmark284"/>
            <w:bookmarkEnd w:id="3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Các bộ, cơ quan ngang bộ, cơ quan thuộc Chính phủ;</w:t>
            </w:r>
            <w:bookmarkStart w:id="4" w:name="bookmark285"/>
            <w:bookmarkEnd w:id="4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HĐND, UBND các tỉnh, thành phố trực thuộc trung ương;</w:t>
            </w:r>
            <w:bookmarkStart w:id="5" w:name="bookmark2"/>
            <w:bookmarkEnd w:id="5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Văn phòng Trung ương và các Ban của Đảng;</w:t>
            </w:r>
            <w:bookmarkStart w:id="6" w:name="bookmark3"/>
            <w:bookmarkEnd w:id="6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Văn phòng Tổng Bí thư;</w:t>
            </w:r>
            <w:bookmarkStart w:id="7" w:name="bookmark4"/>
            <w:bookmarkEnd w:id="7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Văn phòng Chủ tịch nước;</w:t>
            </w:r>
            <w:bookmarkStart w:id="8" w:name="bookmark5"/>
            <w:bookmarkEnd w:id="8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Hội đồng Dân tộc và các Ủy ban của Quốc hội;</w:t>
            </w:r>
            <w:bookmarkStart w:id="9" w:name="bookmark6"/>
            <w:bookmarkEnd w:id="9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Văn phòng Quốc hội;</w:t>
            </w:r>
            <w:bookmarkStart w:id="10" w:name="bookmark7"/>
            <w:bookmarkEnd w:id="10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Tòa án nhân dân tối cao;</w:t>
            </w:r>
            <w:bookmarkStart w:id="11" w:name="bookmark286"/>
            <w:bookmarkEnd w:id="11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Viện kiểm sát nhân dân tối cao;</w:t>
            </w:r>
            <w:bookmarkStart w:id="12" w:name="bookmark287"/>
            <w:bookmarkEnd w:id="12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Kiểm toán nhà nước;</w:t>
            </w:r>
            <w:bookmarkStart w:id="13" w:name="bookmark288"/>
            <w:bookmarkEnd w:id="13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Ủy ban Trung ương Mặt trận Tổ quốc Việt Nam;</w:t>
            </w:r>
            <w:bookmarkStart w:id="14" w:name="bookmark289"/>
            <w:bookmarkEnd w:id="14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Cơ quan trung ương của các đoàn thể;</w:t>
            </w:r>
            <w:bookmarkStart w:id="15" w:name="bookmark290"/>
            <w:bookmarkEnd w:id="15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 xml:space="preserve">- VPCP: BTCN, các PCN, Trợ lý TTg, TGĐ </w:t>
            </w:r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t>ổng TTĐT, các Vụ, Cục, đơn vị trực thuộc, Công báo;</w:t>
            </w:r>
            <w:bookmarkStart w:id="16" w:name="bookmark291"/>
            <w:bookmarkEnd w:id="16"/>
            <w:r w:rsidRPr="00C4301A">
              <w:rPr>
                <w:rFonts w:ascii="Arial" w:hAnsi="Arial" w:cs="Arial"/>
                <w:color w:val="000000" w:themeColor="text1"/>
                <w:sz w:val="20"/>
                <w:szCs w:val="20"/>
                <w:lang w:bidi="vi-VN"/>
              </w:rPr>
              <w:br/>
              <w:t>- Lưu: VT, KSTT (2)</w:t>
            </w:r>
          </w:p>
        </w:tc>
        <w:tc>
          <w:tcPr>
            <w:tcW w:w="2500" w:type="pct"/>
            <w:hideMark/>
          </w:tcPr>
          <w:p w14:paraId="0735C11C" w14:textId="56D26D81" w:rsidR="00EE3318" w:rsidRPr="00C4301A" w:rsidRDefault="00EE3318" w:rsidP="00C4301A">
            <w:pPr>
              <w:widowControl w:val="0"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430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TM. CHÍNH PHỦ</w:t>
            </w:r>
            <w:r w:rsidRPr="00C430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KT. THỦ TƯỚNG</w:t>
            </w:r>
            <w:r w:rsidRPr="00C430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PHÓ THỦ TƯỚNG</w:t>
            </w:r>
            <w:r w:rsidRPr="00C430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430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430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430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430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C4301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Hồ Đức Phớc</w:t>
            </w:r>
          </w:p>
        </w:tc>
      </w:tr>
    </w:tbl>
    <w:p w14:paraId="6B4AEAEE" w14:textId="77777777" w:rsidR="00EE3318" w:rsidRPr="00EE3318" w:rsidRDefault="00EE3318" w:rsidP="00C4301A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CABE79" w14:textId="61BFC24E" w:rsidR="005B1B2D" w:rsidRPr="00EE3318" w:rsidRDefault="005B1B2D" w:rsidP="00C4301A">
      <w:pPr>
        <w:widowControl w:val="0"/>
        <w:adjustRightInd w:val="0"/>
        <w:snapToGri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5B1B2D" w:rsidRPr="00EE3318" w:rsidSect="00EE3318">
      <w:footerReference w:type="default" r:id="rId7"/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D3582" w14:textId="77777777" w:rsidR="004E3829" w:rsidRDefault="004E3829">
      <w:pPr>
        <w:spacing w:after="0" w:line="240" w:lineRule="auto"/>
      </w:pPr>
      <w:r>
        <w:separator/>
      </w:r>
    </w:p>
  </w:endnote>
  <w:endnote w:type="continuationSeparator" w:id="0">
    <w:p w14:paraId="24A6DEF4" w14:textId="77777777" w:rsidR="004E3829" w:rsidRDefault="004E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F95F9" w14:textId="6877A336" w:rsidR="005B1B2D" w:rsidRDefault="005B1B2D" w:rsidP="00C4301A">
    <w:pPr>
      <w:widowControl w:val="0"/>
      <w:adjustRightInd w:val="0"/>
      <w:snapToGrid w:val="0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9B5FE" w14:textId="77777777" w:rsidR="004E3829" w:rsidRDefault="004E3829">
      <w:pPr>
        <w:spacing w:after="0" w:line="240" w:lineRule="auto"/>
      </w:pPr>
      <w:r>
        <w:separator/>
      </w:r>
    </w:p>
  </w:footnote>
  <w:footnote w:type="continuationSeparator" w:id="0">
    <w:p w14:paraId="1E3EE29D" w14:textId="77777777" w:rsidR="004E3829" w:rsidRDefault="004E3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B2D"/>
    <w:rsid w:val="00275606"/>
    <w:rsid w:val="00344A8A"/>
    <w:rsid w:val="004E3829"/>
    <w:rsid w:val="00594C3C"/>
    <w:rsid w:val="005B1B2D"/>
    <w:rsid w:val="007D372F"/>
    <w:rsid w:val="0095128E"/>
    <w:rsid w:val="00AA78EE"/>
    <w:rsid w:val="00B1724C"/>
    <w:rsid w:val="00B32E9F"/>
    <w:rsid w:val="00B739B2"/>
    <w:rsid w:val="00BB486B"/>
    <w:rsid w:val="00C4301A"/>
    <w:rsid w:val="00DD2300"/>
    <w:rsid w:val="00E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424FE"/>
  <w15:docId w15:val="{319D37A9-5AD9-4F64-A277-96EADA05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318"/>
  </w:style>
  <w:style w:type="paragraph" w:styleId="Footer">
    <w:name w:val="footer"/>
    <w:basedOn w:val="Normal"/>
    <w:link w:val="FooterChar"/>
    <w:uiPriority w:val="99"/>
    <w:unhideWhenUsed/>
    <w:rsid w:val="00EE3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318"/>
  </w:style>
  <w:style w:type="table" w:styleId="TableGrid">
    <w:name w:val="Table Grid"/>
    <w:basedOn w:val="TableNormal"/>
    <w:uiPriority w:val="39"/>
    <w:rsid w:val="00EE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486D-B448-4B94-B1EA-9A9C4831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3699</Words>
  <Characters>21085</Characters>
  <Application>Microsoft Office Word</Application>
  <DocSecurity>0</DocSecurity>
  <Lines>175</Lines>
  <Paragraphs>49</Paragraphs>
  <ScaleCrop>false</ScaleCrop>
  <Company/>
  <LinksUpToDate>false</LinksUpToDate>
  <CharactersWithSpaces>24735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12</cp:revision>
  <dcterms:created xsi:type="dcterms:W3CDTF">2025-07-01T09:46:00Z</dcterms:created>
  <dcterms:modified xsi:type="dcterms:W3CDTF">2025-07-02T01:09:00Z</dcterms:modified>
</cp:coreProperties>
</file>