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4F71BD" w14:paraId="5A8DF221" w14:textId="77777777" w:rsidTr="00BF5DF7">
        <w:tc>
          <w:tcPr>
            <w:tcW w:w="1645" w:type="pct"/>
          </w:tcPr>
          <w:p w14:paraId="44F89077" w14:textId="603EF95C" w:rsidR="004F71BD" w:rsidRDefault="001E7B4C" w:rsidP="004E553A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78/2026/NĐ-CP</w:t>
            </w:r>
          </w:p>
        </w:tc>
        <w:tc>
          <w:tcPr>
            <w:tcW w:w="3355" w:type="pct"/>
          </w:tcPr>
          <w:p w14:paraId="0ECAFAE0" w14:textId="53D31382" w:rsidR="004F71BD" w:rsidRDefault="001E7B4C" w:rsidP="004E553A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 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1C072E75" w14:textId="77777777" w:rsidR="004F71BD" w:rsidRDefault="001E7B4C" w:rsidP="004E553A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17 tháng 3 năm 2026</w:t>
            </w:r>
          </w:p>
        </w:tc>
      </w:tr>
    </w:tbl>
    <w:p w14:paraId="151ECA7F" w14:textId="77777777" w:rsidR="00476932" w:rsidRDefault="00476932" w:rsidP="004E553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4C11EEB" w14:textId="77777777" w:rsidR="00476932" w:rsidRDefault="00476932" w:rsidP="004E553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28EBB9A" w14:textId="594B31C4" w:rsidR="004F71BD" w:rsidRDefault="001E7B4C" w:rsidP="004E553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08BFADBC" w14:textId="77777777" w:rsidR="004F71BD" w:rsidRDefault="001E7B4C" w:rsidP="004E553A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174/2024/NĐ-CP</w:t>
      </w:r>
      <w:r>
        <w:br/>
      </w:r>
      <w:r>
        <w:rPr>
          <w:rFonts w:ascii="Arial" w:hAnsi="Arial"/>
          <w:b/>
          <w:sz w:val="20"/>
        </w:rPr>
        <w:t xml:space="preserve"> ngày 30 tháng 12 năm 2024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br/>
      </w:r>
      <w:r>
        <w:rPr>
          <w:rFonts w:ascii="Arial" w:hAnsi="Arial"/>
          <w:b/>
          <w:sz w:val="20"/>
        </w:rPr>
        <w:t xml:space="preserve">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kinh doanh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7F5EBE35" w14:textId="77777777" w:rsidR="00476932" w:rsidRDefault="00476932" w:rsidP="004E553A">
      <w:pPr>
        <w:spacing w:after="0" w:line="240" w:lineRule="auto"/>
        <w:jc w:val="center"/>
      </w:pPr>
    </w:p>
    <w:p w14:paraId="3C78ADE9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7CB4885A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lý vi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hành chính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15/2012/QH13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c</w:t>
      </w:r>
      <w:r>
        <w:rPr>
          <w:rFonts w:ascii="Arial" w:hAnsi="Arial"/>
          <w:i/>
          <w:sz w:val="20"/>
        </w:rPr>
        <w:t>ác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67/2020/QH14 và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88/2025/QH15;</w:t>
      </w:r>
    </w:p>
    <w:p w14:paraId="34DFD431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Kinh doanh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08/2022/QH15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139/2025/QH15;</w:t>
      </w:r>
    </w:p>
    <w:p w14:paraId="09DC1A12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</w:t>
      </w:r>
    </w:p>
    <w:p w14:paraId="5BE0D5D7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174/2024/NĐ-CP ngày 30 tháng 12 năm 2024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vi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hành chính trong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kinh doanh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o hi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m.</w:t>
      </w:r>
    </w:p>
    <w:p w14:paraId="5B7886E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 như sau:</w:t>
      </w:r>
    </w:p>
    <w:p w14:paraId="39DB1D3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kinh doanh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25FB7DCD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giám sát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3C15E043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2E494C6C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80.000.000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4D059C28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6B448AF6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này.</w:t>
      </w:r>
    </w:p>
    <w:p w14:paraId="3F93F6CE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giám sát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2A7004FE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267C5B0B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0BBD7583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</w:t>
      </w:r>
    </w:p>
    <w:p w14:paraId="7E51E51F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6CFE1DB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 Công an nhân dân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10185153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0FF48A9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ng.</w:t>
      </w:r>
    </w:p>
    <w:p w14:paraId="33746CA3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an nhân dân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1478772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6C7F7651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30.000.000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0EB043F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30EEACA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E51EB4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57BBB67F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5754FD6D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</w:t>
      </w:r>
      <w:bookmarkStart w:id="0" w:name="_GoBack"/>
      <w:bookmarkEnd w:id="0"/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728B2FE3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6.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công thương,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giao thông,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tài chính,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An ninh nông, lâm, ngư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</w:t>
      </w:r>
      <w:r>
        <w:rPr>
          <w:rFonts w:ascii="Arial" w:hAnsi="Arial"/>
          <w:sz w:val="20"/>
        </w:rPr>
        <w:t>g An ninh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tài nguyên,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vũ khí,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,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và pháo,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các ng</w:t>
      </w:r>
      <w:r>
        <w:rPr>
          <w:rFonts w:ascii="Arial" w:hAnsi="Arial"/>
          <w:sz w:val="20"/>
        </w:rPr>
        <w:t>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kinh doanh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ninh,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con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Trung tâm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cư;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Công tác phòng cháy,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Công tác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-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tham nhũng,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buôn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</w:t>
      </w:r>
      <w:r>
        <w:rPr>
          <w:rFonts w:ascii="Arial" w:hAnsi="Arial"/>
          <w:sz w:val="20"/>
        </w:rPr>
        <w:t>g An ninh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Chánh văn phòng cơ quan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0B909E1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35BCE4AA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80.000.000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2A9D252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9A60E8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An ninh kinh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tham nhũng,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buôn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phòng cháy,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cháy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Công an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Chánh văn phòng cơ quan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2287F29D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547332E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2746E6E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7BD59BD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đoàn </w:t>
      </w:r>
      <w:r>
        <w:rPr>
          <w:rFonts w:ascii="Arial" w:hAnsi="Arial"/>
          <w:sz w:val="20"/>
        </w:rPr>
        <w:t>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26287117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7887597E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7B812451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45B26D9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Chánh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57EE0A34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cáo;</w:t>
      </w:r>
    </w:p>
    <w:p w14:paraId="620A4FA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80.000.000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409E5637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155E5DB1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Chánh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do Chánh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603CFD61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1ED16747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ng;</w:t>
      </w:r>
    </w:p>
    <w:p w14:paraId="6273DDFE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121832E4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 như sau:</w:t>
      </w:r>
    </w:p>
    <w:p w14:paraId="45651198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xác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và phân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vi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kinh doanh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hi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</w:t>
      </w:r>
    </w:p>
    <w:p w14:paraId="5160D9F8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mà chưa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</w:t>
      </w:r>
    </w:p>
    <w:p w14:paraId="0B96F29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kinh doanh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do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tiên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38E42E44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hành vi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đang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ngay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</w:t>
      </w:r>
    </w:p>
    <w:p w14:paraId="24CFCA23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đang thi hành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hành chính do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nhưng không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thì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28A559D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là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cá nhân;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02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 nhân.</w:t>
      </w:r>
    </w:p>
    <w:p w14:paraId="20034B0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Phân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sau:</w:t>
      </w:r>
    </w:p>
    <w:p w14:paraId="3961B04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danh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73B41C68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an nhân dâ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7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39,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5FB2BDB6" w14:textId="1D77B784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8</w:t>
      </w:r>
      <w:r w:rsidR="003511B2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9,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10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40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6724D9BD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 như sau:</w:t>
      </w:r>
    </w:p>
    <w:p w14:paraId="0BC213B6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44. Thi hành các hình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t,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z w:val="20"/>
        </w:rPr>
        <w:t xml:space="preserve"> pháp kh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u qu</w:t>
      </w:r>
      <w:r>
        <w:rPr>
          <w:rFonts w:ascii="Arial" w:hAnsi="Arial"/>
          <w:b/>
          <w:sz w:val="20"/>
        </w:rPr>
        <w:t>ả</w:t>
      </w:r>
    </w:p>
    <w:p w14:paraId="2F7ADDBF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</w:t>
      </w:r>
    </w:p>
    <w:p w14:paraId="1799BDCF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liên quan khác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trong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57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chính.”.</w:t>
      </w:r>
    </w:p>
    <w:p w14:paraId="0013646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44a sau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 như sau:</w:t>
      </w:r>
    </w:p>
    <w:p w14:paraId="02FE76DE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44a.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trên môi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ử</w:t>
      </w:r>
    </w:p>
    <w:p w14:paraId="7722DAC5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hành chính </w:t>
      </w:r>
      <w:r>
        <w:rPr>
          <w:rFonts w:ascii="Arial" w:hAnsi="Arial"/>
          <w:sz w:val="20"/>
        </w:rPr>
        <w:t>trên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18a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và Chương IIIa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190/2025/NĐ-CP ngày 01 tháng 7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.”.</w:t>
      </w:r>
    </w:p>
    <w:p w14:paraId="0F2FA0F0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tên 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4a Chương II sau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 như sau:</w:t>
      </w:r>
    </w:p>
    <w:p w14:paraId="313DD1B5" w14:textId="7551E0FE" w:rsidR="004F71BD" w:rsidRDefault="001E7B4C" w:rsidP="003511B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“M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c 4a </w:t>
      </w:r>
      <w:r>
        <w:br/>
      </w:r>
      <w:r>
        <w:rPr>
          <w:rFonts w:ascii="Arial" w:hAnsi="Arial"/>
          <w:b/>
          <w:sz w:val="20"/>
        </w:rPr>
        <w:t xml:space="preserve">HÀNH VI </w:t>
      </w:r>
      <w:r w:rsidR="00FE51FC">
        <w:rPr>
          <w:rFonts w:ascii="Arial" w:hAnsi="Arial"/>
          <w:b/>
          <w:sz w:val="20"/>
        </w:rPr>
        <w:t xml:space="preserve">VI </w:t>
      </w:r>
      <w:r>
        <w:rPr>
          <w:rFonts w:ascii="Arial" w:hAnsi="Arial"/>
          <w:b/>
          <w:sz w:val="20"/>
        </w:rPr>
        <w:t>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N, </w:t>
      </w:r>
      <w:r>
        <w:br/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 VÀ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N”.</w:t>
      </w:r>
    </w:p>
    <w:p w14:paraId="2BA2E146" w14:textId="77777777" w:rsidR="004F71BD" w:rsidRDefault="001E7B4C" w:rsidP="004E553A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22A91013" w14:textId="77777777" w:rsidR="004F71BD" w:rsidRDefault="001E7B4C" w:rsidP="004E553A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5 năm 2026./.</w:t>
      </w:r>
    </w:p>
    <w:p w14:paraId="2513E9CB" w14:textId="77777777" w:rsidR="003511B2" w:rsidRDefault="003511B2" w:rsidP="003511B2">
      <w:pPr>
        <w:spacing w:after="0" w:line="240" w:lineRule="auto"/>
        <w:jc w:val="center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0"/>
        <w:gridCol w:w="3636"/>
      </w:tblGrid>
      <w:tr w:rsidR="004F71BD" w14:paraId="7ABB7B36" w14:textId="77777777" w:rsidTr="00D143A8">
        <w:tc>
          <w:tcPr>
            <w:tcW w:w="2986" w:type="pct"/>
          </w:tcPr>
          <w:p w14:paraId="4ADA73FB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39A03E2C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537DFD98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2376815E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</w:t>
            </w:r>
            <w:r>
              <w:rPr>
                <w:rFonts w:ascii="Arial" w:hAnsi="Arial"/>
                <w:sz w:val="20"/>
              </w:rPr>
              <w:t xml:space="preserve">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144DC220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061D0A57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23224E60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76257723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165877BF" w14:textId="5EC98279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E83580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AF6A1F1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42AF864C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lastRenderedPageBreak/>
              <w:t>- Tòa</w:t>
            </w:r>
            <w:r>
              <w:rPr>
                <w:rFonts w:ascii="Arial" w:hAnsi="Arial"/>
                <w:sz w:val="20"/>
              </w:rPr>
              <w:t xml:space="preserve">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62BFF317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78DD9F41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69338203" w14:textId="41691C0B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</w:t>
            </w:r>
            <w:r w:rsidR="00E83580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780FA19A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0AB77C19" w14:textId="77777777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 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</w:t>
            </w:r>
            <w:r>
              <w:rPr>
                <w:rFonts w:ascii="Arial" w:hAnsi="Arial"/>
                <w:sz w:val="20"/>
              </w:rPr>
              <w:t xml:space="preserve">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c, Công báo;</w:t>
            </w:r>
          </w:p>
          <w:p w14:paraId="3C2074F8" w14:textId="4009FFBE" w:rsidR="004F71BD" w:rsidRDefault="001E7B4C" w:rsidP="003511B2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</w:t>
            </w:r>
            <w:r w:rsidR="00A5753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Lưu: VT, KTTH (2b) </w:t>
            </w:r>
          </w:p>
        </w:tc>
        <w:tc>
          <w:tcPr>
            <w:tcW w:w="2014" w:type="pct"/>
          </w:tcPr>
          <w:p w14:paraId="4434162D" w14:textId="77777777" w:rsidR="004F71BD" w:rsidRDefault="001E7B4C" w:rsidP="003511B2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lastRenderedPageBreak/>
              <w:t>TM. CHÍNH PH</w:t>
            </w:r>
            <w:r>
              <w:rPr>
                <w:rFonts w:ascii="Arial" w:hAnsi="Arial"/>
                <w:b/>
                <w:sz w:val="20"/>
              </w:rPr>
              <w:t>Ủ</w:t>
            </w:r>
          </w:p>
          <w:p w14:paraId="1D438C26" w14:textId="77777777" w:rsidR="004F71BD" w:rsidRDefault="001E7B4C" w:rsidP="003511B2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KT.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43645270" w14:textId="77777777" w:rsidR="004F71BD" w:rsidRDefault="001E7B4C" w:rsidP="003511B2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PHÓ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20"/>
              </w:rPr>
              <w:t>ồ</w:t>
            </w:r>
            <w:r>
              <w:rPr>
                <w:rFonts w:ascii="Arial" w:hAnsi="Arial"/>
                <w:b/>
                <w:sz w:val="20"/>
              </w:rPr>
              <w:t xml:space="preserve"> Đ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>c Ph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c</w:t>
            </w:r>
          </w:p>
        </w:tc>
      </w:tr>
    </w:tbl>
    <w:p w14:paraId="0572AF5F" w14:textId="77777777" w:rsidR="009C4378" w:rsidRDefault="009C4378" w:rsidP="004E553A">
      <w:pPr>
        <w:spacing w:after="120" w:line="240" w:lineRule="auto"/>
        <w:ind w:firstLine="720"/>
        <w:jc w:val="both"/>
      </w:pPr>
    </w:p>
    <w:sectPr w:rsidR="009C4378" w:rsidSect="004E553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55F4D" w14:textId="77777777" w:rsidR="001E7B4C" w:rsidRDefault="001E7B4C">
      <w:pPr>
        <w:spacing w:after="0" w:line="240" w:lineRule="auto"/>
      </w:pPr>
      <w:r>
        <w:separator/>
      </w:r>
    </w:p>
  </w:endnote>
  <w:endnote w:type="continuationSeparator" w:id="0">
    <w:p w14:paraId="539E8B2D" w14:textId="77777777" w:rsidR="001E7B4C" w:rsidRDefault="001E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55FC2" w14:textId="77777777" w:rsidR="001E7B4C" w:rsidRDefault="001E7B4C">
      <w:pPr>
        <w:spacing w:after="0" w:line="240" w:lineRule="auto"/>
      </w:pPr>
      <w:r>
        <w:separator/>
      </w:r>
    </w:p>
  </w:footnote>
  <w:footnote w:type="continuationSeparator" w:id="0">
    <w:p w14:paraId="6D812A17" w14:textId="77777777" w:rsidR="001E7B4C" w:rsidRDefault="001E7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BD"/>
    <w:rsid w:val="001E7B4C"/>
    <w:rsid w:val="003511B2"/>
    <w:rsid w:val="003A526F"/>
    <w:rsid w:val="003C2D60"/>
    <w:rsid w:val="00476932"/>
    <w:rsid w:val="004E553A"/>
    <w:rsid w:val="004F71BD"/>
    <w:rsid w:val="009C4378"/>
    <w:rsid w:val="00A57532"/>
    <w:rsid w:val="00BF5DF7"/>
    <w:rsid w:val="00C4539A"/>
    <w:rsid w:val="00D143A8"/>
    <w:rsid w:val="00E24E28"/>
    <w:rsid w:val="00E83580"/>
    <w:rsid w:val="00F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069F"/>
  <w15:docId w15:val="{46B3360F-74A7-4963-9B7E-7745AEFC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3A"/>
  </w:style>
  <w:style w:type="paragraph" w:styleId="Footer">
    <w:name w:val="footer"/>
    <w:basedOn w:val="Normal"/>
    <w:link w:val="FooterChar"/>
    <w:uiPriority w:val="99"/>
    <w:unhideWhenUsed/>
    <w:rsid w:val="004E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4</cp:revision>
  <dcterms:created xsi:type="dcterms:W3CDTF">2026-03-23T07:34:00Z</dcterms:created>
  <dcterms:modified xsi:type="dcterms:W3CDTF">2026-03-24T02:11:00Z</dcterms:modified>
</cp:coreProperties>
</file>